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8CF378" w14:textId="28C4D0D6" w:rsidR="0082754D" w:rsidRDefault="00C167F0">
      <w:pPr>
        <w:rPr>
          <w:rFonts w:ascii="Helvetica" w:hAnsi="Helvetica" w:cs="Helvetica"/>
          <w:b/>
          <w:sz w:val="24"/>
          <w:szCs w:val="24"/>
        </w:rPr>
      </w:pPr>
      <w:r>
        <w:rPr>
          <w:rFonts w:ascii="Helvetica" w:hAnsi="Helvetica" w:cs="Helvetica"/>
          <w:b/>
          <w:sz w:val="24"/>
          <w:szCs w:val="24"/>
        </w:rPr>
        <w:t>Additional file 1</w:t>
      </w:r>
      <w:bookmarkStart w:id="0" w:name="_GoBack"/>
      <w:bookmarkEnd w:id="0"/>
    </w:p>
    <w:p w14:paraId="55638A40" w14:textId="66BBAF2F" w:rsidR="007E181D" w:rsidRDefault="007E181D">
      <w:pPr>
        <w:rPr>
          <w:rFonts w:ascii="Helvetica" w:hAnsi="Helvetica" w:cs="Helvetica"/>
          <w:b/>
          <w:sz w:val="24"/>
          <w:szCs w:val="24"/>
        </w:rPr>
      </w:pPr>
    </w:p>
    <w:p w14:paraId="4B65213A" w14:textId="2F5E6C92" w:rsidR="004C478B" w:rsidRDefault="00A273E7" w:rsidP="007E181D">
      <w:pPr>
        <w:rPr>
          <w:rFonts w:ascii="Helvetica" w:hAnsi="Helvetica" w:cs="Helvetica"/>
          <w:b/>
          <w:sz w:val="24"/>
          <w:szCs w:val="24"/>
          <w:u w:val="single"/>
        </w:rPr>
      </w:pPr>
      <w:r w:rsidRPr="00A273E7">
        <w:rPr>
          <w:rFonts w:ascii="Helvetica" w:hAnsi="Helvetica" w:cs="Helvetica"/>
          <w:b/>
          <w:sz w:val="24"/>
          <w:szCs w:val="24"/>
        </w:rPr>
        <w:tab/>
      </w:r>
      <w:r w:rsidR="0082754D" w:rsidRPr="0080595E">
        <w:rPr>
          <w:rFonts w:ascii="Helvetica" w:hAnsi="Helvetica" w:cs="Helvetica"/>
          <w:b/>
          <w:sz w:val="24"/>
          <w:szCs w:val="24"/>
          <w:u w:val="single"/>
        </w:rPr>
        <w:t>Table s1:</w:t>
      </w:r>
      <w:r>
        <w:rPr>
          <w:rFonts w:ascii="Helvetica" w:hAnsi="Helvetica" w:cs="Helvetica"/>
          <w:b/>
          <w:sz w:val="24"/>
          <w:szCs w:val="24"/>
          <w:u w:val="single"/>
        </w:rPr>
        <w:t xml:space="preserve">  </w:t>
      </w:r>
      <w:r w:rsidR="0082754D" w:rsidRPr="0080595E">
        <w:rPr>
          <w:rFonts w:ascii="Helvetica" w:hAnsi="Helvetica" w:cs="Helvetica"/>
          <w:b/>
          <w:sz w:val="24"/>
          <w:szCs w:val="24"/>
          <w:u w:val="single"/>
        </w:rPr>
        <w:t>List of contributors</w:t>
      </w:r>
      <w:r w:rsidR="00F91240">
        <w:rPr>
          <w:rFonts w:ascii="Helvetica" w:hAnsi="Helvetica" w:cs="Helvetica"/>
          <w:b/>
          <w:sz w:val="24"/>
          <w:szCs w:val="24"/>
          <w:u w:val="single"/>
        </w:rPr>
        <w:t xml:space="preserve"> </w:t>
      </w:r>
    </w:p>
    <w:p w14:paraId="34FEB3C2" w14:textId="77777777" w:rsidR="00E02E36" w:rsidRDefault="00E02E36" w:rsidP="00E02E36">
      <w:pPr>
        <w:rPr>
          <w:rFonts w:ascii="Arial" w:eastAsia="Calibri" w:hAnsi="Arial" w:cs="Arial"/>
          <w:b/>
          <w:sz w:val="20"/>
          <w:szCs w:val="20"/>
        </w:rPr>
      </w:pPr>
    </w:p>
    <w:p w14:paraId="683862C2" w14:textId="79458C74" w:rsid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Dr Claire Bates,</w:t>
      </w:r>
      <w:r w:rsidRPr="00E02E36">
        <w:rPr>
          <w:rFonts w:ascii="Arial" w:eastAsia="Calibri" w:hAnsi="Arial" w:cs="Arial"/>
          <w:b/>
          <w:i/>
          <w:sz w:val="20"/>
          <w:szCs w:val="20"/>
        </w:rPr>
        <w:t xml:space="preserve"> </w:t>
      </w:r>
      <w:r w:rsidRPr="00E02E36">
        <w:rPr>
          <w:rFonts w:ascii="Arial" w:eastAsia="Calibri" w:hAnsi="Arial" w:cs="Arial"/>
          <w:sz w:val="20"/>
          <w:szCs w:val="20"/>
        </w:rPr>
        <w:t>Consultant in Palliative Medicine, Queen’s Hospital, Romford, Essex.</w:t>
      </w:r>
    </w:p>
    <w:p w14:paraId="738CB4AD" w14:textId="7C2A3B1E" w:rsid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Dr Peter Baxter</w:t>
      </w:r>
      <w:r w:rsidRPr="00E02E36">
        <w:rPr>
          <w:rFonts w:ascii="Arial" w:eastAsia="Calibri" w:hAnsi="Arial" w:cs="Arial"/>
          <w:sz w:val="20"/>
          <w:szCs w:val="20"/>
        </w:rPr>
        <w:t>, Paediatric Neurologist, Sheffield Children’s NHS Foundation Trust,</w:t>
      </w:r>
      <w:r>
        <w:rPr>
          <w:rFonts w:ascii="Arial" w:eastAsia="Calibri" w:hAnsi="Arial" w:cs="Arial"/>
          <w:sz w:val="20"/>
          <w:szCs w:val="20"/>
        </w:rPr>
        <w:t xml:space="preserve"> </w:t>
      </w:r>
      <w:r w:rsidRPr="00E02E36">
        <w:rPr>
          <w:rFonts w:ascii="Arial" w:eastAsia="Calibri" w:hAnsi="Arial" w:cs="Arial"/>
          <w:sz w:val="20"/>
          <w:szCs w:val="20"/>
        </w:rPr>
        <w:t>Sheffield.</w:t>
      </w:r>
    </w:p>
    <w:p w14:paraId="26BBE3DB" w14:textId="7B2AED33" w:rsidR="00E02E36" w:rsidRPr="00E02E36" w:rsidRDefault="00E02E36" w:rsidP="00E02E36">
      <w:pPr>
        <w:pStyle w:val="ListParagraph"/>
        <w:numPr>
          <w:ilvl w:val="0"/>
          <w:numId w:val="1"/>
        </w:numPr>
        <w:rPr>
          <w:rFonts w:ascii="Arial" w:eastAsia="Calibri" w:hAnsi="Arial" w:cs="Arial"/>
          <w:i/>
          <w:sz w:val="20"/>
          <w:szCs w:val="20"/>
        </w:rPr>
      </w:pPr>
      <w:r w:rsidRPr="00E02E36">
        <w:rPr>
          <w:rFonts w:ascii="Arial" w:eastAsia="Calibri" w:hAnsi="Arial" w:cs="Arial"/>
          <w:b/>
          <w:sz w:val="20"/>
          <w:szCs w:val="20"/>
        </w:rPr>
        <w:t>Dr Harriet Bonney</w:t>
      </w:r>
      <w:r w:rsidRPr="00E02E36">
        <w:rPr>
          <w:rFonts w:ascii="Arial" w:eastAsia="Calibri" w:hAnsi="Arial" w:cs="Arial"/>
          <w:sz w:val="20"/>
          <w:szCs w:val="20"/>
        </w:rPr>
        <w:t>, Medically Retired Speciality Doctor in General Adult Psychiatry, and Chair of Ataxia UK.</w:t>
      </w:r>
    </w:p>
    <w:p w14:paraId="3B9C7DFB" w14:textId="38DAAEBF" w:rsidR="00E02E36" w:rsidRP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Dr Fion Bremner</w:t>
      </w:r>
      <w:r w:rsidRPr="00E02E36">
        <w:rPr>
          <w:rFonts w:ascii="Arial" w:eastAsia="Calibri" w:hAnsi="Arial" w:cs="Arial"/>
          <w:sz w:val="20"/>
          <w:szCs w:val="20"/>
        </w:rPr>
        <w:t>, Consultant Ophthalmic Surgeon, University College Hospital, the Royal Free Hospital &amp; the National Hospital for Neurology and Neurosurgery, London.</w:t>
      </w:r>
    </w:p>
    <w:p w14:paraId="3E8C0F56" w14:textId="386E9A8C" w:rsidR="00E02E36" w:rsidRDefault="00E02E36" w:rsidP="00E02E36">
      <w:pPr>
        <w:pStyle w:val="ListParagraph"/>
        <w:keepLines/>
        <w:numPr>
          <w:ilvl w:val="0"/>
          <w:numId w:val="1"/>
        </w:numPr>
        <w:autoSpaceDE w:val="0"/>
        <w:autoSpaceDN w:val="0"/>
        <w:adjustRightInd w:val="0"/>
        <w:rPr>
          <w:rFonts w:ascii="Arial" w:hAnsi="Arial" w:cs="Arial"/>
          <w:sz w:val="20"/>
          <w:szCs w:val="20"/>
        </w:rPr>
      </w:pPr>
      <w:r w:rsidRPr="00E02E36">
        <w:rPr>
          <w:rFonts w:ascii="Arial" w:hAnsi="Arial" w:cs="Arial"/>
          <w:b/>
          <w:sz w:val="20"/>
          <w:szCs w:val="20"/>
        </w:rPr>
        <w:t>Dr Lisa Bunn</w:t>
      </w:r>
      <w:r w:rsidRPr="00E02E36">
        <w:rPr>
          <w:rFonts w:ascii="Arial" w:hAnsi="Arial" w:cs="Arial"/>
          <w:sz w:val="20"/>
          <w:szCs w:val="20"/>
        </w:rPr>
        <w:t xml:space="preserve">, Lecturer in Physiotherapy, Plymouth University. </w:t>
      </w:r>
    </w:p>
    <w:p w14:paraId="4E22E78C" w14:textId="062BB971" w:rsidR="00E02E36" w:rsidRPr="00E02E36" w:rsidRDefault="00E02E36" w:rsidP="00E02E36">
      <w:pPr>
        <w:pStyle w:val="ListParagraph"/>
        <w:numPr>
          <w:ilvl w:val="0"/>
          <w:numId w:val="1"/>
        </w:numPr>
        <w:rPr>
          <w:rFonts w:ascii="Arial" w:eastAsia="Calibri" w:hAnsi="Arial" w:cs="Arial"/>
          <w:b/>
          <w:sz w:val="20"/>
          <w:szCs w:val="20"/>
        </w:rPr>
      </w:pPr>
      <w:r w:rsidRPr="00E02E36">
        <w:rPr>
          <w:rFonts w:ascii="Arial" w:hAnsi="Arial" w:cs="Arial"/>
          <w:b/>
          <w:sz w:val="20"/>
          <w:szCs w:val="20"/>
        </w:rPr>
        <w:t>Dr Maria Carrillo Perez-Tome</w:t>
      </w:r>
      <w:r w:rsidRPr="00E02E36">
        <w:rPr>
          <w:rFonts w:ascii="Arial" w:hAnsi="Arial" w:cs="Arial"/>
          <w:sz w:val="20"/>
          <w:szCs w:val="20"/>
        </w:rPr>
        <w:t>, Clinical and Research Fellow in Cardiomyopathy, University College London Hospitals. </w:t>
      </w:r>
    </w:p>
    <w:p w14:paraId="2C19C385" w14:textId="5675C997" w:rsidR="00E02E36" w:rsidRPr="00E02E36" w:rsidRDefault="00E02E36" w:rsidP="00E02E36">
      <w:pPr>
        <w:pStyle w:val="ListParagraph"/>
        <w:numPr>
          <w:ilvl w:val="0"/>
          <w:numId w:val="1"/>
        </w:numPr>
        <w:rPr>
          <w:rFonts w:ascii="Arial" w:eastAsia="Calibri" w:hAnsi="Arial" w:cs="Arial"/>
          <w:i/>
          <w:sz w:val="20"/>
          <w:szCs w:val="20"/>
        </w:rPr>
      </w:pPr>
      <w:r w:rsidRPr="00E02E36">
        <w:rPr>
          <w:rFonts w:ascii="Arial" w:eastAsia="Calibri" w:hAnsi="Arial" w:cs="Arial"/>
          <w:b/>
          <w:sz w:val="20"/>
          <w:szCs w:val="20"/>
        </w:rPr>
        <w:t>Dr Mark Chung</w:t>
      </w:r>
      <w:r w:rsidRPr="00E02E36">
        <w:rPr>
          <w:rFonts w:ascii="Arial" w:eastAsia="Calibri" w:hAnsi="Arial" w:cs="Arial"/>
          <w:i/>
          <w:sz w:val="20"/>
          <w:szCs w:val="20"/>
        </w:rPr>
        <w:t xml:space="preserve">, </w:t>
      </w:r>
      <w:r w:rsidRPr="00E02E36">
        <w:rPr>
          <w:rFonts w:ascii="Arial" w:eastAsia="Calibri" w:hAnsi="Arial" w:cs="Arial"/>
          <w:sz w:val="20"/>
          <w:szCs w:val="20"/>
        </w:rPr>
        <w:t>Clinical Scientist in Audiology, Addenbrooke’s Hospital, Cambridge.</w:t>
      </w:r>
      <w:r w:rsidRPr="00E02E36">
        <w:rPr>
          <w:rFonts w:ascii="Arial" w:eastAsia="Calibri" w:hAnsi="Arial" w:cs="Arial"/>
          <w:i/>
          <w:sz w:val="20"/>
          <w:szCs w:val="20"/>
        </w:rPr>
        <w:t xml:space="preserve"> </w:t>
      </w:r>
    </w:p>
    <w:p w14:paraId="5D2ECC70" w14:textId="7FC37FC4" w:rsidR="00E02E36" w:rsidRP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Professor Lisa Cipolotti</w:t>
      </w:r>
      <w:r w:rsidRPr="00E02E36">
        <w:rPr>
          <w:rFonts w:ascii="Arial" w:eastAsia="Calibri" w:hAnsi="Arial" w:cs="Arial"/>
          <w:sz w:val="20"/>
          <w:szCs w:val="20"/>
        </w:rPr>
        <w:t>, Head of Neuropsychology Department, National Hospital for Neurology</w:t>
      </w:r>
      <w:r>
        <w:rPr>
          <w:rFonts w:ascii="Arial" w:eastAsia="Calibri" w:hAnsi="Arial" w:cs="Arial"/>
          <w:sz w:val="20"/>
          <w:szCs w:val="20"/>
        </w:rPr>
        <w:t xml:space="preserve"> </w:t>
      </w:r>
      <w:r w:rsidRPr="00E02E36">
        <w:rPr>
          <w:rFonts w:ascii="Arial" w:eastAsia="Calibri" w:hAnsi="Arial" w:cs="Arial"/>
          <w:sz w:val="20"/>
          <w:szCs w:val="20"/>
        </w:rPr>
        <w:t xml:space="preserve">and Neurosurgery, London. </w:t>
      </w:r>
    </w:p>
    <w:p w14:paraId="157FE27F" w14:textId="0A098136" w:rsid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Dr Rajith de Silva</w:t>
      </w:r>
      <w:r w:rsidRPr="00E02E36">
        <w:rPr>
          <w:rFonts w:ascii="Arial" w:eastAsia="Calibri" w:hAnsi="Arial" w:cs="Arial"/>
          <w:sz w:val="20"/>
          <w:szCs w:val="20"/>
        </w:rPr>
        <w:t xml:space="preserve">, </w:t>
      </w:r>
      <w:r>
        <w:rPr>
          <w:rFonts w:ascii="Arial" w:eastAsia="Calibri" w:hAnsi="Arial" w:cs="Arial"/>
          <w:sz w:val="20"/>
          <w:szCs w:val="20"/>
        </w:rPr>
        <w:t xml:space="preserve">Consultant </w:t>
      </w:r>
      <w:r w:rsidRPr="00E02E36">
        <w:rPr>
          <w:rFonts w:ascii="Arial" w:eastAsia="Calibri" w:hAnsi="Arial" w:cs="Arial"/>
          <w:sz w:val="20"/>
          <w:szCs w:val="20"/>
        </w:rPr>
        <w:t xml:space="preserve">Neurologist, Queen’s Hospital, Romford, Essex. </w:t>
      </w:r>
    </w:p>
    <w:p w14:paraId="4BA4363B" w14:textId="29AEA399" w:rsidR="00E02E36" w:rsidRP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Dr Kate Duberley</w:t>
      </w:r>
      <w:r w:rsidRPr="00E02E36">
        <w:rPr>
          <w:rFonts w:ascii="Arial" w:eastAsia="Calibri" w:hAnsi="Arial" w:cs="Arial"/>
          <w:sz w:val="20"/>
          <w:szCs w:val="20"/>
        </w:rPr>
        <w:t xml:space="preserve">, former PhD student at UCL Institute of Neurology, London. </w:t>
      </w:r>
    </w:p>
    <w:p w14:paraId="76B6A1E6" w14:textId="2BC6FA27" w:rsid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Dr John Ealing</w:t>
      </w:r>
      <w:r w:rsidRPr="00E02E36">
        <w:rPr>
          <w:rFonts w:ascii="Arial" w:eastAsia="Calibri" w:hAnsi="Arial" w:cs="Arial"/>
          <w:sz w:val="20"/>
          <w:szCs w:val="20"/>
        </w:rPr>
        <w:t>, Consultant Neurologist, Salford Royal NHS Foundation Trust, Manchester.</w:t>
      </w:r>
    </w:p>
    <w:p w14:paraId="15F72703" w14:textId="0B776E48" w:rsid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Dr Anton Emmanuel</w:t>
      </w:r>
      <w:r w:rsidRPr="00E02E36">
        <w:rPr>
          <w:rFonts w:ascii="Arial" w:eastAsia="Calibri" w:hAnsi="Arial" w:cs="Arial"/>
          <w:sz w:val="20"/>
          <w:szCs w:val="20"/>
        </w:rPr>
        <w:t>, Senior Lecturer in Neuro-Gastroenterology at UCL and Consultant Gastroenterologist at University College Hospital and the National Hospital for Neurology and Neurosurgery, London.</w:t>
      </w:r>
    </w:p>
    <w:p w14:paraId="3304123C" w14:textId="7FCE77E6" w:rsid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 xml:space="preserve">Professor Paola Giunti, </w:t>
      </w:r>
      <w:r w:rsidRPr="00E02E36">
        <w:rPr>
          <w:rFonts w:ascii="Arial" w:eastAsia="Calibri" w:hAnsi="Arial" w:cs="Arial"/>
          <w:sz w:val="20"/>
          <w:szCs w:val="20"/>
        </w:rPr>
        <w:t>Consultant</w:t>
      </w:r>
      <w:r>
        <w:rPr>
          <w:rFonts w:ascii="Arial" w:eastAsia="Calibri" w:hAnsi="Arial" w:cs="Arial"/>
          <w:b/>
          <w:sz w:val="20"/>
          <w:szCs w:val="20"/>
        </w:rPr>
        <w:t xml:space="preserve"> </w:t>
      </w:r>
      <w:r w:rsidRPr="00E02E36">
        <w:rPr>
          <w:rFonts w:ascii="Arial" w:eastAsia="Calibri" w:hAnsi="Arial" w:cs="Arial"/>
          <w:sz w:val="20"/>
          <w:szCs w:val="20"/>
        </w:rPr>
        <w:t xml:space="preserve">Neurologist, National Hospital for Neurology and Neurosurgery, London. </w:t>
      </w:r>
    </w:p>
    <w:p w14:paraId="7836825E" w14:textId="2EDAB827" w:rsidR="00E02E36" w:rsidRP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Dr Julie Greenfield</w:t>
      </w:r>
      <w:r w:rsidRPr="00E02E36">
        <w:rPr>
          <w:rFonts w:ascii="Arial" w:eastAsia="Calibri" w:hAnsi="Arial" w:cs="Arial"/>
          <w:sz w:val="20"/>
          <w:szCs w:val="20"/>
        </w:rPr>
        <w:t>, Research Projects Manager, Ataxia UK.</w:t>
      </w:r>
    </w:p>
    <w:p w14:paraId="2B23A3F1" w14:textId="17D784EA" w:rsidR="00E02E36" w:rsidRDefault="00E02E36" w:rsidP="00E02E36">
      <w:pPr>
        <w:pStyle w:val="ListParagraph"/>
        <w:numPr>
          <w:ilvl w:val="0"/>
          <w:numId w:val="1"/>
        </w:numPr>
        <w:rPr>
          <w:rFonts w:ascii="Arial" w:eastAsia="Calibri" w:hAnsi="Arial" w:cs="Arial"/>
          <w:sz w:val="20"/>
          <w:szCs w:val="20"/>
        </w:rPr>
      </w:pPr>
      <w:r w:rsidRPr="00E02E36">
        <w:rPr>
          <w:rFonts w:ascii="Arial" w:eastAsia="Calibri" w:hAnsi="Arial" w:cs="Arial"/>
          <w:b/>
          <w:sz w:val="20"/>
          <w:szCs w:val="20"/>
        </w:rPr>
        <w:t>Professor Marios Hadjivassilliou</w:t>
      </w:r>
      <w:r w:rsidRPr="00E02E36">
        <w:rPr>
          <w:rFonts w:ascii="Arial" w:eastAsia="Calibri" w:hAnsi="Arial" w:cs="Arial"/>
          <w:sz w:val="20"/>
          <w:szCs w:val="20"/>
        </w:rPr>
        <w:t xml:space="preserve">, </w:t>
      </w:r>
      <w:r>
        <w:rPr>
          <w:rFonts w:ascii="Arial" w:eastAsia="Calibri" w:hAnsi="Arial" w:cs="Arial"/>
          <w:sz w:val="20"/>
          <w:szCs w:val="20"/>
        </w:rPr>
        <w:t xml:space="preserve">Consultant </w:t>
      </w:r>
      <w:r w:rsidRPr="00E02E36">
        <w:rPr>
          <w:rFonts w:ascii="Arial" w:eastAsia="Calibri" w:hAnsi="Arial" w:cs="Arial"/>
          <w:sz w:val="20"/>
          <w:szCs w:val="20"/>
        </w:rPr>
        <w:t>Neurologist, Sheffield Teaching Hospitals NHS Foundation Trust.</w:t>
      </w:r>
    </w:p>
    <w:p w14:paraId="296DCBAA" w14:textId="4212C931" w:rsidR="00E02E36" w:rsidRPr="002942AE" w:rsidRDefault="00E02E36" w:rsidP="00E02E36">
      <w:pPr>
        <w:pStyle w:val="ListParagraph"/>
        <w:numPr>
          <w:ilvl w:val="0"/>
          <w:numId w:val="1"/>
        </w:numPr>
        <w:rPr>
          <w:rFonts w:ascii="Arial" w:eastAsia="Calibri" w:hAnsi="Arial" w:cs="Arial"/>
          <w:i/>
          <w:sz w:val="20"/>
          <w:szCs w:val="20"/>
        </w:rPr>
      </w:pPr>
      <w:r w:rsidRPr="002942AE">
        <w:rPr>
          <w:rFonts w:ascii="Arial" w:eastAsia="Calibri" w:hAnsi="Arial" w:cs="Arial"/>
          <w:b/>
          <w:sz w:val="20"/>
          <w:szCs w:val="20"/>
        </w:rPr>
        <w:t xml:space="preserve">Mr </w:t>
      </w:r>
      <w:r w:rsidR="002942AE" w:rsidRPr="002942AE">
        <w:rPr>
          <w:rFonts w:ascii="Arial" w:eastAsia="Calibri" w:hAnsi="Arial" w:cs="Arial"/>
          <w:b/>
          <w:sz w:val="20"/>
          <w:szCs w:val="20"/>
        </w:rPr>
        <w:t xml:space="preserve">N. S. </w:t>
      </w:r>
      <w:r w:rsidRPr="002942AE">
        <w:rPr>
          <w:rFonts w:ascii="Arial" w:eastAsia="Calibri" w:hAnsi="Arial" w:cs="Arial"/>
          <w:b/>
          <w:sz w:val="20"/>
          <w:szCs w:val="20"/>
        </w:rPr>
        <w:t>Harshavardhana</w:t>
      </w:r>
      <w:r w:rsidR="002942AE">
        <w:rPr>
          <w:rFonts w:ascii="Arial" w:eastAsia="Calibri" w:hAnsi="Arial" w:cs="Arial"/>
          <w:sz w:val="20"/>
          <w:szCs w:val="20"/>
        </w:rPr>
        <w:t xml:space="preserve">, </w:t>
      </w:r>
      <w:r w:rsidRPr="002942AE">
        <w:rPr>
          <w:rFonts w:ascii="Arial" w:eastAsia="Calibri" w:hAnsi="Arial" w:cs="Arial"/>
          <w:sz w:val="20"/>
          <w:szCs w:val="20"/>
        </w:rPr>
        <w:t xml:space="preserve">Clinical Spinal Fellow, Royal National Orthopaedic Hospital, London. </w:t>
      </w:r>
    </w:p>
    <w:p w14:paraId="333BCBD7" w14:textId="65BD41E1" w:rsidR="00E02E36" w:rsidRDefault="00E02E36" w:rsidP="002942AE">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Ms Kate Hayward</w:t>
      </w:r>
      <w:r w:rsidRPr="002942AE">
        <w:rPr>
          <w:rFonts w:ascii="Arial" w:eastAsia="Calibri" w:hAnsi="Arial" w:cs="Arial"/>
          <w:sz w:val="20"/>
          <w:szCs w:val="20"/>
        </w:rPr>
        <w:t xml:space="preserve">, Occupational Therapist, National Hospital for Neurology and Neurosurgery London. </w:t>
      </w:r>
    </w:p>
    <w:p w14:paraId="5F14DE84" w14:textId="28952FDA" w:rsidR="002942AE" w:rsidRPr="009C6721" w:rsidRDefault="00E02E36" w:rsidP="009C6721">
      <w:pPr>
        <w:pStyle w:val="ListParagraph"/>
        <w:numPr>
          <w:ilvl w:val="0"/>
          <w:numId w:val="1"/>
        </w:numPr>
        <w:rPr>
          <w:rFonts w:ascii="Arial" w:eastAsia="Calibri" w:hAnsi="Arial" w:cs="Arial"/>
          <w:sz w:val="20"/>
          <w:szCs w:val="20"/>
        </w:rPr>
      </w:pPr>
      <w:r w:rsidRPr="009C6721">
        <w:rPr>
          <w:rFonts w:ascii="Arial" w:eastAsia="Calibri" w:hAnsi="Arial" w:cs="Arial"/>
          <w:b/>
          <w:sz w:val="20"/>
          <w:szCs w:val="20"/>
        </w:rPr>
        <w:t>Professor Christian Hendriksz</w:t>
      </w:r>
      <w:r w:rsidRPr="009C6721">
        <w:rPr>
          <w:rFonts w:ascii="Arial" w:eastAsia="Calibri" w:hAnsi="Arial" w:cs="Arial"/>
          <w:sz w:val="20"/>
          <w:szCs w:val="20"/>
        </w:rPr>
        <w:t>, Clinical Lead and Consultant in Transitional Metabolic Medicine, Salford Royal NHS Foundation Trust, Manchester</w:t>
      </w:r>
      <w:r w:rsidR="009C6721" w:rsidRPr="009C6721">
        <w:rPr>
          <w:rFonts w:ascii="Arial" w:eastAsia="Calibri" w:hAnsi="Arial" w:cs="Arial"/>
          <w:sz w:val="20"/>
          <w:szCs w:val="20"/>
        </w:rPr>
        <w:t xml:space="preserve"> (and</w:t>
      </w:r>
      <w:r w:rsidR="009C6721" w:rsidRPr="009C6721">
        <w:rPr>
          <w:rFonts w:ascii="Arial" w:hAnsi="Arial" w:cs="Arial"/>
          <w:sz w:val="20"/>
          <w:szCs w:val="20"/>
        </w:rPr>
        <w:t xml:space="preserve"> Extraordinary Professor Paediatrics and Child Health, University of Pretoria</w:t>
      </w:r>
      <w:r w:rsidR="009C6721">
        <w:rPr>
          <w:rFonts w:ascii="Arial" w:hAnsi="Arial" w:cs="Arial"/>
          <w:sz w:val="20"/>
          <w:szCs w:val="20"/>
        </w:rPr>
        <w:t xml:space="preserve">).  </w:t>
      </w:r>
      <w:r w:rsidR="002942AE" w:rsidRPr="009C6721">
        <w:rPr>
          <w:rFonts w:ascii="Arial" w:eastAsia="Calibri" w:hAnsi="Arial" w:cs="Arial"/>
          <w:sz w:val="20"/>
          <w:szCs w:val="20"/>
        </w:rPr>
        <w:t xml:space="preserve">  </w:t>
      </w:r>
    </w:p>
    <w:p w14:paraId="65376B33" w14:textId="376955FF" w:rsidR="00E02E36" w:rsidRPr="002942AE"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Dr Joshua Hersheson</w:t>
      </w:r>
      <w:r w:rsidRPr="002942AE">
        <w:rPr>
          <w:rFonts w:ascii="Arial" w:eastAsia="Calibri" w:hAnsi="Arial" w:cs="Arial"/>
          <w:sz w:val="20"/>
          <w:szCs w:val="20"/>
        </w:rPr>
        <w:t xml:space="preserve">, PhD student, UCL Institute of Neurology, London. </w:t>
      </w:r>
    </w:p>
    <w:p w14:paraId="30CB4D3A" w14:textId="7E59933C" w:rsidR="00E02E36" w:rsidRPr="002942AE"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Professor Rita Horvath</w:t>
      </w:r>
      <w:r w:rsidRPr="002942AE">
        <w:rPr>
          <w:rFonts w:ascii="Arial" w:eastAsia="Calibri" w:hAnsi="Arial" w:cs="Arial"/>
          <w:sz w:val="20"/>
          <w:szCs w:val="20"/>
        </w:rPr>
        <w:t xml:space="preserve">, Professor of Neurogenetics, Newcastle University. </w:t>
      </w:r>
    </w:p>
    <w:p w14:paraId="622C2069" w14:textId="4D726B38" w:rsidR="00E02E36" w:rsidRPr="002942AE"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Ms Joanne Hurford</w:t>
      </w:r>
      <w:r w:rsidRPr="002942AE">
        <w:rPr>
          <w:rFonts w:ascii="Arial" w:eastAsia="Calibri" w:hAnsi="Arial" w:cs="Arial"/>
          <w:sz w:val="20"/>
          <w:szCs w:val="20"/>
        </w:rPr>
        <w:t xml:space="preserve">, Occupational Therapist, National Hospital for Neurology and Neurosurgery London. </w:t>
      </w:r>
    </w:p>
    <w:p w14:paraId="20CE5411" w14:textId="39881817" w:rsidR="00E02E36" w:rsidRPr="002942AE"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Dr Fatima Jaffer</w:t>
      </w:r>
      <w:r w:rsidRPr="002942AE">
        <w:rPr>
          <w:rFonts w:ascii="Arial" w:eastAsia="Calibri" w:hAnsi="Arial" w:cs="Arial"/>
          <w:sz w:val="20"/>
          <w:szCs w:val="20"/>
        </w:rPr>
        <w:t xml:space="preserve">, PhD student, UCL Institute of Neurology. </w:t>
      </w:r>
    </w:p>
    <w:p w14:paraId="40B8F283" w14:textId="3510EE8B" w:rsidR="00E02E36" w:rsidRPr="002942AE"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Dr Cherry Kilbride</w:t>
      </w:r>
      <w:r w:rsidRPr="002942AE">
        <w:rPr>
          <w:rFonts w:ascii="Arial" w:eastAsia="Calibri" w:hAnsi="Arial" w:cs="Arial"/>
          <w:sz w:val="20"/>
          <w:szCs w:val="20"/>
        </w:rPr>
        <w:t xml:space="preserve">, Senior Lecturer in Physiotherapy, Brunel University, London. </w:t>
      </w:r>
    </w:p>
    <w:p w14:paraId="1F7D8B8C" w14:textId="659C0936" w:rsidR="00E02E36"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Dr Anja Lowit</w:t>
      </w:r>
      <w:r w:rsidRPr="002942AE">
        <w:rPr>
          <w:rFonts w:ascii="Arial" w:eastAsia="Calibri" w:hAnsi="Arial" w:cs="Arial"/>
          <w:sz w:val="20"/>
          <w:szCs w:val="20"/>
        </w:rPr>
        <w:t xml:space="preserve">, Reader in Speech and Language Therapy at the University of Strathclyde, Glasgow. </w:t>
      </w:r>
    </w:p>
    <w:p w14:paraId="2D7898EA" w14:textId="2E1A37BB" w:rsidR="00E02E36" w:rsidRPr="002942AE"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Professor Jonathan Marsden</w:t>
      </w:r>
      <w:r w:rsidRPr="002942AE">
        <w:rPr>
          <w:rFonts w:ascii="Arial" w:eastAsia="Calibri" w:hAnsi="Arial" w:cs="Arial"/>
          <w:sz w:val="20"/>
          <w:szCs w:val="20"/>
        </w:rPr>
        <w:t xml:space="preserve">, Professor and Chair in Rehabilitation, Plymouth University. </w:t>
      </w:r>
    </w:p>
    <w:p w14:paraId="6F98CCC9" w14:textId="3ED8D5FA" w:rsidR="00E02E36" w:rsidRPr="002942AE"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Professor Andrea Nemeth</w:t>
      </w:r>
      <w:r w:rsidRPr="002942AE">
        <w:rPr>
          <w:rFonts w:ascii="Arial" w:eastAsia="Calibri" w:hAnsi="Arial" w:cs="Arial"/>
          <w:sz w:val="20"/>
          <w:szCs w:val="20"/>
        </w:rPr>
        <w:t xml:space="preserve">, Consultant in Neurogenetics and Associate Professor, Oxford University Hospitals NHS Trust and University of Oxford. </w:t>
      </w:r>
    </w:p>
    <w:p w14:paraId="60432B12" w14:textId="1F95B7E1" w:rsidR="00BC7A23" w:rsidRDefault="00E02E36" w:rsidP="009C6721">
      <w:pPr>
        <w:pStyle w:val="ListParagraph"/>
        <w:numPr>
          <w:ilvl w:val="0"/>
          <w:numId w:val="1"/>
        </w:numPr>
        <w:rPr>
          <w:rFonts w:ascii="Arial" w:eastAsia="Calibri" w:hAnsi="Arial" w:cs="Arial"/>
          <w:sz w:val="20"/>
          <w:szCs w:val="20"/>
        </w:rPr>
      </w:pPr>
      <w:r w:rsidRPr="002942AE">
        <w:rPr>
          <w:rFonts w:ascii="Arial" w:eastAsia="Calibri" w:hAnsi="Arial" w:cs="Arial"/>
          <w:b/>
          <w:sz w:val="20"/>
          <w:szCs w:val="20"/>
        </w:rPr>
        <w:t>Mr Hilali Noordeen</w:t>
      </w:r>
      <w:r w:rsidRPr="002942AE">
        <w:rPr>
          <w:rFonts w:ascii="Arial" w:eastAsia="Calibri" w:hAnsi="Arial" w:cs="Arial"/>
          <w:sz w:val="20"/>
          <w:szCs w:val="20"/>
        </w:rPr>
        <w:t>, Consultant Spinal Surgeon, Royal National Orthopaedic Hospital, London.</w:t>
      </w:r>
    </w:p>
    <w:p w14:paraId="63DE0B2D" w14:textId="4DBC0755" w:rsidR="00E02E36" w:rsidRPr="00BC7A23" w:rsidRDefault="00BC7A23" w:rsidP="009C6721">
      <w:pPr>
        <w:pStyle w:val="ListParagraph"/>
        <w:numPr>
          <w:ilvl w:val="0"/>
          <w:numId w:val="1"/>
        </w:numPr>
        <w:rPr>
          <w:rFonts w:ascii="Arial" w:eastAsia="Calibri" w:hAnsi="Arial" w:cs="Arial"/>
          <w:sz w:val="20"/>
          <w:szCs w:val="20"/>
        </w:rPr>
      </w:pPr>
      <w:r w:rsidRPr="00BC7A23">
        <w:rPr>
          <w:rFonts w:ascii="Arial" w:eastAsia="Calibri" w:hAnsi="Arial" w:cs="Arial"/>
          <w:b/>
          <w:sz w:val="20"/>
          <w:szCs w:val="20"/>
        </w:rPr>
        <w:lastRenderedPageBreak/>
        <w:t>Dr</w:t>
      </w:r>
      <w:r w:rsidR="00E02E36" w:rsidRPr="00BC7A23">
        <w:rPr>
          <w:rFonts w:ascii="Arial" w:eastAsia="Calibri" w:hAnsi="Arial" w:cs="Arial"/>
          <w:b/>
          <w:sz w:val="20"/>
          <w:szCs w:val="20"/>
        </w:rPr>
        <w:t xml:space="preserve"> Jalesh Panicker</w:t>
      </w:r>
      <w:r w:rsidR="00E02E36" w:rsidRPr="00BC7A23">
        <w:rPr>
          <w:rFonts w:ascii="Arial" w:eastAsia="Calibri" w:hAnsi="Arial" w:cs="Arial"/>
          <w:sz w:val="20"/>
          <w:szCs w:val="20"/>
        </w:rPr>
        <w:t>, Consultant Neurologist in Uro-Neurology, National Hospital for Neurology and Neurosurgery</w:t>
      </w:r>
      <w:r>
        <w:rPr>
          <w:rFonts w:ascii="Arial" w:eastAsia="Calibri" w:hAnsi="Arial" w:cs="Arial"/>
          <w:sz w:val="20"/>
          <w:szCs w:val="20"/>
        </w:rPr>
        <w:t>, London</w:t>
      </w:r>
      <w:r w:rsidR="00E02E36" w:rsidRPr="00BC7A23">
        <w:rPr>
          <w:rFonts w:ascii="Arial" w:eastAsia="Calibri" w:hAnsi="Arial" w:cs="Arial"/>
          <w:sz w:val="20"/>
          <w:szCs w:val="20"/>
        </w:rPr>
        <w:t xml:space="preserve">. </w:t>
      </w:r>
    </w:p>
    <w:p w14:paraId="7DD55462" w14:textId="4172247E" w:rsidR="00E02E36" w:rsidRPr="00BC7A23" w:rsidRDefault="00E02E36" w:rsidP="009C6721">
      <w:pPr>
        <w:pStyle w:val="ListParagraph"/>
        <w:numPr>
          <w:ilvl w:val="0"/>
          <w:numId w:val="1"/>
        </w:numPr>
        <w:rPr>
          <w:rFonts w:ascii="Arial" w:eastAsia="Calibri" w:hAnsi="Arial" w:cs="Arial"/>
          <w:sz w:val="20"/>
          <w:szCs w:val="20"/>
        </w:rPr>
      </w:pPr>
      <w:r w:rsidRPr="00BC7A23">
        <w:rPr>
          <w:rFonts w:ascii="Arial" w:eastAsia="Calibri" w:hAnsi="Arial" w:cs="Arial"/>
          <w:b/>
          <w:sz w:val="20"/>
          <w:szCs w:val="20"/>
        </w:rPr>
        <w:t>Dr Antonios Pantazis</w:t>
      </w:r>
      <w:r w:rsidRPr="00BC7A23">
        <w:rPr>
          <w:rFonts w:ascii="Arial" w:eastAsia="Calibri" w:hAnsi="Arial" w:cs="Arial"/>
          <w:sz w:val="20"/>
          <w:szCs w:val="20"/>
        </w:rPr>
        <w:t>,</w:t>
      </w:r>
      <w:r w:rsidR="00BC7A23">
        <w:rPr>
          <w:rFonts w:ascii="Arial" w:eastAsia="Calibri" w:hAnsi="Arial" w:cs="Arial"/>
          <w:sz w:val="20"/>
          <w:szCs w:val="20"/>
        </w:rPr>
        <w:t xml:space="preserve"> </w:t>
      </w:r>
      <w:r w:rsidRPr="00BC7A23">
        <w:rPr>
          <w:rFonts w:ascii="Arial" w:eastAsia="Calibri" w:hAnsi="Arial" w:cs="Arial"/>
          <w:sz w:val="20"/>
          <w:szCs w:val="20"/>
        </w:rPr>
        <w:t xml:space="preserve">Consultant Cardiologist, The Royal Brompton and Harefield Hospitals, London. </w:t>
      </w:r>
    </w:p>
    <w:p w14:paraId="7B5308B4" w14:textId="52EEBCBB" w:rsidR="00E02E36" w:rsidRPr="00BC7A23" w:rsidRDefault="00E02E36" w:rsidP="009C6721">
      <w:pPr>
        <w:pStyle w:val="ListParagraph"/>
        <w:numPr>
          <w:ilvl w:val="0"/>
          <w:numId w:val="1"/>
        </w:numPr>
        <w:rPr>
          <w:rFonts w:ascii="Arial" w:eastAsia="Calibri" w:hAnsi="Arial" w:cs="Arial"/>
          <w:sz w:val="20"/>
          <w:szCs w:val="20"/>
        </w:rPr>
      </w:pPr>
      <w:r w:rsidRPr="00BC7A23">
        <w:rPr>
          <w:rFonts w:ascii="Arial" w:eastAsia="Calibri" w:hAnsi="Arial" w:cs="Arial"/>
          <w:b/>
          <w:sz w:val="20"/>
          <w:szCs w:val="20"/>
        </w:rPr>
        <w:t>Dr Michael H Parkinson</w:t>
      </w:r>
      <w:r w:rsidRPr="00BC7A23">
        <w:rPr>
          <w:rFonts w:ascii="Arial" w:eastAsia="Calibri" w:hAnsi="Arial" w:cs="Arial"/>
          <w:sz w:val="20"/>
          <w:szCs w:val="20"/>
        </w:rPr>
        <w:t xml:space="preserve">, </w:t>
      </w:r>
      <w:r w:rsidR="00BC7A23">
        <w:rPr>
          <w:rFonts w:ascii="Arial" w:eastAsia="Calibri" w:hAnsi="Arial" w:cs="Arial"/>
          <w:sz w:val="20"/>
          <w:szCs w:val="20"/>
        </w:rPr>
        <w:t xml:space="preserve">Consultant </w:t>
      </w:r>
      <w:r w:rsidRPr="00BC7A23">
        <w:rPr>
          <w:rFonts w:ascii="Arial" w:eastAsia="Calibri" w:hAnsi="Arial" w:cs="Arial"/>
          <w:sz w:val="20"/>
          <w:szCs w:val="20"/>
        </w:rPr>
        <w:t>Neurologist, U</w:t>
      </w:r>
      <w:r w:rsidR="00BC7A23">
        <w:rPr>
          <w:rFonts w:ascii="Arial" w:eastAsia="Calibri" w:hAnsi="Arial" w:cs="Arial"/>
          <w:sz w:val="20"/>
          <w:szCs w:val="20"/>
        </w:rPr>
        <w:t xml:space="preserve">CL </w:t>
      </w:r>
      <w:r w:rsidRPr="00BC7A23">
        <w:rPr>
          <w:rFonts w:ascii="Arial" w:eastAsia="Calibri" w:hAnsi="Arial" w:cs="Arial"/>
          <w:sz w:val="20"/>
          <w:szCs w:val="20"/>
        </w:rPr>
        <w:t xml:space="preserve">Institute of Neurology, London. </w:t>
      </w:r>
    </w:p>
    <w:p w14:paraId="681C9CD1" w14:textId="2BCB2C4C" w:rsidR="00E02E36" w:rsidRPr="00BC7A23" w:rsidRDefault="00BC7A23" w:rsidP="009C6721">
      <w:pPr>
        <w:pStyle w:val="ListParagraph"/>
        <w:numPr>
          <w:ilvl w:val="0"/>
          <w:numId w:val="1"/>
        </w:numPr>
        <w:rPr>
          <w:rFonts w:ascii="Arial" w:eastAsia="Calibri" w:hAnsi="Arial" w:cs="Arial"/>
          <w:i/>
          <w:sz w:val="20"/>
          <w:szCs w:val="20"/>
        </w:rPr>
      </w:pPr>
      <w:r>
        <w:rPr>
          <w:rFonts w:ascii="Arial" w:eastAsia="Calibri" w:hAnsi="Arial" w:cs="Arial"/>
          <w:b/>
          <w:sz w:val="20"/>
          <w:szCs w:val="20"/>
        </w:rPr>
        <w:t>M</w:t>
      </w:r>
      <w:r w:rsidR="00E02E36" w:rsidRPr="00BC7A23">
        <w:rPr>
          <w:rFonts w:ascii="Arial" w:eastAsia="Calibri" w:hAnsi="Arial" w:cs="Arial"/>
          <w:b/>
          <w:sz w:val="20"/>
          <w:szCs w:val="20"/>
        </w:rPr>
        <w:t>s Liz Redmond</w:t>
      </w:r>
      <w:r w:rsidR="00E02E36" w:rsidRPr="00BC7A23">
        <w:rPr>
          <w:rFonts w:ascii="Arial" w:eastAsia="Calibri" w:hAnsi="Arial" w:cs="Arial"/>
          <w:sz w:val="20"/>
          <w:szCs w:val="20"/>
        </w:rPr>
        <w:t xml:space="preserve">, Neurogenetics </w:t>
      </w:r>
      <w:r>
        <w:rPr>
          <w:rFonts w:ascii="Arial" w:eastAsia="Calibri" w:hAnsi="Arial" w:cs="Arial"/>
          <w:sz w:val="20"/>
          <w:szCs w:val="20"/>
        </w:rPr>
        <w:t>N</w:t>
      </w:r>
      <w:r w:rsidR="00E02E36" w:rsidRPr="00BC7A23">
        <w:rPr>
          <w:rFonts w:ascii="Arial" w:eastAsia="Calibri" w:hAnsi="Arial" w:cs="Arial"/>
          <w:sz w:val="20"/>
          <w:szCs w:val="20"/>
        </w:rPr>
        <w:t>urse, Ataxia Clinic at National Hospital for Neurology and Neurosurgery</w:t>
      </w:r>
      <w:r>
        <w:rPr>
          <w:rFonts w:ascii="Arial" w:eastAsia="Calibri" w:hAnsi="Arial" w:cs="Arial"/>
          <w:sz w:val="20"/>
          <w:szCs w:val="20"/>
        </w:rPr>
        <w:t>,</w:t>
      </w:r>
      <w:r w:rsidR="00E02E36" w:rsidRPr="00BC7A23">
        <w:rPr>
          <w:rFonts w:ascii="Arial" w:eastAsia="Calibri" w:hAnsi="Arial" w:cs="Arial"/>
          <w:sz w:val="20"/>
          <w:szCs w:val="20"/>
        </w:rPr>
        <w:t xml:space="preserve"> London. </w:t>
      </w:r>
    </w:p>
    <w:p w14:paraId="03C47845" w14:textId="2C6F3BB3" w:rsidR="00E02E36" w:rsidRDefault="00BC7A23" w:rsidP="009C6721">
      <w:pPr>
        <w:pStyle w:val="ListParagraph"/>
        <w:numPr>
          <w:ilvl w:val="0"/>
          <w:numId w:val="1"/>
        </w:numPr>
        <w:rPr>
          <w:rFonts w:ascii="Arial" w:eastAsia="Calibri" w:hAnsi="Arial" w:cs="Arial"/>
          <w:sz w:val="20"/>
          <w:szCs w:val="20"/>
        </w:rPr>
      </w:pPr>
      <w:r>
        <w:rPr>
          <w:rFonts w:ascii="Arial" w:eastAsia="Calibri" w:hAnsi="Arial" w:cs="Arial"/>
          <w:b/>
          <w:sz w:val="20"/>
          <w:szCs w:val="20"/>
        </w:rPr>
        <w:t>D</w:t>
      </w:r>
      <w:r w:rsidR="00E02E36" w:rsidRPr="00BC7A23">
        <w:rPr>
          <w:rFonts w:ascii="Arial" w:eastAsia="Calibri" w:hAnsi="Arial" w:cs="Arial"/>
          <w:b/>
          <w:sz w:val="20"/>
          <w:szCs w:val="20"/>
        </w:rPr>
        <w:t>r Kai Uus</w:t>
      </w:r>
      <w:r w:rsidR="00E02E36" w:rsidRPr="00BC7A23">
        <w:rPr>
          <w:rFonts w:ascii="Arial" w:eastAsia="Calibri" w:hAnsi="Arial" w:cs="Arial"/>
          <w:sz w:val="20"/>
          <w:szCs w:val="20"/>
        </w:rPr>
        <w:t xml:space="preserve">, Reader in Audiology, Manchester University. </w:t>
      </w:r>
    </w:p>
    <w:p w14:paraId="5791F922" w14:textId="4B495C30" w:rsidR="00BC7A23" w:rsidRDefault="00BC7A23">
      <w:pPr>
        <w:rPr>
          <w:rFonts w:ascii="Arial" w:eastAsia="Calibri" w:hAnsi="Arial" w:cs="Arial"/>
          <w:sz w:val="20"/>
          <w:szCs w:val="20"/>
        </w:rPr>
      </w:pPr>
      <w:r>
        <w:rPr>
          <w:rFonts w:ascii="Arial" w:eastAsia="Calibri" w:hAnsi="Arial" w:cs="Arial"/>
          <w:sz w:val="20"/>
          <w:szCs w:val="20"/>
        </w:rPr>
        <w:br w:type="page"/>
      </w:r>
    </w:p>
    <w:tbl>
      <w:tblPr>
        <w:tblW w:w="963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8782"/>
        <w:gridCol w:w="848"/>
      </w:tblGrid>
      <w:tr w:rsidR="0082754D" w14:paraId="0A4DFE14" w14:textId="77777777" w:rsidTr="00A273E7">
        <w:trPr>
          <w:trHeight w:val="320"/>
        </w:trPr>
        <w:tc>
          <w:tcPr>
            <w:tcW w:w="8782" w:type="dxa"/>
            <w:tcBorders>
              <w:top w:val="nil"/>
              <w:left w:val="nil"/>
              <w:bottom w:val="single" w:sz="18" w:space="0" w:color="000000"/>
              <w:right w:val="nil"/>
            </w:tcBorders>
            <w:shd w:val="clear" w:color="auto" w:fill="auto"/>
            <w:tcMar>
              <w:top w:w="80" w:type="dxa"/>
              <w:left w:w="80" w:type="dxa"/>
              <w:bottom w:w="80" w:type="dxa"/>
              <w:right w:w="80" w:type="dxa"/>
            </w:tcMar>
            <w:hideMark/>
          </w:tcPr>
          <w:p w14:paraId="43EE8EBF" w14:textId="139C90D6" w:rsidR="0082754D" w:rsidRDefault="0082754D" w:rsidP="005A7D31">
            <w:pPr>
              <w:pStyle w:val="TableStyle2A"/>
            </w:pPr>
            <w:r>
              <w:rPr>
                <w:rStyle w:val="None"/>
                <w:b/>
                <w:bCs/>
                <w:sz w:val="24"/>
                <w:szCs w:val="24"/>
              </w:rPr>
              <w:lastRenderedPageBreak/>
              <w:t>Table s</w:t>
            </w:r>
            <w:r w:rsidR="00563F90">
              <w:rPr>
                <w:rStyle w:val="None"/>
                <w:b/>
                <w:bCs/>
                <w:sz w:val="24"/>
                <w:szCs w:val="24"/>
              </w:rPr>
              <w:t>2</w:t>
            </w:r>
            <w:r w:rsidR="00A273E7">
              <w:rPr>
                <w:rStyle w:val="None"/>
                <w:b/>
                <w:bCs/>
                <w:sz w:val="24"/>
                <w:szCs w:val="24"/>
              </w:rPr>
              <w:t>:</w:t>
            </w:r>
            <w:r>
              <w:rPr>
                <w:rStyle w:val="None"/>
                <w:b/>
                <w:bCs/>
                <w:sz w:val="24"/>
                <w:szCs w:val="24"/>
              </w:rPr>
              <w:t xml:space="preserve"> </w:t>
            </w:r>
            <w:r w:rsidR="00A273E7">
              <w:rPr>
                <w:rStyle w:val="None"/>
                <w:b/>
                <w:bCs/>
                <w:sz w:val="24"/>
                <w:szCs w:val="24"/>
              </w:rPr>
              <w:t xml:space="preserve"> </w:t>
            </w:r>
            <w:r>
              <w:rPr>
                <w:rStyle w:val="None"/>
                <w:b/>
                <w:bCs/>
                <w:sz w:val="24"/>
                <w:szCs w:val="24"/>
              </w:rPr>
              <w:t>Allied health professional interventions</w:t>
            </w:r>
          </w:p>
        </w:tc>
        <w:tc>
          <w:tcPr>
            <w:tcW w:w="848" w:type="dxa"/>
            <w:tcBorders>
              <w:top w:val="nil"/>
              <w:left w:val="nil"/>
              <w:bottom w:val="single" w:sz="18" w:space="0" w:color="000000"/>
              <w:right w:val="nil"/>
            </w:tcBorders>
            <w:shd w:val="clear" w:color="auto" w:fill="auto"/>
            <w:tcMar>
              <w:top w:w="80" w:type="dxa"/>
              <w:left w:w="80" w:type="dxa"/>
              <w:bottom w:w="80" w:type="dxa"/>
              <w:right w:w="80" w:type="dxa"/>
            </w:tcMar>
          </w:tcPr>
          <w:p w14:paraId="31E71CF0" w14:textId="77777777" w:rsidR="0082754D" w:rsidRDefault="0082754D" w:rsidP="005A7D31">
            <w:pPr>
              <w:rPr>
                <w:sz w:val="24"/>
                <w:szCs w:val="24"/>
                <w:lang w:val="en-US"/>
              </w:rPr>
            </w:pPr>
          </w:p>
        </w:tc>
      </w:tr>
      <w:tr w:rsidR="0082754D" w14:paraId="065207A8" w14:textId="77777777" w:rsidTr="00A273E7">
        <w:trPr>
          <w:trHeight w:val="360"/>
        </w:trPr>
        <w:tc>
          <w:tcPr>
            <w:tcW w:w="8782" w:type="dxa"/>
            <w:tcBorders>
              <w:top w:val="single" w:sz="18" w:space="0" w:color="000000"/>
              <w:left w:val="nil"/>
              <w:bottom w:val="nil"/>
              <w:right w:val="nil"/>
            </w:tcBorders>
            <w:shd w:val="clear" w:color="auto" w:fill="auto"/>
            <w:tcMar>
              <w:top w:w="80" w:type="dxa"/>
              <w:left w:w="80" w:type="dxa"/>
              <w:bottom w:w="80" w:type="dxa"/>
              <w:right w:w="80" w:type="dxa"/>
            </w:tcMar>
          </w:tcPr>
          <w:p w14:paraId="6D190567" w14:textId="77777777" w:rsidR="0082754D" w:rsidRDefault="0082754D" w:rsidP="005A7D31">
            <w:pPr>
              <w:rPr>
                <w:sz w:val="24"/>
                <w:szCs w:val="24"/>
                <w:lang w:val="en-US"/>
              </w:rPr>
            </w:pPr>
          </w:p>
        </w:tc>
        <w:tc>
          <w:tcPr>
            <w:tcW w:w="848" w:type="dxa"/>
            <w:tcBorders>
              <w:top w:val="single" w:sz="18" w:space="0" w:color="000000"/>
              <w:left w:val="nil"/>
              <w:bottom w:val="nil"/>
              <w:right w:val="nil"/>
            </w:tcBorders>
            <w:shd w:val="clear" w:color="auto" w:fill="auto"/>
            <w:tcMar>
              <w:top w:w="80" w:type="dxa"/>
              <w:left w:w="80" w:type="dxa"/>
              <w:bottom w:w="80" w:type="dxa"/>
              <w:right w:w="80" w:type="dxa"/>
            </w:tcMar>
          </w:tcPr>
          <w:p w14:paraId="73F12CD6" w14:textId="77777777" w:rsidR="0082754D" w:rsidRDefault="0082754D" w:rsidP="005A7D31">
            <w:pPr>
              <w:rPr>
                <w:sz w:val="24"/>
                <w:szCs w:val="24"/>
                <w:lang w:val="en-US"/>
              </w:rPr>
            </w:pPr>
          </w:p>
        </w:tc>
      </w:tr>
      <w:tr w:rsidR="0082754D" w14:paraId="405EAA2F" w14:textId="77777777" w:rsidTr="00A273E7">
        <w:trPr>
          <w:trHeight w:val="260"/>
        </w:trPr>
        <w:tc>
          <w:tcPr>
            <w:tcW w:w="8782" w:type="dxa"/>
            <w:tcBorders>
              <w:top w:val="nil"/>
              <w:left w:val="nil"/>
              <w:bottom w:val="nil"/>
              <w:right w:val="nil"/>
            </w:tcBorders>
            <w:shd w:val="clear" w:color="auto" w:fill="auto"/>
            <w:tcMar>
              <w:top w:w="80" w:type="dxa"/>
              <w:left w:w="80" w:type="dxa"/>
              <w:bottom w:w="80" w:type="dxa"/>
              <w:right w:w="80" w:type="dxa"/>
            </w:tcMar>
            <w:hideMark/>
          </w:tcPr>
          <w:p w14:paraId="13FC5987" w14:textId="77777777" w:rsidR="0082754D" w:rsidRDefault="0082754D" w:rsidP="005A7D31">
            <w:pPr>
              <w:pStyle w:val="TableStyle2A"/>
            </w:pPr>
            <w:r>
              <w:rPr>
                <w:rStyle w:val="None"/>
                <w:b/>
                <w:bCs/>
              </w:rPr>
              <w:t>Recommendation</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53034AF0" w14:textId="77777777" w:rsidR="0082754D" w:rsidRDefault="0082754D" w:rsidP="005A7D31">
            <w:pPr>
              <w:pStyle w:val="TableStyle2A"/>
            </w:pPr>
            <w:r>
              <w:rPr>
                <w:rStyle w:val="None"/>
                <w:b/>
                <w:bCs/>
              </w:rPr>
              <w:t>Grade</w:t>
            </w:r>
          </w:p>
        </w:tc>
      </w:tr>
      <w:tr w:rsidR="0082754D" w14:paraId="717C3ACF" w14:textId="77777777" w:rsidTr="00A273E7">
        <w:trPr>
          <w:trHeight w:val="453"/>
        </w:trPr>
        <w:tc>
          <w:tcPr>
            <w:tcW w:w="8782" w:type="dxa"/>
            <w:tcBorders>
              <w:top w:val="nil"/>
              <w:left w:val="nil"/>
              <w:bottom w:val="nil"/>
              <w:right w:val="nil"/>
            </w:tcBorders>
            <w:shd w:val="clear" w:color="auto" w:fill="auto"/>
            <w:tcMar>
              <w:top w:w="80" w:type="dxa"/>
              <w:left w:w="80" w:type="dxa"/>
              <w:bottom w:w="80" w:type="dxa"/>
              <w:right w:w="80" w:type="dxa"/>
            </w:tcMar>
            <w:hideMark/>
          </w:tcPr>
          <w:p w14:paraId="0AB3B47B" w14:textId="6043E545" w:rsidR="0082754D" w:rsidRDefault="0082754D" w:rsidP="005A7D31">
            <w:pPr>
              <w:pStyle w:val="TableStyle2A"/>
            </w:pPr>
            <w:r>
              <w:rPr>
                <w:rStyle w:val="None"/>
                <w:rFonts w:ascii="Arial" w:hAnsi="Arial"/>
              </w:rPr>
              <w:t>Referral to a full range of therapies including speech and language therapy</w:t>
            </w:r>
            <w:r w:rsidR="00A273E7">
              <w:rPr>
                <w:rStyle w:val="None"/>
                <w:rFonts w:ascii="Arial" w:hAnsi="Arial"/>
              </w:rPr>
              <w:t xml:space="preserve"> (SLT)</w:t>
            </w:r>
            <w:r>
              <w:rPr>
                <w:rStyle w:val="None"/>
                <w:rFonts w:ascii="Arial" w:hAnsi="Arial"/>
              </w:rPr>
              <w:t>, physiotherapy</w:t>
            </w:r>
            <w:r w:rsidR="007E181D">
              <w:rPr>
                <w:rStyle w:val="None"/>
                <w:rFonts w:ascii="Arial" w:hAnsi="Arial"/>
              </w:rPr>
              <w:t xml:space="preserve"> (PT)</w:t>
            </w:r>
            <w:r>
              <w:rPr>
                <w:rStyle w:val="None"/>
                <w:rFonts w:ascii="Arial" w:hAnsi="Arial"/>
              </w:rPr>
              <w:t xml:space="preserve"> and occupational therapy </w:t>
            </w:r>
            <w:r w:rsidR="003476A4">
              <w:rPr>
                <w:rStyle w:val="None"/>
                <w:rFonts w:ascii="Arial" w:hAnsi="Arial"/>
              </w:rPr>
              <w:t xml:space="preserve">(OT) </w:t>
            </w:r>
            <w:r>
              <w:rPr>
                <w:rStyle w:val="None"/>
                <w:rFonts w:ascii="Arial" w:hAnsi="Arial"/>
              </w:rPr>
              <w:t xml:space="preserve">should be made available to patients with ataxia.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2B1F7946" w14:textId="77777777" w:rsidR="0082754D" w:rsidRDefault="0082754D" w:rsidP="005A7D31">
            <w:pPr>
              <w:pStyle w:val="TableStyle2A"/>
            </w:pPr>
            <w:r>
              <w:rPr>
                <w:rStyle w:val="None"/>
              </w:rPr>
              <w:t>GPP</w:t>
            </w:r>
          </w:p>
        </w:tc>
      </w:tr>
      <w:tr w:rsidR="0082754D" w14:paraId="419D8193" w14:textId="77777777" w:rsidTr="00A273E7">
        <w:trPr>
          <w:trHeight w:val="310"/>
        </w:trPr>
        <w:tc>
          <w:tcPr>
            <w:tcW w:w="8782" w:type="dxa"/>
            <w:tcBorders>
              <w:top w:val="nil"/>
              <w:left w:val="nil"/>
              <w:bottom w:val="nil"/>
              <w:right w:val="nil"/>
            </w:tcBorders>
            <w:shd w:val="clear" w:color="auto" w:fill="auto"/>
            <w:tcMar>
              <w:top w:w="80" w:type="dxa"/>
              <w:left w:w="80" w:type="dxa"/>
              <w:bottom w:w="80" w:type="dxa"/>
              <w:right w:w="80" w:type="dxa"/>
            </w:tcMar>
            <w:hideMark/>
          </w:tcPr>
          <w:p w14:paraId="790BE37C" w14:textId="77777777" w:rsidR="00A273E7" w:rsidRDefault="00A273E7" w:rsidP="005A7D31">
            <w:pPr>
              <w:pStyle w:val="TableStyle2A"/>
              <w:rPr>
                <w:rStyle w:val="None"/>
                <w:b/>
                <w:bCs/>
              </w:rPr>
            </w:pPr>
          </w:p>
          <w:p w14:paraId="45E902DF" w14:textId="0EEEC518" w:rsidR="0082754D" w:rsidRDefault="00A273E7" w:rsidP="005A7D31">
            <w:pPr>
              <w:pStyle w:val="TableStyle2A"/>
            </w:pPr>
            <w:r>
              <w:rPr>
                <w:rStyle w:val="None"/>
                <w:b/>
                <w:bCs/>
              </w:rPr>
              <w:t>s2</w:t>
            </w:r>
            <w:r w:rsidR="0082754D">
              <w:rPr>
                <w:rStyle w:val="None"/>
                <w:b/>
                <w:bCs/>
              </w:rPr>
              <w:t>.1 Speech and language therapy</w:t>
            </w:r>
          </w:p>
        </w:tc>
        <w:tc>
          <w:tcPr>
            <w:tcW w:w="848" w:type="dxa"/>
            <w:tcBorders>
              <w:top w:val="nil"/>
              <w:left w:val="nil"/>
              <w:bottom w:val="nil"/>
              <w:right w:val="nil"/>
            </w:tcBorders>
            <w:shd w:val="clear" w:color="auto" w:fill="auto"/>
            <w:tcMar>
              <w:top w:w="80" w:type="dxa"/>
              <w:left w:w="80" w:type="dxa"/>
              <w:bottom w:w="80" w:type="dxa"/>
              <w:right w:w="80" w:type="dxa"/>
            </w:tcMar>
          </w:tcPr>
          <w:p w14:paraId="171FFF9A" w14:textId="77777777" w:rsidR="0082754D" w:rsidRDefault="0082754D" w:rsidP="005A7D31">
            <w:pPr>
              <w:rPr>
                <w:sz w:val="24"/>
                <w:szCs w:val="24"/>
                <w:lang w:val="en-US"/>
              </w:rPr>
            </w:pPr>
          </w:p>
        </w:tc>
      </w:tr>
      <w:tr w:rsidR="0082754D" w14:paraId="5B857E5D" w14:textId="77777777" w:rsidTr="00A273E7">
        <w:trPr>
          <w:trHeight w:val="260"/>
        </w:trPr>
        <w:tc>
          <w:tcPr>
            <w:tcW w:w="8782" w:type="dxa"/>
            <w:tcBorders>
              <w:top w:val="nil"/>
              <w:left w:val="nil"/>
              <w:bottom w:val="nil"/>
              <w:right w:val="nil"/>
            </w:tcBorders>
            <w:shd w:val="clear" w:color="auto" w:fill="auto"/>
            <w:tcMar>
              <w:top w:w="80" w:type="dxa"/>
              <w:left w:w="80" w:type="dxa"/>
              <w:bottom w:w="80" w:type="dxa"/>
              <w:right w:w="80" w:type="dxa"/>
            </w:tcMar>
            <w:hideMark/>
          </w:tcPr>
          <w:p w14:paraId="5280BAF2" w14:textId="77777777" w:rsidR="0082754D" w:rsidRDefault="0082754D" w:rsidP="005A7D31">
            <w:pPr>
              <w:pStyle w:val="TableStyle2A"/>
            </w:pPr>
            <w:r>
              <w:rPr>
                <w:rStyle w:val="None"/>
                <w:rFonts w:ascii="Arial" w:hAnsi="Arial"/>
                <w:b/>
                <w:bCs/>
              </w:rPr>
              <w:t>Recommendation</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2F90A7E3" w14:textId="77777777" w:rsidR="0082754D" w:rsidRDefault="0082754D" w:rsidP="005A7D31">
            <w:pPr>
              <w:pStyle w:val="TableStyle2A"/>
            </w:pPr>
            <w:r>
              <w:rPr>
                <w:rStyle w:val="None"/>
                <w:b/>
                <w:bCs/>
              </w:rPr>
              <w:t>Grade</w:t>
            </w:r>
          </w:p>
        </w:tc>
      </w:tr>
      <w:tr w:rsidR="0082754D" w14:paraId="64D21C85" w14:textId="77777777" w:rsidTr="00A273E7">
        <w:trPr>
          <w:trHeight w:val="673"/>
        </w:trPr>
        <w:tc>
          <w:tcPr>
            <w:tcW w:w="8782" w:type="dxa"/>
            <w:tcBorders>
              <w:top w:val="nil"/>
              <w:left w:val="nil"/>
              <w:bottom w:val="nil"/>
              <w:right w:val="nil"/>
            </w:tcBorders>
            <w:shd w:val="clear" w:color="auto" w:fill="auto"/>
            <w:tcMar>
              <w:top w:w="80" w:type="dxa"/>
              <w:left w:w="80" w:type="dxa"/>
              <w:bottom w:w="80" w:type="dxa"/>
              <w:right w:w="80" w:type="dxa"/>
            </w:tcMar>
            <w:hideMark/>
          </w:tcPr>
          <w:p w14:paraId="2B4D99E4" w14:textId="15941B01" w:rsidR="0082754D" w:rsidRDefault="0082754D" w:rsidP="005A7D31">
            <w:pPr>
              <w:pStyle w:val="TableStyle2A"/>
            </w:pPr>
            <w:r>
              <w:rPr>
                <w:rStyle w:val="None"/>
                <w:rFonts w:ascii="Arial" w:hAnsi="Arial"/>
              </w:rPr>
              <w:t xml:space="preserve">If patients experience specific difficulties with either their communication and/or swallowing a referral to SLT is recommended. An open referral system should be in place where patients are able to access help from SLT as and when required.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5B158D14" w14:textId="77777777" w:rsidR="0082754D" w:rsidRDefault="0082754D" w:rsidP="005A7D31">
            <w:pPr>
              <w:pStyle w:val="TableStyle2A"/>
            </w:pPr>
            <w:r>
              <w:rPr>
                <w:rStyle w:val="None"/>
              </w:rPr>
              <w:t>GPP</w:t>
            </w:r>
          </w:p>
        </w:tc>
      </w:tr>
      <w:tr w:rsidR="0082754D" w14:paraId="671D3A4F" w14:textId="77777777" w:rsidTr="00A273E7">
        <w:trPr>
          <w:trHeight w:val="673"/>
        </w:trPr>
        <w:tc>
          <w:tcPr>
            <w:tcW w:w="8782" w:type="dxa"/>
            <w:tcBorders>
              <w:top w:val="nil"/>
              <w:left w:val="nil"/>
              <w:bottom w:val="nil"/>
              <w:right w:val="nil"/>
            </w:tcBorders>
            <w:shd w:val="clear" w:color="auto" w:fill="auto"/>
            <w:tcMar>
              <w:top w:w="80" w:type="dxa"/>
              <w:left w:w="80" w:type="dxa"/>
              <w:bottom w:w="80" w:type="dxa"/>
              <w:right w:w="80" w:type="dxa"/>
            </w:tcMar>
            <w:hideMark/>
          </w:tcPr>
          <w:p w14:paraId="6B9CF580" w14:textId="4859AE58" w:rsidR="0082754D" w:rsidRDefault="0082754D" w:rsidP="005A7D31">
            <w:pPr>
              <w:pStyle w:val="TableStyle2A"/>
            </w:pPr>
            <w:r>
              <w:rPr>
                <w:rStyle w:val="None"/>
                <w:rFonts w:ascii="Arial" w:hAnsi="Arial"/>
              </w:rPr>
              <w:t xml:space="preserve">It is important that </w:t>
            </w:r>
            <w:r w:rsidR="00A273E7">
              <w:rPr>
                <w:rStyle w:val="None"/>
                <w:rFonts w:ascii="Arial" w:hAnsi="Arial"/>
              </w:rPr>
              <w:t>speech and language therapists (</w:t>
            </w:r>
            <w:r>
              <w:rPr>
                <w:rStyle w:val="None"/>
                <w:rFonts w:ascii="Arial" w:hAnsi="Arial"/>
              </w:rPr>
              <w:t>SLTs</w:t>
            </w:r>
            <w:r w:rsidR="00A273E7">
              <w:rPr>
                <w:rStyle w:val="None"/>
                <w:rFonts w:ascii="Arial" w:hAnsi="Arial"/>
              </w:rPr>
              <w:t>)</w:t>
            </w:r>
            <w:r>
              <w:rPr>
                <w:rStyle w:val="None"/>
                <w:rFonts w:ascii="Arial" w:hAnsi="Arial"/>
              </w:rPr>
              <w:t xml:space="preserve"> undertake a comprehensive assessment of each patient’s communication, which takes into consideration the impact of communication difficulties on the individual’s activities of daily living and life roles.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7F8331DF" w14:textId="77777777" w:rsidR="0082754D" w:rsidRDefault="0082754D" w:rsidP="005A7D31">
            <w:pPr>
              <w:pStyle w:val="TableStyle2A"/>
            </w:pPr>
            <w:r>
              <w:rPr>
                <w:rStyle w:val="None"/>
              </w:rPr>
              <w:t>GPP</w:t>
            </w:r>
          </w:p>
        </w:tc>
      </w:tr>
      <w:tr w:rsidR="0082754D" w14:paraId="619E7C3E" w14:textId="77777777" w:rsidTr="00A273E7">
        <w:trPr>
          <w:trHeight w:val="673"/>
        </w:trPr>
        <w:tc>
          <w:tcPr>
            <w:tcW w:w="8782" w:type="dxa"/>
            <w:tcBorders>
              <w:top w:val="nil"/>
              <w:left w:val="nil"/>
              <w:bottom w:val="nil"/>
              <w:right w:val="nil"/>
            </w:tcBorders>
            <w:shd w:val="clear" w:color="auto" w:fill="auto"/>
            <w:tcMar>
              <w:top w:w="80" w:type="dxa"/>
              <w:left w:w="80" w:type="dxa"/>
              <w:bottom w:w="80" w:type="dxa"/>
              <w:right w:w="80" w:type="dxa"/>
            </w:tcMar>
            <w:hideMark/>
          </w:tcPr>
          <w:p w14:paraId="6752E41B" w14:textId="266B750D" w:rsidR="0082754D" w:rsidRDefault="00A273E7" w:rsidP="005A7D31">
            <w:pPr>
              <w:pStyle w:val="TableStyle2A"/>
            </w:pPr>
            <w:r>
              <w:rPr>
                <w:rStyle w:val="None"/>
                <w:rFonts w:ascii="Arial" w:hAnsi="Arial"/>
              </w:rPr>
              <w:t xml:space="preserve">SLTs </w:t>
            </w:r>
            <w:r w:rsidR="0082754D">
              <w:rPr>
                <w:rStyle w:val="None"/>
                <w:rFonts w:ascii="Arial" w:hAnsi="Arial"/>
              </w:rPr>
              <w:t>should be vigilant for any signs of cognitive and/or hearing difficulties in patients with ataxia that might impact on communication</w:t>
            </w:r>
            <w:r>
              <w:rPr>
                <w:rStyle w:val="None"/>
                <w:rFonts w:ascii="Arial" w:hAnsi="Arial"/>
              </w:rPr>
              <w:t>,</w:t>
            </w:r>
            <w:r w:rsidR="0082754D">
              <w:rPr>
                <w:rStyle w:val="None"/>
                <w:rFonts w:ascii="Arial" w:hAnsi="Arial"/>
              </w:rPr>
              <w:t xml:space="preserve"> and the management strategy should be modified accordingly.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7205BFDD" w14:textId="77777777" w:rsidR="0082754D" w:rsidRDefault="0082754D" w:rsidP="005A7D31">
            <w:pPr>
              <w:pStyle w:val="TableStyle2A"/>
            </w:pPr>
            <w:r>
              <w:rPr>
                <w:rStyle w:val="None"/>
              </w:rPr>
              <w:t>GPP</w:t>
            </w:r>
          </w:p>
        </w:tc>
      </w:tr>
      <w:tr w:rsidR="0082754D" w14:paraId="30DEE6BD" w14:textId="77777777" w:rsidTr="00A273E7">
        <w:trPr>
          <w:trHeight w:val="673"/>
        </w:trPr>
        <w:tc>
          <w:tcPr>
            <w:tcW w:w="8782" w:type="dxa"/>
            <w:tcBorders>
              <w:top w:val="nil"/>
              <w:left w:val="nil"/>
              <w:bottom w:val="nil"/>
              <w:right w:val="nil"/>
            </w:tcBorders>
            <w:shd w:val="clear" w:color="auto" w:fill="auto"/>
            <w:tcMar>
              <w:top w:w="80" w:type="dxa"/>
              <w:left w:w="80" w:type="dxa"/>
              <w:bottom w:w="80" w:type="dxa"/>
              <w:right w:w="80" w:type="dxa"/>
            </w:tcMar>
            <w:hideMark/>
          </w:tcPr>
          <w:p w14:paraId="18113336" w14:textId="79575BE9" w:rsidR="0082754D" w:rsidRDefault="0082754D" w:rsidP="005A7D31">
            <w:pPr>
              <w:pStyle w:val="TableStyle2A"/>
            </w:pPr>
            <w:r>
              <w:rPr>
                <w:rStyle w:val="None"/>
                <w:rFonts w:ascii="Arial" w:hAnsi="Arial"/>
              </w:rPr>
              <w:t>In the absence of evidence</w:t>
            </w:r>
            <w:r w:rsidR="00A273E7">
              <w:rPr>
                <w:rStyle w:val="None"/>
                <w:rFonts w:ascii="Arial" w:hAnsi="Arial"/>
              </w:rPr>
              <w:t>-</w:t>
            </w:r>
            <w:r>
              <w:rPr>
                <w:rStyle w:val="None"/>
                <w:rFonts w:ascii="Arial" w:hAnsi="Arial"/>
              </w:rPr>
              <w:t>based guidance on the most effective treatment, the therapist will need to devise individualised treatment programmes for dysarthria</w:t>
            </w:r>
            <w:r w:rsidR="00A273E7">
              <w:rPr>
                <w:rStyle w:val="None"/>
                <w:rFonts w:ascii="Arial" w:hAnsi="Arial"/>
              </w:rPr>
              <w:t>,</w:t>
            </w:r>
            <w:r>
              <w:rPr>
                <w:rStyle w:val="None"/>
                <w:rFonts w:ascii="Arial" w:hAnsi="Arial"/>
              </w:rPr>
              <w:t xml:space="preserve"> based on findings of a comprehensive assessment.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66E66C8A" w14:textId="77777777" w:rsidR="0082754D" w:rsidRDefault="0082754D" w:rsidP="005A7D31">
            <w:pPr>
              <w:pStyle w:val="TableStyle2A"/>
            </w:pPr>
            <w:r>
              <w:rPr>
                <w:rStyle w:val="None"/>
              </w:rPr>
              <w:t>GPP</w:t>
            </w:r>
          </w:p>
        </w:tc>
      </w:tr>
      <w:tr w:rsidR="0082754D" w14:paraId="002DF5A0" w14:textId="77777777" w:rsidTr="00A273E7">
        <w:trPr>
          <w:trHeight w:val="673"/>
        </w:trPr>
        <w:tc>
          <w:tcPr>
            <w:tcW w:w="8782" w:type="dxa"/>
            <w:tcBorders>
              <w:top w:val="nil"/>
              <w:left w:val="nil"/>
              <w:bottom w:val="nil"/>
              <w:right w:val="nil"/>
            </w:tcBorders>
            <w:shd w:val="clear" w:color="auto" w:fill="auto"/>
            <w:tcMar>
              <w:top w:w="80" w:type="dxa"/>
              <w:left w:w="80" w:type="dxa"/>
              <w:bottom w:w="80" w:type="dxa"/>
              <w:right w:w="80" w:type="dxa"/>
            </w:tcMar>
            <w:hideMark/>
          </w:tcPr>
          <w:p w14:paraId="7246BD1E" w14:textId="77777777" w:rsidR="0082754D" w:rsidRDefault="0082754D" w:rsidP="005A7D31">
            <w:pPr>
              <w:pStyle w:val="TableStyle2A"/>
            </w:pPr>
            <w:r>
              <w:rPr>
                <w:rStyle w:val="None"/>
                <w:rFonts w:ascii="Arial" w:hAnsi="Arial"/>
              </w:rPr>
              <w:t xml:space="preserve">When speech intelligibility levels fall below 50% or when reduced intelligibility has a significant impact on functional communication, alternative and augmentative means of communication should be considered.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1ED22DA6" w14:textId="4EB0AFD9" w:rsidR="0082754D" w:rsidRDefault="0082754D" w:rsidP="005A7D31">
            <w:pPr>
              <w:pStyle w:val="TableStyle2A"/>
            </w:pPr>
            <w:r>
              <w:rPr>
                <w:rStyle w:val="None"/>
              </w:rPr>
              <w:t xml:space="preserve">D </w:t>
            </w:r>
            <w:r>
              <w:rPr>
                <w:rStyle w:val="None"/>
                <w:rFonts w:ascii="Arial" w:hAnsi="Arial" w:cs="Arial"/>
                <w:vertAlign w:val="superscript"/>
              </w:rPr>
              <w:t>[5</w:t>
            </w:r>
            <w:r w:rsidR="00401FD9">
              <w:rPr>
                <w:rStyle w:val="None"/>
                <w:rFonts w:ascii="Arial" w:hAnsi="Arial" w:cs="Arial"/>
                <w:vertAlign w:val="superscript"/>
              </w:rPr>
              <w:t>2</w:t>
            </w:r>
            <w:r>
              <w:rPr>
                <w:rStyle w:val="None"/>
                <w:rFonts w:ascii="Arial" w:hAnsi="Arial" w:cs="Arial"/>
                <w:vertAlign w:val="superscript"/>
              </w:rPr>
              <w:t>]</w:t>
            </w:r>
          </w:p>
        </w:tc>
      </w:tr>
      <w:tr w:rsidR="0082754D" w14:paraId="461421E5" w14:textId="77777777" w:rsidTr="00A273E7">
        <w:trPr>
          <w:trHeight w:val="673"/>
        </w:trPr>
        <w:tc>
          <w:tcPr>
            <w:tcW w:w="8782" w:type="dxa"/>
            <w:tcBorders>
              <w:top w:val="nil"/>
              <w:left w:val="nil"/>
              <w:bottom w:val="nil"/>
              <w:right w:val="nil"/>
            </w:tcBorders>
            <w:shd w:val="clear" w:color="auto" w:fill="auto"/>
            <w:tcMar>
              <w:top w:w="80" w:type="dxa"/>
              <w:left w:w="80" w:type="dxa"/>
              <w:bottom w:w="80" w:type="dxa"/>
              <w:right w:w="80" w:type="dxa"/>
            </w:tcMar>
            <w:hideMark/>
          </w:tcPr>
          <w:p w14:paraId="7E34B710" w14:textId="412AEC33" w:rsidR="0082754D" w:rsidRDefault="0082754D" w:rsidP="005A7D31">
            <w:pPr>
              <w:pStyle w:val="TableStyle2A"/>
            </w:pPr>
            <w:r>
              <w:rPr>
                <w:rStyle w:val="None"/>
                <w:rFonts w:ascii="Arial" w:hAnsi="Arial"/>
              </w:rPr>
              <w:t xml:space="preserve">A comprehensive case history should be taken by the </w:t>
            </w:r>
            <w:r w:rsidR="00A273E7">
              <w:rPr>
                <w:rStyle w:val="None"/>
                <w:rFonts w:ascii="Arial" w:hAnsi="Arial"/>
              </w:rPr>
              <w:t xml:space="preserve">therapist- </w:t>
            </w:r>
            <w:r>
              <w:rPr>
                <w:rStyle w:val="None"/>
                <w:rFonts w:ascii="Arial" w:hAnsi="Arial"/>
              </w:rPr>
              <w:t>including the identification of signs and symptoms of dysphagia</w:t>
            </w:r>
            <w:r w:rsidR="00A273E7">
              <w:rPr>
                <w:rStyle w:val="None"/>
                <w:rFonts w:ascii="Arial" w:hAnsi="Arial"/>
              </w:rPr>
              <w:t xml:space="preserve">, </w:t>
            </w:r>
            <w:r>
              <w:rPr>
                <w:rStyle w:val="None"/>
                <w:rFonts w:ascii="Arial" w:hAnsi="Arial"/>
              </w:rPr>
              <w:t xml:space="preserve">detailed current eating and drinking </w:t>
            </w:r>
            <w:r w:rsidR="00A273E7">
              <w:rPr>
                <w:rStyle w:val="None"/>
                <w:rFonts w:ascii="Arial" w:hAnsi="Arial"/>
              </w:rPr>
              <w:t>behavior,</w:t>
            </w:r>
            <w:r>
              <w:rPr>
                <w:rStyle w:val="None"/>
                <w:rFonts w:ascii="Arial" w:hAnsi="Arial"/>
              </w:rPr>
              <w:t xml:space="preserve"> and individual dietary preferences.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475FED01" w14:textId="77777777" w:rsidR="0082754D" w:rsidRDefault="0082754D" w:rsidP="005A7D31">
            <w:pPr>
              <w:pStyle w:val="TableStyle2A"/>
            </w:pPr>
            <w:r>
              <w:rPr>
                <w:rStyle w:val="None"/>
              </w:rPr>
              <w:t>GPP</w:t>
            </w:r>
          </w:p>
        </w:tc>
      </w:tr>
      <w:tr w:rsidR="0082754D" w14:paraId="1CB2B124" w14:textId="77777777" w:rsidTr="00A273E7">
        <w:trPr>
          <w:trHeight w:val="453"/>
        </w:trPr>
        <w:tc>
          <w:tcPr>
            <w:tcW w:w="8782" w:type="dxa"/>
            <w:tcBorders>
              <w:top w:val="nil"/>
              <w:left w:val="nil"/>
              <w:bottom w:val="nil"/>
              <w:right w:val="nil"/>
            </w:tcBorders>
            <w:shd w:val="clear" w:color="auto" w:fill="auto"/>
            <w:tcMar>
              <w:top w:w="80" w:type="dxa"/>
              <w:left w:w="80" w:type="dxa"/>
              <w:bottom w:w="80" w:type="dxa"/>
              <w:right w:w="80" w:type="dxa"/>
            </w:tcMar>
            <w:hideMark/>
          </w:tcPr>
          <w:p w14:paraId="0D652290" w14:textId="77777777" w:rsidR="0082754D" w:rsidRDefault="0082754D" w:rsidP="005A7D31">
            <w:pPr>
              <w:pStyle w:val="TableStyle2A"/>
            </w:pPr>
            <w:r>
              <w:rPr>
                <w:rStyle w:val="None"/>
                <w:rFonts w:ascii="Arial" w:hAnsi="Arial"/>
              </w:rPr>
              <w:t xml:space="preserve">An instrumental examination of swallowing is indicated when information gained from clinical examination is not sufficient to guide management of the presenting dysphagia.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7BEBB604" w14:textId="77777777" w:rsidR="0082754D" w:rsidRDefault="0082754D" w:rsidP="005A7D31">
            <w:pPr>
              <w:pStyle w:val="TableStyle2A"/>
            </w:pPr>
            <w:r>
              <w:rPr>
                <w:rStyle w:val="None"/>
              </w:rPr>
              <w:t>GPP</w:t>
            </w:r>
          </w:p>
        </w:tc>
      </w:tr>
      <w:tr w:rsidR="0082754D" w14:paraId="25AED03E" w14:textId="77777777" w:rsidTr="00A273E7">
        <w:trPr>
          <w:trHeight w:val="893"/>
        </w:trPr>
        <w:tc>
          <w:tcPr>
            <w:tcW w:w="8782" w:type="dxa"/>
            <w:tcBorders>
              <w:top w:val="nil"/>
              <w:left w:val="nil"/>
              <w:bottom w:val="nil"/>
              <w:right w:val="nil"/>
            </w:tcBorders>
            <w:shd w:val="clear" w:color="auto" w:fill="auto"/>
            <w:tcMar>
              <w:top w:w="80" w:type="dxa"/>
              <w:left w:w="80" w:type="dxa"/>
              <w:bottom w:w="80" w:type="dxa"/>
              <w:right w:w="80" w:type="dxa"/>
            </w:tcMar>
            <w:hideMark/>
          </w:tcPr>
          <w:p w14:paraId="0E4264F5" w14:textId="4455F5B0" w:rsidR="0082754D" w:rsidRDefault="0082754D" w:rsidP="005A7D31">
            <w:pPr>
              <w:pStyle w:val="TableStyle2A"/>
            </w:pPr>
            <w:r>
              <w:rPr>
                <w:rStyle w:val="None"/>
                <w:rFonts w:ascii="Arial" w:hAnsi="Arial"/>
              </w:rPr>
              <w:t xml:space="preserve">A multidisciplinary approach is recommended to dysphagia management between the </w:t>
            </w:r>
            <w:r w:rsidR="00A273E7">
              <w:rPr>
                <w:rStyle w:val="None"/>
                <w:rFonts w:ascii="Arial" w:hAnsi="Arial"/>
              </w:rPr>
              <w:t>therapist a</w:t>
            </w:r>
            <w:r>
              <w:rPr>
                <w:rStyle w:val="None"/>
                <w:rFonts w:ascii="Arial" w:hAnsi="Arial"/>
              </w:rPr>
              <w:t xml:space="preserve">nd dietician, to ensure optimal nutrition and hydration, as well between the </w:t>
            </w:r>
            <w:r w:rsidR="00A273E7">
              <w:rPr>
                <w:rStyle w:val="None"/>
                <w:rFonts w:ascii="Arial" w:hAnsi="Arial"/>
              </w:rPr>
              <w:t xml:space="preserve">therapist </w:t>
            </w:r>
            <w:r>
              <w:rPr>
                <w:rStyle w:val="None"/>
                <w:rFonts w:ascii="Arial" w:hAnsi="Arial"/>
              </w:rPr>
              <w:t xml:space="preserve">and the physiotherapist/occupational therapist to ensure optimal feeding position and use of aids or adaptations </w:t>
            </w:r>
            <w:r>
              <w:rPr>
                <w:rStyle w:val="None"/>
                <w:rFonts w:ascii="Arial" w:hAnsi="Arial"/>
                <w:i/>
                <w:iCs/>
              </w:rPr>
              <w:t xml:space="preserve">(see table 13 in the full document for dysphagia management techniques).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2427CB4B" w14:textId="77777777" w:rsidR="0082754D" w:rsidRDefault="0082754D" w:rsidP="005A7D31">
            <w:pPr>
              <w:pStyle w:val="TableStyle2A"/>
            </w:pPr>
            <w:r>
              <w:rPr>
                <w:rStyle w:val="None"/>
              </w:rPr>
              <w:t>GPP</w:t>
            </w:r>
          </w:p>
        </w:tc>
      </w:tr>
      <w:tr w:rsidR="0082754D" w14:paraId="24BA2A37" w14:textId="77777777" w:rsidTr="00A273E7">
        <w:trPr>
          <w:trHeight w:val="453"/>
        </w:trPr>
        <w:tc>
          <w:tcPr>
            <w:tcW w:w="8782" w:type="dxa"/>
            <w:tcBorders>
              <w:top w:val="nil"/>
              <w:left w:val="nil"/>
              <w:bottom w:val="nil"/>
              <w:right w:val="nil"/>
            </w:tcBorders>
            <w:shd w:val="clear" w:color="auto" w:fill="auto"/>
            <w:tcMar>
              <w:top w:w="80" w:type="dxa"/>
              <w:left w:w="80" w:type="dxa"/>
              <w:bottom w:w="80" w:type="dxa"/>
              <w:right w:w="80" w:type="dxa"/>
            </w:tcMar>
            <w:hideMark/>
          </w:tcPr>
          <w:p w14:paraId="3E77A5C0" w14:textId="3E16F5F8" w:rsidR="0082754D" w:rsidRDefault="0082754D" w:rsidP="005A7D31">
            <w:pPr>
              <w:pStyle w:val="TableStyle2A"/>
            </w:pPr>
            <w:r>
              <w:rPr>
                <w:rStyle w:val="None"/>
                <w:rFonts w:ascii="Arial" w:hAnsi="Arial"/>
              </w:rPr>
              <w:t>Muscle strengthening exercises can be indicated</w:t>
            </w:r>
            <w:r w:rsidR="003476A4">
              <w:rPr>
                <w:rStyle w:val="None"/>
                <w:rFonts w:ascii="Arial" w:hAnsi="Arial"/>
              </w:rPr>
              <w:t>,</w:t>
            </w:r>
            <w:r>
              <w:rPr>
                <w:rStyle w:val="None"/>
                <w:rFonts w:ascii="Arial" w:hAnsi="Arial"/>
              </w:rPr>
              <w:t xml:space="preserve"> and if so they should specifically target underlying swallowing pathophysiology. </w:t>
            </w:r>
          </w:p>
        </w:tc>
        <w:tc>
          <w:tcPr>
            <w:tcW w:w="848" w:type="dxa"/>
            <w:tcBorders>
              <w:top w:val="nil"/>
              <w:left w:val="nil"/>
              <w:bottom w:val="nil"/>
              <w:right w:val="nil"/>
            </w:tcBorders>
            <w:shd w:val="clear" w:color="auto" w:fill="auto"/>
            <w:tcMar>
              <w:top w:w="80" w:type="dxa"/>
              <w:left w:w="80" w:type="dxa"/>
              <w:bottom w:w="80" w:type="dxa"/>
              <w:right w:w="80" w:type="dxa"/>
            </w:tcMar>
            <w:hideMark/>
          </w:tcPr>
          <w:p w14:paraId="0F1E9EAE" w14:textId="77777777" w:rsidR="0082754D" w:rsidRDefault="0082754D" w:rsidP="005A7D31">
            <w:pPr>
              <w:pStyle w:val="TableStyle2A"/>
            </w:pPr>
            <w:r>
              <w:rPr>
                <w:rStyle w:val="None"/>
              </w:rPr>
              <w:t>GPP</w:t>
            </w:r>
          </w:p>
        </w:tc>
      </w:tr>
    </w:tbl>
    <w:p w14:paraId="14F251E1" w14:textId="77777777" w:rsidR="0082754D" w:rsidRDefault="0082754D" w:rsidP="0082754D">
      <w:pPr>
        <w:pStyle w:val="BodyB"/>
        <w:widowControl w:val="0"/>
        <w:spacing w:line="480" w:lineRule="auto"/>
        <w:ind w:left="216" w:hanging="216"/>
        <w:rPr>
          <w:rStyle w:val="None"/>
          <w:rFonts w:ascii="Arial" w:eastAsia="Arial" w:hAnsi="Arial" w:cs="Arial"/>
          <w:i/>
          <w:iCs/>
          <w:sz w:val="28"/>
          <w:szCs w:val="28"/>
        </w:rPr>
      </w:pPr>
    </w:p>
    <w:p w14:paraId="2F3BECAC" w14:textId="77777777" w:rsidR="0082754D" w:rsidRDefault="0082754D" w:rsidP="0082754D">
      <w:pPr>
        <w:pStyle w:val="BodyB"/>
        <w:spacing w:line="480" w:lineRule="auto"/>
        <w:rPr>
          <w:rStyle w:val="None"/>
          <w:rFonts w:ascii="Arial" w:eastAsia="Arial" w:hAnsi="Arial" w:cs="Arial"/>
          <w:i/>
          <w:iCs/>
          <w:sz w:val="28"/>
          <w:szCs w:val="28"/>
        </w:rPr>
      </w:pPr>
    </w:p>
    <w:p w14:paraId="077F8F17" w14:textId="77777777" w:rsidR="007E181D" w:rsidRDefault="007E181D">
      <w:r>
        <w:br w:type="page"/>
      </w:r>
    </w:p>
    <w:tbl>
      <w:tblPr>
        <w:tblW w:w="9555"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8713"/>
        <w:gridCol w:w="842"/>
      </w:tblGrid>
      <w:tr w:rsidR="0082754D" w14:paraId="50F9F407" w14:textId="77777777" w:rsidTr="007E181D">
        <w:trPr>
          <w:trHeight w:val="320"/>
        </w:trPr>
        <w:tc>
          <w:tcPr>
            <w:tcW w:w="8713" w:type="dxa"/>
            <w:tcBorders>
              <w:top w:val="nil"/>
              <w:left w:val="nil"/>
              <w:bottom w:val="single" w:sz="18" w:space="0" w:color="000000"/>
              <w:right w:val="nil"/>
            </w:tcBorders>
            <w:shd w:val="clear" w:color="auto" w:fill="auto"/>
            <w:tcMar>
              <w:top w:w="80" w:type="dxa"/>
              <w:left w:w="80" w:type="dxa"/>
              <w:bottom w:w="80" w:type="dxa"/>
              <w:right w:w="80" w:type="dxa"/>
            </w:tcMar>
            <w:hideMark/>
          </w:tcPr>
          <w:p w14:paraId="28F34459" w14:textId="350121EF" w:rsidR="0082754D" w:rsidRDefault="0082754D" w:rsidP="005A7D31">
            <w:pPr>
              <w:pStyle w:val="TableStyle2A"/>
            </w:pPr>
            <w:r>
              <w:rPr>
                <w:rStyle w:val="None"/>
                <w:b/>
                <w:bCs/>
                <w:sz w:val="24"/>
                <w:szCs w:val="24"/>
              </w:rPr>
              <w:lastRenderedPageBreak/>
              <w:t>Table s</w:t>
            </w:r>
            <w:r w:rsidR="003476A4">
              <w:rPr>
                <w:rStyle w:val="None"/>
                <w:b/>
                <w:bCs/>
                <w:sz w:val="24"/>
                <w:szCs w:val="24"/>
              </w:rPr>
              <w:t xml:space="preserve">2:  </w:t>
            </w:r>
            <w:r>
              <w:rPr>
                <w:rStyle w:val="None"/>
                <w:b/>
                <w:bCs/>
                <w:sz w:val="24"/>
                <w:szCs w:val="24"/>
              </w:rPr>
              <w:t xml:space="preserve">Allied health professional interventions </w:t>
            </w:r>
            <w:r>
              <w:rPr>
                <w:rStyle w:val="None"/>
                <w:b/>
                <w:bCs/>
                <w:i/>
                <w:iCs/>
                <w:sz w:val="24"/>
                <w:szCs w:val="24"/>
                <w:lang w:val="pt-PT"/>
              </w:rPr>
              <w:t>(continued)</w:t>
            </w:r>
          </w:p>
        </w:tc>
        <w:tc>
          <w:tcPr>
            <w:tcW w:w="842" w:type="dxa"/>
            <w:tcBorders>
              <w:top w:val="nil"/>
              <w:left w:val="nil"/>
              <w:bottom w:val="single" w:sz="18" w:space="0" w:color="000000"/>
              <w:right w:val="nil"/>
            </w:tcBorders>
            <w:shd w:val="clear" w:color="auto" w:fill="auto"/>
            <w:tcMar>
              <w:top w:w="80" w:type="dxa"/>
              <w:left w:w="80" w:type="dxa"/>
              <w:bottom w:w="80" w:type="dxa"/>
              <w:right w:w="80" w:type="dxa"/>
            </w:tcMar>
          </w:tcPr>
          <w:p w14:paraId="1791D736" w14:textId="77777777" w:rsidR="0082754D" w:rsidRDefault="0082754D" w:rsidP="005A7D31">
            <w:pPr>
              <w:rPr>
                <w:sz w:val="24"/>
                <w:szCs w:val="24"/>
                <w:lang w:val="en-US"/>
              </w:rPr>
            </w:pPr>
          </w:p>
        </w:tc>
      </w:tr>
      <w:tr w:rsidR="0082754D" w14:paraId="520BBFC8" w14:textId="77777777" w:rsidTr="007E181D">
        <w:trPr>
          <w:trHeight w:val="360"/>
        </w:trPr>
        <w:tc>
          <w:tcPr>
            <w:tcW w:w="8713" w:type="dxa"/>
            <w:tcBorders>
              <w:top w:val="single" w:sz="18" w:space="0" w:color="000000"/>
              <w:left w:val="nil"/>
              <w:bottom w:val="nil"/>
              <w:right w:val="nil"/>
            </w:tcBorders>
            <w:shd w:val="clear" w:color="auto" w:fill="auto"/>
            <w:tcMar>
              <w:top w:w="80" w:type="dxa"/>
              <w:left w:w="80" w:type="dxa"/>
              <w:bottom w:w="80" w:type="dxa"/>
              <w:right w:w="80" w:type="dxa"/>
            </w:tcMar>
          </w:tcPr>
          <w:p w14:paraId="2013A057" w14:textId="77777777" w:rsidR="0082754D" w:rsidRDefault="0082754D" w:rsidP="005A7D31">
            <w:pPr>
              <w:rPr>
                <w:sz w:val="24"/>
                <w:szCs w:val="24"/>
                <w:lang w:val="en-US"/>
              </w:rPr>
            </w:pPr>
          </w:p>
        </w:tc>
        <w:tc>
          <w:tcPr>
            <w:tcW w:w="842" w:type="dxa"/>
            <w:tcBorders>
              <w:top w:val="single" w:sz="18" w:space="0" w:color="000000"/>
              <w:left w:val="nil"/>
              <w:bottom w:val="nil"/>
              <w:right w:val="nil"/>
            </w:tcBorders>
            <w:shd w:val="clear" w:color="auto" w:fill="auto"/>
            <w:tcMar>
              <w:top w:w="80" w:type="dxa"/>
              <w:left w:w="80" w:type="dxa"/>
              <w:bottom w:w="80" w:type="dxa"/>
              <w:right w:w="80" w:type="dxa"/>
            </w:tcMar>
          </w:tcPr>
          <w:p w14:paraId="2BFADD62" w14:textId="77777777" w:rsidR="0082754D" w:rsidRDefault="0082754D" w:rsidP="005A7D31">
            <w:pPr>
              <w:rPr>
                <w:sz w:val="24"/>
                <w:szCs w:val="24"/>
                <w:lang w:val="en-US"/>
              </w:rPr>
            </w:pPr>
          </w:p>
        </w:tc>
      </w:tr>
      <w:tr w:rsidR="0082754D" w14:paraId="36B99D52" w14:textId="77777777" w:rsidTr="007E181D">
        <w:trPr>
          <w:trHeight w:val="310"/>
        </w:trPr>
        <w:tc>
          <w:tcPr>
            <w:tcW w:w="8713" w:type="dxa"/>
            <w:tcBorders>
              <w:top w:val="nil"/>
              <w:left w:val="nil"/>
              <w:bottom w:val="nil"/>
              <w:right w:val="nil"/>
            </w:tcBorders>
            <w:shd w:val="clear" w:color="auto" w:fill="auto"/>
            <w:tcMar>
              <w:top w:w="80" w:type="dxa"/>
              <w:left w:w="80" w:type="dxa"/>
              <w:bottom w:w="80" w:type="dxa"/>
              <w:right w:w="80" w:type="dxa"/>
            </w:tcMar>
            <w:hideMark/>
          </w:tcPr>
          <w:p w14:paraId="27C94AED" w14:textId="788FCDD8" w:rsidR="0082754D" w:rsidRDefault="003476A4" w:rsidP="005A7D31">
            <w:pPr>
              <w:pStyle w:val="TableStyle2A"/>
            </w:pPr>
            <w:r>
              <w:rPr>
                <w:rStyle w:val="None"/>
                <w:b/>
                <w:bCs/>
              </w:rPr>
              <w:t>s2</w:t>
            </w:r>
            <w:r w:rsidR="0082754D">
              <w:rPr>
                <w:rStyle w:val="None"/>
                <w:b/>
                <w:bCs/>
              </w:rPr>
              <w:t>.2 Physiotherapy</w:t>
            </w:r>
          </w:p>
        </w:tc>
        <w:tc>
          <w:tcPr>
            <w:tcW w:w="842" w:type="dxa"/>
            <w:tcBorders>
              <w:top w:val="nil"/>
              <w:left w:val="nil"/>
              <w:bottom w:val="nil"/>
              <w:right w:val="nil"/>
            </w:tcBorders>
            <w:shd w:val="clear" w:color="auto" w:fill="auto"/>
            <w:tcMar>
              <w:top w:w="80" w:type="dxa"/>
              <w:left w:w="80" w:type="dxa"/>
              <w:bottom w:w="80" w:type="dxa"/>
              <w:right w:w="80" w:type="dxa"/>
            </w:tcMar>
          </w:tcPr>
          <w:p w14:paraId="704C35D2" w14:textId="77777777" w:rsidR="0082754D" w:rsidRDefault="0082754D" w:rsidP="005A7D31">
            <w:pPr>
              <w:rPr>
                <w:sz w:val="24"/>
                <w:szCs w:val="24"/>
                <w:lang w:val="en-US"/>
              </w:rPr>
            </w:pPr>
          </w:p>
        </w:tc>
      </w:tr>
      <w:tr w:rsidR="0082754D" w14:paraId="61C2E8B6" w14:textId="77777777" w:rsidTr="007E181D">
        <w:trPr>
          <w:trHeight w:val="260"/>
        </w:trPr>
        <w:tc>
          <w:tcPr>
            <w:tcW w:w="8713" w:type="dxa"/>
            <w:tcBorders>
              <w:top w:val="nil"/>
              <w:left w:val="nil"/>
              <w:bottom w:val="nil"/>
              <w:right w:val="nil"/>
            </w:tcBorders>
            <w:shd w:val="clear" w:color="auto" w:fill="auto"/>
            <w:tcMar>
              <w:top w:w="80" w:type="dxa"/>
              <w:left w:w="80" w:type="dxa"/>
              <w:bottom w:w="80" w:type="dxa"/>
              <w:right w:w="80" w:type="dxa"/>
            </w:tcMar>
            <w:hideMark/>
          </w:tcPr>
          <w:p w14:paraId="09D51926" w14:textId="77777777" w:rsidR="0082754D" w:rsidRDefault="0082754D" w:rsidP="005A7D31">
            <w:pPr>
              <w:pStyle w:val="TableStyle2A"/>
            </w:pPr>
            <w:r>
              <w:rPr>
                <w:rStyle w:val="None"/>
                <w:b/>
                <w:bCs/>
              </w:rPr>
              <w:t>Recommendation</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4F328FC9" w14:textId="77777777" w:rsidR="0082754D" w:rsidRDefault="0082754D" w:rsidP="005A7D31">
            <w:pPr>
              <w:pStyle w:val="TableStyle2A"/>
            </w:pPr>
            <w:r>
              <w:rPr>
                <w:rStyle w:val="None"/>
                <w:b/>
                <w:bCs/>
              </w:rPr>
              <w:t>Grade</w:t>
            </w:r>
          </w:p>
        </w:tc>
      </w:tr>
      <w:tr w:rsidR="0082754D" w14:paraId="330E8E62" w14:textId="77777777" w:rsidTr="007E181D">
        <w:trPr>
          <w:trHeight w:val="673"/>
        </w:trPr>
        <w:tc>
          <w:tcPr>
            <w:tcW w:w="8713" w:type="dxa"/>
            <w:tcBorders>
              <w:top w:val="nil"/>
              <w:left w:val="nil"/>
              <w:bottom w:val="nil"/>
              <w:right w:val="nil"/>
            </w:tcBorders>
            <w:shd w:val="clear" w:color="auto" w:fill="auto"/>
            <w:tcMar>
              <w:top w:w="80" w:type="dxa"/>
              <w:left w:w="80" w:type="dxa"/>
              <w:bottom w:w="80" w:type="dxa"/>
              <w:right w:w="80" w:type="dxa"/>
            </w:tcMar>
            <w:hideMark/>
          </w:tcPr>
          <w:p w14:paraId="0D666E07" w14:textId="01272F46" w:rsidR="0082754D" w:rsidRDefault="0082754D" w:rsidP="005A7D31">
            <w:pPr>
              <w:pStyle w:val="TableStyle2A"/>
            </w:pPr>
            <w:r>
              <w:rPr>
                <w:rStyle w:val="None"/>
                <w:rFonts w:ascii="Arial" w:hAnsi="Arial"/>
              </w:rPr>
              <w:t>Patients with progressive ataxia should be referred to see a physiotherapist or neuro-</w:t>
            </w:r>
            <w:r w:rsidR="003476A4">
              <w:rPr>
                <w:rStyle w:val="None"/>
                <w:rFonts w:ascii="Arial" w:hAnsi="Arial"/>
              </w:rPr>
              <w:t>p</w:t>
            </w:r>
            <w:r>
              <w:rPr>
                <w:rStyle w:val="None"/>
                <w:rFonts w:ascii="Arial" w:hAnsi="Arial"/>
              </w:rPr>
              <w:t>hysiotherapist at an early stage of the disease in order to establish strategies to maintain function (e</w:t>
            </w:r>
            <w:r w:rsidR="003476A4">
              <w:rPr>
                <w:rStyle w:val="None"/>
                <w:rFonts w:ascii="Arial" w:hAnsi="Arial"/>
              </w:rPr>
              <w:t>.</w:t>
            </w:r>
            <w:r>
              <w:rPr>
                <w:rStyle w:val="None"/>
                <w:rFonts w:ascii="Arial" w:hAnsi="Arial"/>
              </w:rPr>
              <w:t>g</w:t>
            </w:r>
            <w:r w:rsidR="003476A4">
              <w:rPr>
                <w:rStyle w:val="None"/>
                <w:rFonts w:ascii="Arial" w:hAnsi="Arial"/>
              </w:rPr>
              <w:t xml:space="preserve">. </w:t>
            </w:r>
            <w:r>
              <w:rPr>
                <w:rStyle w:val="None"/>
                <w:rFonts w:ascii="Arial" w:hAnsi="Arial"/>
              </w:rPr>
              <w:t xml:space="preserve">balance, upper limb coordination, posture) and prevent falls.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2D97C934" w14:textId="77777777" w:rsidR="0082754D" w:rsidRDefault="0082754D" w:rsidP="005A7D31">
            <w:pPr>
              <w:pStyle w:val="TableStyle2A"/>
            </w:pPr>
            <w:r>
              <w:rPr>
                <w:rStyle w:val="None"/>
              </w:rPr>
              <w:t>GPP</w:t>
            </w:r>
          </w:p>
        </w:tc>
      </w:tr>
      <w:tr w:rsidR="0082754D" w14:paraId="3F634A3E" w14:textId="77777777" w:rsidTr="007E181D">
        <w:trPr>
          <w:trHeight w:val="673"/>
        </w:trPr>
        <w:tc>
          <w:tcPr>
            <w:tcW w:w="8713" w:type="dxa"/>
            <w:tcBorders>
              <w:top w:val="nil"/>
              <w:left w:val="nil"/>
              <w:bottom w:val="nil"/>
              <w:right w:val="nil"/>
            </w:tcBorders>
            <w:shd w:val="clear" w:color="auto" w:fill="auto"/>
            <w:tcMar>
              <w:top w:w="80" w:type="dxa"/>
              <w:left w:w="80" w:type="dxa"/>
              <w:bottom w:w="80" w:type="dxa"/>
              <w:right w:w="80" w:type="dxa"/>
            </w:tcMar>
            <w:hideMark/>
          </w:tcPr>
          <w:p w14:paraId="50790BCF" w14:textId="5B0DC78D" w:rsidR="0082754D" w:rsidRDefault="0082754D" w:rsidP="005A7D31">
            <w:pPr>
              <w:pStyle w:val="TableStyle2A"/>
            </w:pPr>
            <w:r>
              <w:rPr>
                <w:rStyle w:val="None"/>
                <w:rFonts w:ascii="Arial" w:hAnsi="Arial"/>
              </w:rPr>
              <w:t xml:space="preserve">Consider the potential use of rehabilitation approaches and the specific interventions for gait/balance and upper limb tremor for patients with ataxia on a case by case basis.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4EC6E59B" w14:textId="77777777" w:rsidR="0082754D" w:rsidRDefault="0082754D" w:rsidP="005A7D31">
            <w:pPr>
              <w:pStyle w:val="TableStyle2A"/>
            </w:pPr>
            <w:r>
              <w:rPr>
                <w:rStyle w:val="None"/>
              </w:rPr>
              <w:t>GPP</w:t>
            </w:r>
          </w:p>
        </w:tc>
      </w:tr>
      <w:tr w:rsidR="0082754D" w14:paraId="47BA9321" w14:textId="77777777" w:rsidTr="007E181D">
        <w:trPr>
          <w:trHeight w:val="673"/>
        </w:trPr>
        <w:tc>
          <w:tcPr>
            <w:tcW w:w="8713" w:type="dxa"/>
            <w:tcBorders>
              <w:top w:val="nil"/>
              <w:left w:val="nil"/>
              <w:bottom w:val="nil"/>
              <w:right w:val="nil"/>
            </w:tcBorders>
            <w:shd w:val="clear" w:color="auto" w:fill="auto"/>
            <w:tcMar>
              <w:top w:w="80" w:type="dxa"/>
              <w:left w:w="80" w:type="dxa"/>
              <w:bottom w:w="80" w:type="dxa"/>
              <w:right w:w="80" w:type="dxa"/>
            </w:tcMar>
            <w:hideMark/>
          </w:tcPr>
          <w:p w14:paraId="5F240BAE" w14:textId="77777777" w:rsidR="0082754D" w:rsidRDefault="0082754D" w:rsidP="005A7D31">
            <w:pPr>
              <w:pStyle w:val="TableStyle2A"/>
            </w:pPr>
            <w:r>
              <w:rPr>
                <w:rStyle w:val="None"/>
                <w:rFonts w:ascii="Arial" w:hAnsi="Arial"/>
              </w:rPr>
              <w:t xml:space="preserve">Consider suggesting rehearsal of intended steps through eye movement alone, i.e. looking at foot target placement for each step, before negotiating a cluttered room, as it might improve performance and safety.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04E10647" w14:textId="219F4BE4" w:rsidR="0082754D" w:rsidRDefault="0082754D" w:rsidP="005A7D31">
            <w:pPr>
              <w:pStyle w:val="TableStyle2A"/>
            </w:pPr>
            <w:r>
              <w:rPr>
                <w:rStyle w:val="None"/>
              </w:rPr>
              <w:t xml:space="preserve">D </w:t>
            </w:r>
            <w:r>
              <w:rPr>
                <w:rStyle w:val="None"/>
                <w:rFonts w:ascii="Arial" w:hAnsi="Arial" w:cs="Arial"/>
                <w:vertAlign w:val="superscript"/>
              </w:rPr>
              <w:t>[5</w:t>
            </w:r>
            <w:r w:rsidR="00401FD9">
              <w:rPr>
                <w:rStyle w:val="None"/>
                <w:rFonts w:ascii="Arial" w:hAnsi="Arial" w:cs="Arial"/>
                <w:vertAlign w:val="superscript"/>
              </w:rPr>
              <w:t>3</w:t>
            </w:r>
            <w:r>
              <w:rPr>
                <w:rStyle w:val="None"/>
                <w:rFonts w:ascii="Arial" w:hAnsi="Arial" w:cs="Arial"/>
                <w:vertAlign w:val="superscript"/>
              </w:rPr>
              <w:t>, 5</w:t>
            </w:r>
            <w:r w:rsidR="00401FD9">
              <w:rPr>
                <w:rStyle w:val="None"/>
                <w:rFonts w:ascii="Arial" w:hAnsi="Arial" w:cs="Arial"/>
                <w:vertAlign w:val="superscript"/>
              </w:rPr>
              <w:t>4</w:t>
            </w:r>
            <w:r>
              <w:rPr>
                <w:rStyle w:val="None"/>
                <w:rFonts w:ascii="Arial" w:hAnsi="Arial" w:cs="Arial"/>
                <w:vertAlign w:val="superscript"/>
              </w:rPr>
              <w:t>]</w:t>
            </w:r>
          </w:p>
        </w:tc>
      </w:tr>
      <w:tr w:rsidR="0082754D" w14:paraId="6AF4B375" w14:textId="77777777" w:rsidTr="007E181D">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5BAB41D0" w14:textId="0B4FEDE1" w:rsidR="0082754D" w:rsidRDefault="0082754D" w:rsidP="005A7D31">
            <w:pPr>
              <w:pStyle w:val="TableStyle2A"/>
            </w:pPr>
            <w:r>
              <w:rPr>
                <w:rStyle w:val="None"/>
                <w:rFonts w:ascii="Arial" w:hAnsi="Arial"/>
              </w:rPr>
              <w:t xml:space="preserve">Consider the use of video-game based coordinative programme in children with ataxia who </w:t>
            </w:r>
            <w:r w:rsidR="007E181D">
              <w:rPr>
                <w:rStyle w:val="None"/>
                <w:rFonts w:ascii="Arial" w:hAnsi="Arial"/>
              </w:rPr>
              <w:t>can</w:t>
            </w:r>
            <w:r>
              <w:rPr>
                <w:rStyle w:val="None"/>
                <w:rFonts w:ascii="Arial" w:hAnsi="Arial"/>
              </w:rPr>
              <w:t xml:space="preserve"> walk unaided under </w:t>
            </w:r>
            <w:r w:rsidR="007E181D">
              <w:rPr>
                <w:rStyle w:val="None"/>
                <w:rFonts w:ascii="Arial" w:hAnsi="Arial"/>
              </w:rPr>
              <w:t xml:space="preserve">PT </w:t>
            </w:r>
            <w:r>
              <w:rPr>
                <w:rStyle w:val="None"/>
                <w:rFonts w:ascii="Arial" w:hAnsi="Arial"/>
              </w:rPr>
              <w:t xml:space="preserve">supervision.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5408A6D2" w14:textId="67D1507E" w:rsidR="0082754D" w:rsidRDefault="0082754D" w:rsidP="005A7D31">
            <w:pPr>
              <w:pStyle w:val="TableStyle2A"/>
            </w:pPr>
            <w:r>
              <w:rPr>
                <w:rStyle w:val="None"/>
              </w:rPr>
              <w:t xml:space="preserve">C </w:t>
            </w:r>
            <w:r>
              <w:rPr>
                <w:rStyle w:val="None"/>
                <w:rFonts w:ascii="Arial" w:hAnsi="Arial" w:cs="Arial"/>
                <w:vertAlign w:val="superscript"/>
              </w:rPr>
              <w:t>[5</w:t>
            </w:r>
            <w:r w:rsidR="00401FD9">
              <w:rPr>
                <w:rStyle w:val="None"/>
                <w:rFonts w:ascii="Arial" w:hAnsi="Arial" w:cs="Arial"/>
                <w:vertAlign w:val="superscript"/>
              </w:rPr>
              <w:t>5</w:t>
            </w:r>
            <w:r>
              <w:rPr>
                <w:rStyle w:val="None"/>
                <w:rFonts w:ascii="Arial" w:hAnsi="Arial" w:cs="Arial"/>
                <w:vertAlign w:val="superscript"/>
              </w:rPr>
              <w:t>]</w:t>
            </w:r>
            <w:r>
              <w:rPr>
                <w:rStyle w:val="None"/>
              </w:rPr>
              <w:t xml:space="preserve"> </w:t>
            </w:r>
          </w:p>
        </w:tc>
      </w:tr>
      <w:tr w:rsidR="0082754D" w14:paraId="6429F88E" w14:textId="77777777" w:rsidTr="007E181D">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4895824B" w14:textId="77777777" w:rsidR="0082754D" w:rsidRDefault="0082754D" w:rsidP="005A7D31">
            <w:pPr>
              <w:pStyle w:val="TableStyle2A"/>
            </w:pPr>
            <w:r>
              <w:rPr>
                <w:rStyle w:val="None"/>
                <w:rFonts w:ascii="Arial" w:hAnsi="Arial"/>
              </w:rPr>
              <w:t xml:space="preserve">The use of walking aids is recommended and should be assessed on a case by case basis. Light touch as a balance aid may be helpful for postural orientation and stability.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2AB45B94" w14:textId="77777777" w:rsidR="0082754D" w:rsidRDefault="0082754D" w:rsidP="005A7D31">
            <w:pPr>
              <w:pStyle w:val="TableStyle2A"/>
            </w:pPr>
            <w:r>
              <w:rPr>
                <w:rStyle w:val="None"/>
              </w:rPr>
              <w:t>GPP</w:t>
            </w:r>
          </w:p>
        </w:tc>
      </w:tr>
      <w:tr w:rsidR="0082754D" w14:paraId="67E02351" w14:textId="77777777" w:rsidTr="007E181D">
        <w:trPr>
          <w:trHeight w:val="673"/>
        </w:trPr>
        <w:tc>
          <w:tcPr>
            <w:tcW w:w="8713" w:type="dxa"/>
            <w:tcBorders>
              <w:top w:val="nil"/>
              <w:left w:val="nil"/>
              <w:bottom w:val="nil"/>
              <w:right w:val="nil"/>
            </w:tcBorders>
            <w:shd w:val="clear" w:color="auto" w:fill="auto"/>
            <w:tcMar>
              <w:top w:w="80" w:type="dxa"/>
              <w:left w:w="80" w:type="dxa"/>
              <w:bottom w:w="80" w:type="dxa"/>
              <w:right w:w="80" w:type="dxa"/>
            </w:tcMar>
            <w:hideMark/>
          </w:tcPr>
          <w:p w14:paraId="39315DD7" w14:textId="77777777" w:rsidR="0082754D" w:rsidRDefault="0082754D" w:rsidP="005A7D31">
            <w:pPr>
              <w:pStyle w:val="TableStyle2A"/>
            </w:pPr>
            <w:r>
              <w:rPr>
                <w:rStyle w:val="None"/>
                <w:rFonts w:ascii="Arial" w:hAnsi="Arial"/>
              </w:rPr>
              <w:t xml:space="preserve">Upper extremity weight bearing during ambulation may lead to worsening of gait parameters. It is important, therefore, for people with ataxia to decrease their dependency on weight bearing through the upper limbs (for example, by not leaning on furniture to assist when walking).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35E9DD6B" w14:textId="77777777" w:rsidR="0082754D" w:rsidRDefault="0082754D" w:rsidP="005A7D31">
            <w:pPr>
              <w:pStyle w:val="TableStyle2A"/>
            </w:pPr>
            <w:r>
              <w:rPr>
                <w:rStyle w:val="None"/>
              </w:rPr>
              <w:t>GPP</w:t>
            </w:r>
          </w:p>
        </w:tc>
      </w:tr>
      <w:tr w:rsidR="0082754D" w14:paraId="1D532F73" w14:textId="77777777" w:rsidTr="007E181D">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1CB7C547" w14:textId="77777777" w:rsidR="0082754D" w:rsidRDefault="0082754D" w:rsidP="005A7D31">
            <w:pPr>
              <w:pStyle w:val="TableStyle2A"/>
            </w:pPr>
            <w:r>
              <w:rPr>
                <w:rStyle w:val="None"/>
                <w:rFonts w:ascii="Arial" w:hAnsi="Arial"/>
              </w:rPr>
              <w:t xml:space="preserve">Careful assessment is required when recommending walking aids to patients with dysmetria, dysdiadochokinesia and tremor.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5117E904" w14:textId="77777777" w:rsidR="0082754D" w:rsidRDefault="0082754D" w:rsidP="005A7D31">
            <w:pPr>
              <w:pStyle w:val="TableStyle2A"/>
            </w:pPr>
            <w:r>
              <w:rPr>
                <w:rStyle w:val="None"/>
              </w:rPr>
              <w:t>GPP</w:t>
            </w:r>
          </w:p>
        </w:tc>
      </w:tr>
      <w:tr w:rsidR="0082754D" w14:paraId="58B51BB8" w14:textId="77777777" w:rsidTr="007E181D">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1B4FFEF5" w14:textId="15E88D2B" w:rsidR="0082754D" w:rsidRDefault="0082754D" w:rsidP="005A7D31">
            <w:pPr>
              <w:pStyle w:val="TableStyle2A"/>
            </w:pPr>
            <w:r>
              <w:rPr>
                <w:rStyle w:val="None"/>
                <w:rFonts w:ascii="Arial" w:hAnsi="Arial"/>
              </w:rPr>
              <w:t>People with ataxia should be encouraged to exercise as part of health promotion</w:t>
            </w:r>
            <w:r w:rsidR="007E181D">
              <w:rPr>
                <w:rStyle w:val="None"/>
                <w:rFonts w:ascii="Arial" w:hAnsi="Arial"/>
              </w:rPr>
              <w:t xml:space="preserve"> </w:t>
            </w:r>
            <w:r>
              <w:rPr>
                <w:rStyle w:val="None"/>
                <w:rFonts w:ascii="Arial" w:hAnsi="Arial"/>
              </w:rPr>
              <w:t xml:space="preserve">but ensure </w:t>
            </w:r>
            <w:r w:rsidR="003476A4">
              <w:rPr>
                <w:rStyle w:val="None"/>
                <w:rFonts w:ascii="Arial" w:hAnsi="Arial"/>
              </w:rPr>
              <w:t xml:space="preserve">that </w:t>
            </w:r>
            <w:r>
              <w:rPr>
                <w:rStyle w:val="None"/>
                <w:rFonts w:ascii="Arial" w:hAnsi="Arial"/>
              </w:rPr>
              <w:t xml:space="preserve">risk factors and health and safety considerations are assessed.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66F4CEF9" w14:textId="77777777" w:rsidR="0082754D" w:rsidRDefault="0082754D" w:rsidP="005A7D31">
            <w:pPr>
              <w:pStyle w:val="TableStyle2A"/>
            </w:pPr>
            <w:r>
              <w:rPr>
                <w:rStyle w:val="None"/>
              </w:rPr>
              <w:t>GPP</w:t>
            </w:r>
          </w:p>
        </w:tc>
      </w:tr>
      <w:tr w:rsidR="0082754D" w14:paraId="7FB0474B" w14:textId="77777777" w:rsidTr="007E181D">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36F545F3" w14:textId="77777777" w:rsidR="0082754D" w:rsidRDefault="0082754D" w:rsidP="005A7D31">
            <w:pPr>
              <w:pStyle w:val="TableStyle2A"/>
            </w:pPr>
            <w:r>
              <w:rPr>
                <w:rStyle w:val="None"/>
                <w:rFonts w:ascii="Arial" w:hAnsi="Arial"/>
              </w:rPr>
              <w:t xml:space="preserve">In patients with Friedreich’s ataxia and cardiac complications, advice form a cardiologist should be sought before embarking on an exercise program.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7A894886" w14:textId="77777777" w:rsidR="0082754D" w:rsidRDefault="0082754D" w:rsidP="005A7D31">
            <w:pPr>
              <w:pStyle w:val="TableStyle2A"/>
            </w:pPr>
            <w:r>
              <w:rPr>
                <w:rStyle w:val="None"/>
              </w:rPr>
              <w:t>GPP</w:t>
            </w:r>
          </w:p>
        </w:tc>
      </w:tr>
      <w:tr w:rsidR="0082754D" w14:paraId="71743BD9" w14:textId="77777777" w:rsidTr="007E181D">
        <w:trPr>
          <w:trHeight w:val="260"/>
        </w:trPr>
        <w:tc>
          <w:tcPr>
            <w:tcW w:w="8713" w:type="dxa"/>
            <w:tcBorders>
              <w:top w:val="nil"/>
              <w:left w:val="nil"/>
              <w:bottom w:val="nil"/>
              <w:right w:val="nil"/>
            </w:tcBorders>
            <w:shd w:val="clear" w:color="auto" w:fill="auto"/>
            <w:tcMar>
              <w:top w:w="80" w:type="dxa"/>
              <w:left w:w="80" w:type="dxa"/>
              <w:bottom w:w="80" w:type="dxa"/>
              <w:right w:w="80" w:type="dxa"/>
            </w:tcMar>
            <w:hideMark/>
          </w:tcPr>
          <w:p w14:paraId="28AC09F3" w14:textId="77777777" w:rsidR="0082754D" w:rsidRDefault="0082754D" w:rsidP="005A7D31">
            <w:pPr>
              <w:pStyle w:val="TableStyle2A"/>
            </w:pPr>
            <w:r>
              <w:rPr>
                <w:rStyle w:val="None"/>
                <w:rFonts w:ascii="Arial" w:hAnsi="Arial"/>
              </w:rPr>
              <w:t xml:space="preserve">Assess seating position and posture when advising on a wheelchair.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6B0672EF" w14:textId="77777777" w:rsidR="0082754D" w:rsidRDefault="0082754D" w:rsidP="005A7D31">
            <w:pPr>
              <w:pStyle w:val="TableStyle2A"/>
            </w:pPr>
            <w:r>
              <w:rPr>
                <w:rStyle w:val="None"/>
              </w:rPr>
              <w:t>GPP</w:t>
            </w:r>
          </w:p>
        </w:tc>
      </w:tr>
      <w:tr w:rsidR="0082754D" w14:paraId="572C009E" w14:textId="77777777" w:rsidTr="007E181D">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1328EBF2" w14:textId="77777777" w:rsidR="0082754D" w:rsidRDefault="0082754D" w:rsidP="005A7D31">
            <w:pPr>
              <w:pStyle w:val="TableStyle2A"/>
            </w:pPr>
            <w:r>
              <w:rPr>
                <w:rStyle w:val="None"/>
                <w:rFonts w:ascii="Arial" w:hAnsi="Arial"/>
              </w:rPr>
              <w:t xml:space="preserve">Physiotherapists should be aware of the spectrum of additional specific impairments that people with progressive ataxia may have, such as fatigue, which also need to be treated.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23F05CFC" w14:textId="77777777" w:rsidR="0082754D" w:rsidRDefault="0082754D" w:rsidP="005A7D31">
            <w:pPr>
              <w:pStyle w:val="TableStyle2A"/>
            </w:pPr>
            <w:r>
              <w:rPr>
                <w:rStyle w:val="None"/>
              </w:rPr>
              <w:t>GPP</w:t>
            </w:r>
          </w:p>
        </w:tc>
      </w:tr>
    </w:tbl>
    <w:p w14:paraId="05ED8758" w14:textId="77777777" w:rsidR="00462F0C" w:rsidRDefault="00462F0C">
      <w:r>
        <w:br w:type="page"/>
      </w:r>
    </w:p>
    <w:tbl>
      <w:tblPr>
        <w:tblW w:w="9555"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8713"/>
        <w:gridCol w:w="842"/>
      </w:tblGrid>
      <w:tr w:rsidR="0082754D" w14:paraId="216C5F5A" w14:textId="77777777" w:rsidTr="00462F0C">
        <w:trPr>
          <w:trHeight w:val="320"/>
        </w:trPr>
        <w:tc>
          <w:tcPr>
            <w:tcW w:w="8713" w:type="dxa"/>
            <w:tcBorders>
              <w:top w:val="nil"/>
              <w:left w:val="nil"/>
              <w:bottom w:val="single" w:sz="18" w:space="0" w:color="000000"/>
              <w:right w:val="nil"/>
            </w:tcBorders>
            <w:shd w:val="clear" w:color="auto" w:fill="auto"/>
            <w:tcMar>
              <w:top w:w="80" w:type="dxa"/>
              <w:left w:w="80" w:type="dxa"/>
              <w:bottom w:w="80" w:type="dxa"/>
              <w:right w:w="80" w:type="dxa"/>
            </w:tcMar>
            <w:hideMark/>
          </w:tcPr>
          <w:p w14:paraId="48CA831C" w14:textId="0824C6DB" w:rsidR="007E181D" w:rsidRDefault="007E181D" w:rsidP="005A7D31">
            <w:pPr>
              <w:pStyle w:val="TableStyle2A"/>
              <w:rPr>
                <w:rStyle w:val="None"/>
                <w:b/>
                <w:bCs/>
                <w:sz w:val="24"/>
                <w:szCs w:val="24"/>
              </w:rPr>
            </w:pPr>
          </w:p>
          <w:p w14:paraId="5E8D9DF5" w14:textId="77777777" w:rsidR="007E181D" w:rsidRDefault="007E181D" w:rsidP="005A7D31">
            <w:pPr>
              <w:pStyle w:val="TableStyle2A"/>
              <w:rPr>
                <w:rStyle w:val="None"/>
                <w:b/>
                <w:bCs/>
                <w:sz w:val="24"/>
                <w:szCs w:val="24"/>
              </w:rPr>
            </w:pPr>
          </w:p>
          <w:p w14:paraId="45940171" w14:textId="77777777" w:rsidR="007E181D" w:rsidRDefault="007E181D" w:rsidP="005A7D31">
            <w:pPr>
              <w:pStyle w:val="TableStyle2A"/>
              <w:rPr>
                <w:rStyle w:val="None"/>
                <w:b/>
                <w:bCs/>
                <w:sz w:val="24"/>
                <w:szCs w:val="24"/>
              </w:rPr>
            </w:pPr>
          </w:p>
          <w:p w14:paraId="54049D65" w14:textId="76D43221" w:rsidR="0082754D" w:rsidRDefault="0082754D" w:rsidP="005A7D31">
            <w:pPr>
              <w:pStyle w:val="TableStyle2A"/>
            </w:pPr>
            <w:r>
              <w:rPr>
                <w:rStyle w:val="None"/>
                <w:b/>
                <w:bCs/>
                <w:sz w:val="24"/>
                <w:szCs w:val="24"/>
              </w:rPr>
              <w:t>Table s</w:t>
            </w:r>
            <w:r w:rsidR="003476A4">
              <w:rPr>
                <w:rStyle w:val="None"/>
                <w:b/>
                <w:bCs/>
                <w:sz w:val="24"/>
                <w:szCs w:val="24"/>
              </w:rPr>
              <w:t xml:space="preserve">2:  </w:t>
            </w:r>
            <w:r>
              <w:rPr>
                <w:rStyle w:val="None"/>
                <w:b/>
                <w:bCs/>
                <w:sz w:val="24"/>
                <w:szCs w:val="24"/>
              </w:rPr>
              <w:t xml:space="preserve">Allied health professional interventions </w:t>
            </w:r>
            <w:r>
              <w:rPr>
                <w:rStyle w:val="None"/>
                <w:b/>
                <w:bCs/>
                <w:i/>
                <w:iCs/>
                <w:sz w:val="24"/>
                <w:szCs w:val="24"/>
                <w:lang w:val="pt-PT"/>
              </w:rPr>
              <w:t>(continued)</w:t>
            </w:r>
          </w:p>
        </w:tc>
        <w:tc>
          <w:tcPr>
            <w:tcW w:w="842" w:type="dxa"/>
            <w:tcBorders>
              <w:top w:val="nil"/>
              <w:left w:val="nil"/>
              <w:bottom w:val="single" w:sz="18" w:space="0" w:color="000000"/>
              <w:right w:val="nil"/>
            </w:tcBorders>
            <w:shd w:val="clear" w:color="auto" w:fill="auto"/>
            <w:tcMar>
              <w:top w:w="80" w:type="dxa"/>
              <w:left w:w="80" w:type="dxa"/>
              <w:bottom w:w="80" w:type="dxa"/>
              <w:right w:w="80" w:type="dxa"/>
            </w:tcMar>
          </w:tcPr>
          <w:p w14:paraId="50171ACF" w14:textId="77777777" w:rsidR="0082754D" w:rsidRDefault="0082754D" w:rsidP="005A7D31">
            <w:pPr>
              <w:rPr>
                <w:sz w:val="24"/>
                <w:szCs w:val="24"/>
                <w:lang w:val="en-US"/>
              </w:rPr>
            </w:pPr>
          </w:p>
        </w:tc>
      </w:tr>
      <w:tr w:rsidR="0082754D" w14:paraId="55C87786" w14:textId="77777777" w:rsidTr="00462F0C">
        <w:trPr>
          <w:trHeight w:val="360"/>
        </w:trPr>
        <w:tc>
          <w:tcPr>
            <w:tcW w:w="8713" w:type="dxa"/>
            <w:tcBorders>
              <w:top w:val="single" w:sz="18" w:space="0" w:color="000000"/>
              <w:left w:val="nil"/>
              <w:bottom w:val="nil"/>
              <w:right w:val="nil"/>
            </w:tcBorders>
            <w:shd w:val="clear" w:color="auto" w:fill="auto"/>
            <w:tcMar>
              <w:top w:w="80" w:type="dxa"/>
              <w:left w:w="80" w:type="dxa"/>
              <w:bottom w:w="80" w:type="dxa"/>
              <w:right w:w="80" w:type="dxa"/>
            </w:tcMar>
          </w:tcPr>
          <w:p w14:paraId="5592C59A" w14:textId="77777777" w:rsidR="0082754D" w:rsidRDefault="0082754D" w:rsidP="005A7D31">
            <w:pPr>
              <w:rPr>
                <w:sz w:val="24"/>
                <w:szCs w:val="24"/>
                <w:lang w:val="en-US"/>
              </w:rPr>
            </w:pPr>
          </w:p>
        </w:tc>
        <w:tc>
          <w:tcPr>
            <w:tcW w:w="842" w:type="dxa"/>
            <w:tcBorders>
              <w:top w:val="single" w:sz="18" w:space="0" w:color="000000"/>
              <w:left w:val="nil"/>
              <w:bottom w:val="nil"/>
              <w:right w:val="nil"/>
            </w:tcBorders>
            <w:shd w:val="clear" w:color="auto" w:fill="auto"/>
            <w:tcMar>
              <w:top w:w="80" w:type="dxa"/>
              <w:left w:w="80" w:type="dxa"/>
              <w:bottom w:w="80" w:type="dxa"/>
              <w:right w:w="80" w:type="dxa"/>
            </w:tcMar>
          </w:tcPr>
          <w:p w14:paraId="7AB390D7" w14:textId="77777777" w:rsidR="0082754D" w:rsidRDefault="0082754D" w:rsidP="005A7D31">
            <w:pPr>
              <w:rPr>
                <w:sz w:val="24"/>
                <w:szCs w:val="24"/>
                <w:lang w:val="en-US"/>
              </w:rPr>
            </w:pPr>
          </w:p>
        </w:tc>
      </w:tr>
      <w:tr w:rsidR="0082754D" w14:paraId="4632D99D" w14:textId="77777777" w:rsidTr="00462F0C">
        <w:trPr>
          <w:trHeight w:val="310"/>
        </w:trPr>
        <w:tc>
          <w:tcPr>
            <w:tcW w:w="8713" w:type="dxa"/>
            <w:tcBorders>
              <w:top w:val="nil"/>
              <w:left w:val="nil"/>
              <w:bottom w:val="nil"/>
              <w:right w:val="nil"/>
            </w:tcBorders>
            <w:shd w:val="clear" w:color="auto" w:fill="auto"/>
            <w:tcMar>
              <w:top w:w="80" w:type="dxa"/>
              <w:left w:w="80" w:type="dxa"/>
              <w:bottom w:w="80" w:type="dxa"/>
              <w:right w:w="80" w:type="dxa"/>
            </w:tcMar>
            <w:hideMark/>
          </w:tcPr>
          <w:p w14:paraId="069E2D6B" w14:textId="3E7CEF6B" w:rsidR="0082754D" w:rsidRDefault="003476A4" w:rsidP="005A7D31">
            <w:pPr>
              <w:pStyle w:val="TableStyle2A"/>
            </w:pPr>
            <w:r>
              <w:rPr>
                <w:rStyle w:val="None"/>
                <w:b/>
                <w:bCs/>
              </w:rPr>
              <w:t xml:space="preserve">s2.3 </w:t>
            </w:r>
            <w:r w:rsidR="0082754D">
              <w:rPr>
                <w:rStyle w:val="None"/>
                <w:b/>
                <w:bCs/>
              </w:rPr>
              <w:t>Occupational therapy</w:t>
            </w:r>
          </w:p>
        </w:tc>
        <w:tc>
          <w:tcPr>
            <w:tcW w:w="842" w:type="dxa"/>
            <w:tcBorders>
              <w:top w:val="nil"/>
              <w:left w:val="nil"/>
              <w:bottom w:val="nil"/>
              <w:right w:val="nil"/>
            </w:tcBorders>
            <w:shd w:val="clear" w:color="auto" w:fill="auto"/>
            <w:tcMar>
              <w:top w:w="80" w:type="dxa"/>
              <w:left w:w="80" w:type="dxa"/>
              <w:bottom w:w="80" w:type="dxa"/>
              <w:right w:w="80" w:type="dxa"/>
            </w:tcMar>
          </w:tcPr>
          <w:p w14:paraId="7D411E43" w14:textId="77777777" w:rsidR="0082754D" w:rsidRDefault="0082754D" w:rsidP="005A7D31">
            <w:pPr>
              <w:rPr>
                <w:sz w:val="24"/>
                <w:szCs w:val="24"/>
                <w:lang w:val="en-US"/>
              </w:rPr>
            </w:pPr>
          </w:p>
        </w:tc>
      </w:tr>
      <w:tr w:rsidR="0082754D" w14:paraId="44B81229" w14:textId="77777777" w:rsidTr="00462F0C">
        <w:trPr>
          <w:trHeight w:val="260"/>
        </w:trPr>
        <w:tc>
          <w:tcPr>
            <w:tcW w:w="8713" w:type="dxa"/>
            <w:tcBorders>
              <w:top w:val="nil"/>
              <w:left w:val="nil"/>
              <w:bottom w:val="nil"/>
              <w:right w:val="nil"/>
            </w:tcBorders>
            <w:shd w:val="clear" w:color="auto" w:fill="auto"/>
            <w:tcMar>
              <w:top w:w="80" w:type="dxa"/>
              <w:left w:w="80" w:type="dxa"/>
              <w:bottom w:w="80" w:type="dxa"/>
              <w:right w:w="80" w:type="dxa"/>
            </w:tcMar>
            <w:hideMark/>
          </w:tcPr>
          <w:p w14:paraId="27D33DD2" w14:textId="77777777" w:rsidR="0082754D" w:rsidRDefault="0082754D" w:rsidP="005A7D31">
            <w:pPr>
              <w:pStyle w:val="TableStyle2A"/>
            </w:pPr>
            <w:r>
              <w:rPr>
                <w:rStyle w:val="None"/>
                <w:b/>
                <w:bCs/>
              </w:rPr>
              <w:t>Recommendation</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6DF75656" w14:textId="77777777" w:rsidR="0082754D" w:rsidRDefault="0082754D" w:rsidP="005A7D31">
            <w:pPr>
              <w:pStyle w:val="TableStyle2A"/>
            </w:pPr>
            <w:r>
              <w:rPr>
                <w:rStyle w:val="None"/>
                <w:b/>
                <w:bCs/>
              </w:rPr>
              <w:t>Grade</w:t>
            </w:r>
          </w:p>
        </w:tc>
      </w:tr>
      <w:tr w:rsidR="0082754D" w14:paraId="3E53735A" w14:textId="77777777" w:rsidTr="00462F0C">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649D7E8B" w14:textId="7835BB3E" w:rsidR="0082754D" w:rsidRDefault="0082754D" w:rsidP="005A7D31">
            <w:pPr>
              <w:pStyle w:val="TableStyle2A"/>
            </w:pPr>
            <w:r>
              <w:rPr>
                <w:rStyle w:val="None"/>
                <w:rFonts w:ascii="Arial" w:hAnsi="Arial"/>
              </w:rPr>
              <w:t xml:space="preserve">When it becomes increasingly difficult for people with ataxia to perform everyday activities referral to </w:t>
            </w:r>
            <w:r w:rsidR="007E181D">
              <w:rPr>
                <w:rStyle w:val="None"/>
                <w:rFonts w:ascii="Arial" w:hAnsi="Arial"/>
              </w:rPr>
              <w:t xml:space="preserve">OT </w:t>
            </w:r>
            <w:r>
              <w:rPr>
                <w:rStyle w:val="None"/>
                <w:rFonts w:ascii="Arial" w:hAnsi="Arial"/>
              </w:rPr>
              <w:t xml:space="preserve">services is recommended.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090C7790" w14:textId="77777777" w:rsidR="0082754D" w:rsidRDefault="0082754D" w:rsidP="005A7D31">
            <w:pPr>
              <w:pStyle w:val="TableStyle2A"/>
            </w:pPr>
            <w:r>
              <w:rPr>
                <w:rStyle w:val="None"/>
              </w:rPr>
              <w:t>GPP</w:t>
            </w:r>
          </w:p>
        </w:tc>
      </w:tr>
      <w:tr w:rsidR="0082754D" w14:paraId="69120FC6" w14:textId="77777777" w:rsidTr="00462F0C">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227D2BB3" w14:textId="2D205F83" w:rsidR="0082754D" w:rsidRDefault="0082754D" w:rsidP="005A7D31">
            <w:pPr>
              <w:pStyle w:val="TableStyle2A"/>
            </w:pPr>
            <w:r>
              <w:rPr>
                <w:rStyle w:val="None"/>
                <w:rFonts w:ascii="Arial" w:hAnsi="Arial"/>
              </w:rPr>
              <w:t>O</w:t>
            </w:r>
            <w:r w:rsidR="007E181D">
              <w:rPr>
                <w:rStyle w:val="None"/>
                <w:rFonts w:ascii="Arial" w:hAnsi="Arial"/>
              </w:rPr>
              <w:t xml:space="preserve">T </w:t>
            </w:r>
            <w:r>
              <w:rPr>
                <w:rStyle w:val="None"/>
                <w:rFonts w:ascii="Arial" w:hAnsi="Arial"/>
              </w:rPr>
              <w:t xml:space="preserve">assessment tools should measure the person’s occupational engagement and/or satisfaction with their performance of an activity.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37022A00" w14:textId="77777777" w:rsidR="0082754D" w:rsidRDefault="0082754D" w:rsidP="005A7D31">
            <w:pPr>
              <w:pStyle w:val="TableStyle2A"/>
            </w:pPr>
            <w:r>
              <w:rPr>
                <w:rStyle w:val="None"/>
              </w:rPr>
              <w:t>GPP</w:t>
            </w:r>
          </w:p>
        </w:tc>
      </w:tr>
      <w:tr w:rsidR="0082754D" w14:paraId="7C7E4E27" w14:textId="77777777" w:rsidTr="00462F0C">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74F40D99" w14:textId="53E1CED0" w:rsidR="0082754D" w:rsidRDefault="0082754D" w:rsidP="005A7D31">
            <w:pPr>
              <w:pStyle w:val="TableStyle2A"/>
            </w:pPr>
            <w:r>
              <w:rPr>
                <w:rStyle w:val="None"/>
                <w:rFonts w:ascii="Arial" w:hAnsi="Arial"/>
              </w:rPr>
              <w:t xml:space="preserve">When making an assessment for treatment and management, therapists should refer to general considerations for intervention in the full guidelines.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51BA8B49" w14:textId="77777777" w:rsidR="0082754D" w:rsidRDefault="0082754D" w:rsidP="005A7D31">
            <w:pPr>
              <w:pStyle w:val="TableStyle2A"/>
            </w:pPr>
            <w:r>
              <w:rPr>
                <w:rStyle w:val="None"/>
              </w:rPr>
              <w:t>GPP</w:t>
            </w:r>
          </w:p>
        </w:tc>
      </w:tr>
      <w:tr w:rsidR="0082754D" w14:paraId="07E2571F" w14:textId="77777777" w:rsidTr="00462F0C">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148917D2" w14:textId="77777777" w:rsidR="0082754D" w:rsidRDefault="0082754D" w:rsidP="005A7D31">
            <w:pPr>
              <w:pStyle w:val="TableStyle2A"/>
            </w:pPr>
            <w:r>
              <w:rPr>
                <w:rStyle w:val="None"/>
                <w:rFonts w:ascii="Arial" w:hAnsi="Arial"/>
              </w:rPr>
              <w:t xml:space="preserve">Following a complete OT assessment, when a list of main concerns has been considered and treatment goals prioritised, consult practical suggestions in this section for guidance.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6A638B42" w14:textId="77777777" w:rsidR="0082754D" w:rsidRDefault="0082754D" w:rsidP="005A7D31">
            <w:pPr>
              <w:pStyle w:val="TableStyle2A"/>
            </w:pPr>
            <w:r>
              <w:rPr>
                <w:rStyle w:val="None"/>
              </w:rPr>
              <w:t>GPP/D</w:t>
            </w:r>
          </w:p>
        </w:tc>
      </w:tr>
      <w:tr w:rsidR="0082754D" w14:paraId="2F00AADB" w14:textId="77777777" w:rsidTr="00462F0C">
        <w:trPr>
          <w:trHeight w:val="260"/>
        </w:trPr>
        <w:tc>
          <w:tcPr>
            <w:tcW w:w="8713" w:type="dxa"/>
            <w:tcBorders>
              <w:top w:val="nil"/>
              <w:left w:val="nil"/>
              <w:bottom w:val="nil"/>
              <w:right w:val="nil"/>
            </w:tcBorders>
            <w:shd w:val="clear" w:color="auto" w:fill="auto"/>
            <w:tcMar>
              <w:top w:w="80" w:type="dxa"/>
              <w:left w:w="80" w:type="dxa"/>
              <w:bottom w:w="80" w:type="dxa"/>
              <w:right w:w="80" w:type="dxa"/>
            </w:tcMar>
            <w:hideMark/>
          </w:tcPr>
          <w:p w14:paraId="1134E235" w14:textId="77777777" w:rsidR="0082754D" w:rsidRDefault="0082754D" w:rsidP="005A7D31">
            <w:pPr>
              <w:pStyle w:val="TableStyle2A"/>
            </w:pPr>
            <w:r>
              <w:rPr>
                <w:rStyle w:val="None"/>
                <w:rFonts w:ascii="Arial" w:hAnsi="Arial"/>
              </w:rPr>
              <w:t xml:space="preserve">Fatigue management should be considered as part of the OT assessment.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34D6C998" w14:textId="77777777" w:rsidR="0082754D" w:rsidRDefault="0082754D" w:rsidP="005A7D31">
            <w:pPr>
              <w:pStyle w:val="TableStyle2A"/>
            </w:pPr>
            <w:r>
              <w:rPr>
                <w:rStyle w:val="None"/>
              </w:rPr>
              <w:t>D</w:t>
            </w:r>
          </w:p>
        </w:tc>
      </w:tr>
      <w:tr w:rsidR="0082754D" w14:paraId="285D3EDF" w14:textId="77777777" w:rsidTr="00462F0C">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47A756D8" w14:textId="77777777" w:rsidR="0082754D" w:rsidRDefault="0082754D" w:rsidP="005A7D31">
            <w:pPr>
              <w:pStyle w:val="TableStyle2A"/>
            </w:pPr>
            <w:r>
              <w:rPr>
                <w:rStyle w:val="None"/>
                <w:rFonts w:ascii="Arial" w:hAnsi="Arial"/>
              </w:rPr>
              <w:t xml:space="preserve">Provide information on fatigue and discuss strategies, using activity analysis to help people look at alternative ways of completing tasks in a more energy efficient way.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79BB7AA7" w14:textId="77777777" w:rsidR="0082754D" w:rsidRDefault="0082754D" w:rsidP="005A7D31">
            <w:pPr>
              <w:pStyle w:val="TableStyle2A"/>
            </w:pPr>
            <w:r>
              <w:rPr>
                <w:rStyle w:val="None"/>
              </w:rPr>
              <w:t>GPP</w:t>
            </w:r>
          </w:p>
        </w:tc>
      </w:tr>
      <w:tr w:rsidR="0082754D" w14:paraId="48CA7998" w14:textId="77777777" w:rsidTr="00462F0C">
        <w:trPr>
          <w:trHeight w:val="673"/>
        </w:trPr>
        <w:tc>
          <w:tcPr>
            <w:tcW w:w="8713" w:type="dxa"/>
            <w:tcBorders>
              <w:top w:val="nil"/>
              <w:left w:val="nil"/>
              <w:bottom w:val="nil"/>
              <w:right w:val="nil"/>
            </w:tcBorders>
            <w:shd w:val="clear" w:color="auto" w:fill="auto"/>
            <w:tcMar>
              <w:top w:w="80" w:type="dxa"/>
              <w:left w:w="80" w:type="dxa"/>
              <w:bottom w:w="80" w:type="dxa"/>
              <w:right w:w="80" w:type="dxa"/>
            </w:tcMar>
            <w:hideMark/>
          </w:tcPr>
          <w:p w14:paraId="1C41C190" w14:textId="1FA3BC23" w:rsidR="0082754D" w:rsidRDefault="007E181D" w:rsidP="005A7D31">
            <w:pPr>
              <w:pStyle w:val="TableStyle2A"/>
            </w:pPr>
            <w:r>
              <w:rPr>
                <w:rStyle w:val="None"/>
                <w:rFonts w:ascii="Arial" w:hAnsi="Arial"/>
              </w:rPr>
              <w:t>T</w:t>
            </w:r>
            <w:r w:rsidR="0082754D">
              <w:rPr>
                <w:rStyle w:val="None"/>
                <w:rFonts w:ascii="Arial" w:hAnsi="Arial"/>
              </w:rPr>
              <w:t xml:space="preserve">herapists should be mindful of the psychological state of the person with ataxia and refer to counselling or cognitive behavioural therapy as appropriate, and/or consider that anxiety management may be required.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21AB6EE8" w14:textId="77777777" w:rsidR="0082754D" w:rsidRDefault="0082754D" w:rsidP="005A7D31">
            <w:pPr>
              <w:pStyle w:val="TableStyle2A"/>
            </w:pPr>
            <w:r>
              <w:rPr>
                <w:rStyle w:val="None"/>
              </w:rPr>
              <w:t>D</w:t>
            </w:r>
          </w:p>
        </w:tc>
      </w:tr>
      <w:tr w:rsidR="0082754D" w14:paraId="7FE0706C" w14:textId="77777777" w:rsidTr="00462F0C">
        <w:trPr>
          <w:trHeight w:val="453"/>
        </w:trPr>
        <w:tc>
          <w:tcPr>
            <w:tcW w:w="8713" w:type="dxa"/>
            <w:tcBorders>
              <w:top w:val="nil"/>
              <w:left w:val="nil"/>
              <w:bottom w:val="nil"/>
              <w:right w:val="nil"/>
            </w:tcBorders>
            <w:shd w:val="clear" w:color="auto" w:fill="auto"/>
            <w:tcMar>
              <w:top w:w="80" w:type="dxa"/>
              <w:left w:w="80" w:type="dxa"/>
              <w:bottom w:w="80" w:type="dxa"/>
              <w:right w:w="80" w:type="dxa"/>
            </w:tcMar>
            <w:hideMark/>
          </w:tcPr>
          <w:p w14:paraId="1AA7A8B8" w14:textId="77777777" w:rsidR="0082754D" w:rsidRDefault="0082754D" w:rsidP="005A7D31">
            <w:pPr>
              <w:pStyle w:val="TableStyle2A"/>
            </w:pPr>
            <w:r>
              <w:rPr>
                <w:rStyle w:val="None"/>
                <w:rFonts w:ascii="Arial" w:hAnsi="Arial"/>
              </w:rPr>
              <w:t xml:space="preserve">Consider the need for future assessments when occupational needs changes and how the patient can re-access both OT and other appropriate services. </w:t>
            </w:r>
          </w:p>
        </w:tc>
        <w:tc>
          <w:tcPr>
            <w:tcW w:w="842" w:type="dxa"/>
            <w:tcBorders>
              <w:top w:val="nil"/>
              <w:left w:val="nil"/>
              <w:bottom w:val="nil"/>
              <w:right w:val="nil"/>
            </w:tcBorders>
            <w:shd w:val="clear" w:color="auto" w:fill="auto"/>
            <w:tcMar>
              <w:top w:w="80" w:type="dxa"/>
              <w:left w:w="80" w:type="dxa"/>
              <w:bottom w:w="80" w:type="dxa"/>
              <w:right w:w="80" w:type="dxa"/>
            </w:tcMar>
            <w:hideMark/>
          </w:tcPr>
          <w:p w14:paraId="2D004EEC" w14:textId="77777777" w:rsidR="0082754D" w:rsidRDefault="0082754D" w:rsidP="005A7D31">
            <w:pPr>
              <w:pStyle w:val="TableStyle2A"/>
            </w:pPr>
            <w:r>
              <w:rPr>
                <w:rStyle w:val="None"/>
              </w:rPr>
              <w:t>GPP</w:t>
            </w:r>
          </w:p>
        </w:tc>
      </w:tr>
    </w:tbl>
    <w:p w14:paraId="6045E461" w14:textId="77777777" w:rsidR="0082754D" w:rsidRDefault="0082754D" w:rsidP="0082754D">
      <w:pPr>
        <w:pStyle w:val="BodyB"/>
        <w:spacing w:line="480" w:lineRule="auto"/>
        <w:rPr>
          <w:rStyle w:val="None"/>
          <w:rFonts w:ascii="Arial" w:hAnsi="Arial"/>
          <w:b/>
          <w:bCs/>
          <w:sz w:val="32"/>
          <w:szCs w:val="32"/>
          <w:lang w:val="en-GB"/>
        </w:rPr>
      </w:pPr>
    </w:p>
    <w:p w14:paraId="0A660D9C" w14:textId="77777777" w:rsidR="00462F0C" w:rsidRDefault="00462F0C">
      <w:r>
        <w:br w:type="page"/>
      </w:r>
    </w:p>
    <w:tbl>
      <w:tblPr>
        <w:tblW w:w="956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8718"/>
        <w:gridCol w:w="842"/>
      </w:tblGrid>
      <w:tr w:rsidR="007958E8" w14:paraId="35099FB1" w14:textId="77777777" w:rsidTr="005A7D31">
        <w:trPr>
          <w:trHeight w:val="320"/>
        </w:trPr>
        <w:tc>
          <w:tcPr>
            <w:tcW w:w="8718" w:type="dxa"/>
            <w:tcBorders>
              <w:top w:val="nil"/>
              <w:left w:val="nil"/>
              <w:bottom w:val="single" w:sz="16" w:space="0" w:color="000000"/>
              <w:right w:val="nil"/>
            </w:tcBorders>
            <w:shd w:val="clear" w:color="auto" w:fill="auto"/>
            <w:tcMar>
              <w:top w:w="80" w:type="dxa"/>
              <w:left w:w="80" w:type="dxa"/>
              <w:bottom w:w="80" w:type="dxa"/>
              <w:right w:w="80" w:type="dxa"/>
            </w:tcMar>
          </w:tcPr>
          <w:p w14:paraId="5560D877" w14:textId="08729C50" w:rsidR="007958E8" w:rsidRDefault="00462F0C" w:rsidP="007958E8">
            <w:pPr>
              <w:pStyle w:val="TableStyle2A"/>
            </w:pPr>
            <w:r>
              <w:rPr>
                <w:rStyle w:val="None"/>
                <w:b/>
                <w:bCs/>
                <w:sz w:val="24"/>
                <w:szCs w:val="24"/>
              </w:rPr>
              <w:lastRenderedPageBreak/>
              <w:t>T</w:t>
            </w:r>
            <w:r w:rsidR="007958E8">
              <w:rPr>
                <w:rStyle w:val="None"/>
                <w:b/>
                <w:bCs/>
                <w:sz w:val="24"/>
                <w:szCs w:val="24"/>
              </w:rPr>
              <w:t>able s</w:t>
            </w:r>
            <w:r w:rsidR="007E181D">
              <w:rPr>
                <w:rStyle w:val="None"/>
                <w:b/>
                <w:bCs/>
                <w:sz w:val="24"/>
                <w:szCs w:val="24"/>
              </w:rPr>
              <w:t xml:space="preserve">3:  </w:t>
            </w:r>
            <w:r w:rsidR="007958E8">
              <w:rPr>
                <w:rStyle w:val="None"/>
                <w:b/>
                <w:bCs/>
                <w:sz w:val="24"/>
                <w:szCs w:val="24"/>
              </w:rPr>
              <w:t>Palliative care</w:t>
            </w:r>
          </w:p>
        </w:tc>
        <w:tc>
          <w:tcPr>
            <w:tcW w:w="842" w:type="dxa"/>
            <w:tcBorders>
              <w:top w:val="nil"/>
              <w:left w:val="nil"/>
              <w:bottom w:val="nil"/>
              <w:right w:val="nil"/>
            </w:tcBorders>
            <w:shd w:val="clear" w:color="auto" w:fill="auto"/>
            <w:tcMar>
              <w:top w:w="80" w:type="dxa"/>
              <w:left w:w="80" w:type="dxa"/>
              <w:bottom w:w="80" w:type="dxa"/>
              <w:right w:w="80" w:type="dxa"/>
            </w:tcMar>
          </w:tcPr>
          <w:p w14:paraId="7F5D300F" w14:textId="77777777" w:rsidR="007958E8" w:rsidRDefault="007958E8" w:rsidP="005A7D31"/>
        </w:tc>
      </w:tr>
      <w:tr w:rsidR="007958E8" w14:paraId="294B3A75" w14:textId="77777777" w:rsidTr="005A7D31">
        <w:trPr>
          <w:trHeight w:val="360"/>
        </w:trPr>
        <w:tc>
          <w:tcPr>
            <w:tcW w:w="8718" w:type="dxa"/>
            <w:tcBorders>
              <w:top w:val="single" w:sz="16" w:space="0" w:color="000000"/>
              <w:left w:val="nil"/>
              <w:bottom w:val="nil"/>
              <w:right w:val="nil"/>
            </w:tcBorders>
            <w:shd w:val="clear" w:color="auto" w:fill="auto"/>
            <w:tcMar>
              <w:top w:w="80" w:type="dxa"/>
              <w:left w:w="80" w:type="dxa"/>
              <w:bottom w:w="80" w:type="dxa"/>
              <w:right w:w="80" w:type="dxa"/>
            </w:tcMar>
          </w:tcPr>
          <w:p w14:paraId="4D402709" w14:textId="77777777" w:rsidR="007958E8" w:rsidRDefault="007958E8" w:rsidP="005A7D31"/>
        </w:tc>
        <w:tc>
          <w:tcPr>
            <w:tcW w:w="842" w:type="dxa"/>
            <w:tcBorders>
              <w:top w:val="nil"/>
              <w:left w:val="nil"/>
              <w:bottom w:val="nil"/>
              <w:right w:val="nil"/>
            </w:tcBorders>
            <w:shd w:val="clear" w:color="auto" w:fill="auto"/>
            <w:tcMar>
              <w:top w:w="80" w:type="dxa"/>
              <w:left w:w="80" w:type="dxa"/>
              <w:bottom w:w="80" w:type="dxa"/>
              <w:right w:w="80" w:type="dxa"/>
            </w:tcMar>
          </w:tcPr>
          <w:p w14:paraId="31266707" w14:textId="77777777" w:rsidR="007958E8" w:rsidRDefault="007958E8" w:rsidP="005A7D31"/>
        </w:tc>
      </w:tr>
      <w:tr w:rsidR="007958E8" w14:paraId="36C88478" w14:textId="77777777" w:rsidTr="005A7D31">
        <w:trPr>
          <w:trHeight w:val="260"/>
        </w:trPr>
        <w:tc>
          <w:tcPr>
            <w:tcW w:w="8718" w:type="dxa"/>
            <w:tcBorders>
              <w:top w:val="nil"/>
              <w:left w:val="nil"/>
              <w:bottom w:val="nil"/>
              <w:right w:val="nil"/>
            </w:tcBorders>
            <w:shd w:val="clear" w:color="auto" w:fill="auto"/>
            <w:tcMar>
              <w:top w:w="80" w:type="dxa"/>
              <w:left w:w="80" w:type="dxa"/>
              <w:bottom w:w="80" w:type="dxa"/>
              <w:right w:w="80" w:type="dxa"/>
            </w:tcMar>
          </w:tcPr>
          <w:p w14:paraId="460E55D9" w14:textId="77777777" w:rsidR="007958E8" w:rsidRDefault="007958E8" w:rsidP="005A7D31">
            <w:pPr>
              <w:pStyle w:val="TableStyle2A"/>
            </w:pPr>
            <w:r>
              <w:rPr>
                <w:rStyle w:val="None"/>
                <w:rFonts w:ascii="Arial" w:hAnsi="Arial"/>
                <w:b/>
                <w:bCs/>
              </w:rPr>
              <w:t>Recommendation</w:t>
            </w:r>
          </w:p>
        </w:tc>
        <w:tc>
          <w:tcPr>
            <w:tcW w:w="842" w:type="dxa"/>
            <w:tcBorders>
              <w:top w:val="nil"/>
              <w:left w:val="nil"/>
              <w:bottom w:val="nil"/>
              <w:right w:val="nil"/>
            </w:tcBorders>
            <w:shd w:val="clear" w:color="auto" w:fill="auto"/>
            <w:tcMar>
              <w:top w:w="80" w:type="dxa"/>
              <w:left w:w="80" w:type="dxa"/>
              <w:bottom w:w="80" w:type="dxa"/>
              <w:right w:w="80" w:type="dxa"/>
            </w:tcMar>
          </w:tcPr>
          <w:p w14:paraId="2F003A47" w14:textId="77777777" w:rsidR="007958E8" w:rsidRDefault="007958E8" w:rsidP="005A7D31">
            <w:pPr>
              <w:pStyle w:val="TableStyle2A"/>
            </w:pPr>
            <w:r>
              <w:rPr>
                <w:rStyle w:val="None"/>
                <w:b/>
                <w:bCs/>
              </w:rPr>
              <w:t>Grade</w:t>
            </w:r>
          </w:p>
        </w:tc>
      </w:tr>
      <w:tr w:rsidR="007958E8" w14:paraId="2769EB8E" w14:textId="77777777" w:rsidTr="005A7D31">
        <w:trPr>
          <w:trHeight w:val="673"/>
        </w:trPr>
        <w:tc>
          <w:tcPr>
            <w:tcW w:w="8718" w:type="dxa"/>
            <w:tcBorders>
              <w:top w:val="nil"/>
              <w:left w:val="nil"/>
              <w:bottom w:val="nil"/>
              <w:right w:val="nil"/>
            </w:tcBorders>
            <w:shd w:val="clear" w:color="auto" w:fill="auto"/>
            <w:tcMar>
              <w:top w:w="80" w:type="dxa"/>
              <w:left w:w="80" w:type="dxa"/>
              <w:bottom w:w="80" w:type="dxa"/>
              <w:right w:w="80" w:type="dxa"/>
            </w:tcMar>
          </w:tcPr>
          <w:p w14:paraId="458EBECB" w14:textId="77777777" w:rsidR="007958E8" w:rsidRDefault="007958E8" w:rsidP="005A7D31">
            <w:pPr>
              <w:pStyle w:val="TableStyle2A"/>
            </w:pPr>
            <w:r>
              <w:rPr>
                <w:rStyle w:val="None"/>
                <w:rFonts w:ascii="Arial" w:hAnsi="Arial"/>
              </w:rPr>
              <w:t xml:space="preserve">All healthcare professionals should ensure patients are aware that Advance Care Planning is an option, and in appropriate contexts and in a suitable time and place should advise patients to consider doing it. </w:t>
            </w:r>
          </w:p>
        </w:tc>
        <w:tc>
          <w:tcPr>
            <w:tcW w:w="842" w:type="dxa"/>
            <w:tcBorders>
              <w:top w:val="nil"/>
              <w:left w:val="nil"/>
              <w:bottom w:val="nil"/>
              <w:right w:val="nil"/>
            </w:tcBorders>
            <w:shd w:val="clear" w:color="auto" w:fill="auto"/>
            <w:tcMar>
              <w:top w:w="80" w:type="dxa"/>
              <w:left w:w="80" w:type="dxa"/>
              <w:bottom w:w="80" w:type="dxa"/>
              <w:right w:w="80" w:type="dxa"/>
            </w:tcMar>
          </w:tcPr>
          <w:p w14:paraId="103A4B5D" w14:textId="77777777" w:rsidR="007958E8" w:rsidRDefault="007958E8" w:rsidP="005A7D31">
            <w:pPr>
              <w:pStyle w:val="TableStyle2A"/>
            </w:pPr>
            <w:r>
              <w:rPr>
                <w:rStyle w:val="None"/>
              </w:rPr>
              <w:t>GPP</w:t>
            </w:r>
          </w:p>
        </w:tc>
      </w:tr>
      <w:tr w:rsidR="007958E8" w14:paraId="0E32D80E" w14:textId="77777777" w:rsidTr="005A7D31">
        <w:trPr>
          <w:trHeight w:val="453"/>
        </w:trPr>
        <w:tc>
          <w:tcPr>
            <w:tcW w:w="8718" w:type="dxa"/>
            <w:tcBorders>
              <w:top w:val="nil"/>
              <w:left w:val="nil"/>
              <w:bottom w:val="nil"/>
              <w:right w:val="nil"/>
            </w:tcBorders>
            <w:shd w:val="clear" w:color="auto" w:fill="auto"/>
            <w:tcMar>
              <w:top w:w="80" w:type="dxa"/>
              <w:left w:w="80" w:type="dxa"/>
              <w:bottom w:w="80" w:type="dxa"/>
              <w:right w:w="80" w:type="dxa"/>
            </w:tcMar>
          </w:tcPr>
          <w:p w14:paraId="257E65FA" w14:textId="77777777" w:rsidR="007958E8" w:rsidRDefault="007958E8" w:rsidP="005A7D31">
            <w:pPr>
              <w:pStyle w:val="TableStyle2A"/>
            </w:pPr>
            <w:r>
              <w:rPr>
                <w:rStyle w:val="None"/>
                <w:rFonts w:ascii="Arial" w:hAnsi="Arial"/>
              </w:rPr>
              <w:t xml:space="preserve">All healthcare professionals should facilitate advance care planning and documentation of advance care directives in individuals with ataxia. </w:t>
            </w:r>
          </w:p>
        </w:tc>
        <w:tc>
          <w:tcPr>
            <w:tcW w:w="842" w:type="dxa"/>
            <w:tcBorders>
              <w:top w:val="nil"/>
              <w:left w:val="nil"/>
              <w:bottom w:val="nil"/>
              <w:right w:val="nil"/>
            </w:tcBorders>
            <w:shd w:val="clear" w:color="auto" w:fill="auto"/>
            <w:tcMar>
              <w:top w:w="80" w:type="dxa"/>
              <w:left w:w="80" w:type="dxa"/>
              <w:bottom w:w="80" w:type="dxa"/>
              <w:right w:w="80" w:type="dxa"/>
            </w:tcMar>
          </w:tcPr>
          <w:p w14:paraId="7D1AF4EB" w14:textId="77777777" w:rsidR="007958E8" w:rsidRDefault="007958E8" w:rsidP="005A7D31">
            <w:pPr>
              <w:pStyle w:val="TableStyle2A"/>
            </w:pPr>
            <w:r>
              <w:rPr>
                <w:rStyle w:val="None"/>
              </w:rPr>
              <w:t>GPP</w:t>
            </w:r>
          </w:p>
        </w:tc>
      </w:tr>
      <w:tr w:rsidR="007958E8" w14:paraId="1BDCA3F2" w14:textId="77777777" w:rsidTr="005A7D31">
        <w:trPr>
          <w:trHeight w:val="893"/>
        </w:trPr>
        <w:tc>
          <w:tcPr>
            <w:tcW w:w="8718" w:type="dxa"/>
            <w:tcBorders>
              <w:top w:val="nil"/>
              <w:left w:val="nil"/>
              <w:bottom w:val="nil"/>
              <w:right w:val="nil"/>
            </w:tcBorders>
            <w:shd w:val="clear" w:color="auto" w:fill="auto"/>
            <w:tcMar>
              <w:top w:w="80" w:type="dxa"/>
              <w:left w:w="80" w:type="dxa"/>
              <w:bottom w:w="80" w:type="dxa"/>
              <w:right w:w="80" w:type="dxa"/>
            </w:tcMar>
          </w:tcPr>
          <w:p w14:paraId="4F974E27" w14:textId="77777777" w:rsidR="007958E8" w:rsidRDefault="007958E8" w:rsidP="005A7D31">
            <w:pPr>
              <w:pStyle w:val="TableStyle2A"/>
            </w:pPr>
            <w:r>
              <w:rPr>
                <w:rStyle w:val="None"/>
                <w:rFonts w:ascii="Arial" w:hAnsi="Arial"/>
              </w:rPr>
              <w:t xml:space="preserve">Documented Advanced Care Planning for individuals with ataxia should be regularly reviewed by the individual in conjunction with their treating clinicians. Review may be instigated by the individual or care provider, can be part of regular review or may be triggered by a change in circumstances. </w:t>
            </w:r>
          </w:p>
        </w:tc>
        <w:tc>
          <w:tcPr>
            <w:tcW w:w="842" w:type="dxa"/>
            <w:tcBorders>
              <w:top w:val="nil"/>
              <w:left w:val="nil"/>
              <w:bottom w:val="nil"/>
              <w:right w:val="nil"/>
            </w:tcBorders>
            <w:shd w:val="clear" w:color="auto" w:fill="auto"/>
            <w:tcMar>
              <w:top w:w="80" w:type="dxa"/>
              <w:left w:w="80" w:type="dxa"/>
              <w:bottom w:w="80" w:type="dxa"/>
              <w:right w:w="80" w:type="dxa"/>
            </w:tcMar>
          </w:tcPr>
          <w:p w14:paraId="7A9E096D" w14:textId="77777777" w:rsidR="007958E8" w:rsidRDefault="007958E8" w:rsidP="005A7D31">
            <w:pPr>
              <w:pStyle w:val="TableStyle2A"/>
            </w:pPr>
            <w:r>
              <w:rPr>
                <w:rStyle w:val="None"/>
              </w:rPr>
              <w:t>GPP</w:t>
            </w:r>
          </w:p>
        </w:tc>
      </w:tr>
      <w:tr w:rsidR="007958E8" w14:paraId="6E080C3B" w14:textId="77777777" w:rsidTr="005A7D31">
        <w:trPr>
          <w:trHeight w:val="673"/>
        </w:trPr>
        <w:tc>
          <w:tcPr>
            <w:tcW w:w="8718" w:type="dxa"/>
            <w:tcBorders>
              <w:top w:val="nil"/>
              <w:left w:val="nil"/>
              <w:bottom w:val="nil"/>
              <w:right w:val="nil"/>
            </w:tcBorders>
            <w:shd w:val="clear" w:color="auto" w:fill="auto"/>
            <w:tcMar>
              <w:top w:w="80" w:type="dxa"/>
              <w:left w:w="80" w:type="dxa"/>
              <w:bottom w:w="80" w:type="dxa"/>
              <w:right w:w="80" w:type="dxa"/>
            </w:tcMar>
          </w:tcPr>
          <w:p w14:paraId="7A8A2C70" w14:textId="77777777" w:rsidR="007958E8" w:rsidRDefault="007958E8" w:rsidP="005A7D31">
            <w:pPr>
              <w:pStyle w:val="TableStyle2A"/>
            </w:pPr>
            <w:r>
              <w:rPr>
                <w:rStyle w:val="None"/>
                <w:rFonts w:ascii="Arial" w:hAnsi="Arial"/>
              </w:rPr>
              <w:t xml:space="preserve">Consider referring to a specialist palliative care team when an individual with ataxia has complex distressing symptoms, psychological, social or spiritual needs, and/or a need for end-of-life planning. </w:t>
            </w:r>
          </w:p>
        </w:tc>
        <w:tc>
          <w:tcPr>
            <w:tcW w:w="842" w:type="dxa"/>
            <w:tcBorders>
              <w:top w:val="nil"/>
              <w:left w:val="nil"/>
              <w:bottom w:val="nil"/>
              <w:right w:val="nil"/>
            </w:tcBorders>
            <w:shd w:val="clear" w:color="auto" w:fill="auto"/>
            <w:tcMar>
              <w:top w:w="80" w:type="dxa"/>
              <w:left w:w="80" w:type="dxa"/>
              <w:bottom w:w="80" w:type="dxa"/>
              <w:right w:w="80" w:type="dxa"/>
            </w:tcMar>
          </w:tcPr>
          <w:p w14:paraId="21D7C75D" w14:textId="77777777" w:rsidR="007958E8" w:rsidRDefault="007958E8" w:rsidP="005A7D31">
            <w:pPr>
              <w:pStyle w:val="TableStyle2A"/>
            </w:pPr>
            <w:r>
              <w:rPr>
                <w:rStyle w:val="None"/>
              </w:rPr>
              <w:t>GPP</w:t>
            </w:r>
          </w:p>
        </w:tc>
      </w:tr>
      <w:tr w:rsidR="007958E8" w14:paraId="5AF54BC1" w14:textId="77777777" w:rsidTr="005A7D31">
        <w:trPr>
          <w:trHeight w:val="453"/>
        </w:trPr>
        <w:tc>
          <w:tcPr>
            <w:tcW w:w="8718" w:type="dxa"/>
            <w:tcBorders>
              <w:top w:val="nil"/>
              <w:left w:val="nil"/>
              <w:bottom w:val="nil"/>
              <w:right w:val="nil"/>
            </w:tcBorders>
            <w:shd w:val="clear" w:color="auto" w:fill="auto"/>
            <w:tcMar>
              <w:top w:w="80" w:type="dxa"/>
              <w:left w:w="80" w:type="dxa"/>
              <w:bottom w:w="80" w:type="dxa"/>
              <w:right w:w="80" w:type="dxa"/>
            </w:tcMar>
          </w:tcPr>
          <w:p w14:paraId="45CA1E48" w14:textId="77777777" w:rsidR="007958E8" w:rsidRDefault="007958E8" w:rsidP="005A7D31">
            <w:pPr>
              <w:pStyle w:val="TableStyle2A"/>
            </w:pPr>
            <w:r>
              <w:rPr>
                <w:rStyle w:val="None"/>
                <w:rFonts w:ascii="Arial" w:hAnsi="Arial"/>
              </w:rPr>
              <w:t xml:space="preserve">Ensure an individual identified as approaching the end-of-life stage and their family have open access to specialist palliative care services. </w:t>
            </w:r>
          </w:p>
        </w:tc>
        <w:tc>
          <w:tcPr>
            <w:tcW w:w="842" w:type="dxa"/>
            <w:tcBorders>
              <w:top w:val="nil"/>
              <w:left w:val="nil"/>
              <w:bottom w:val="nil"/>
              <w:right w:val="nil"/>
            </w:tcBorders>
            <w:shd w:val="clear" w:color="auto" w:fill="auto"/>
            <w:tcMar>
              <w:top w:w="80" w:type="dxa"/>
              <w:left w:w="80" w:type="dxa"/>
              <w:bottom w:w="80" w:type="dxa"/>
              <w:right w:w="80" w:type="dxa"/>
            </w:tcMar>
          </w:tcPr>
          <w:p w14:paraId="75F88AE4" w14:textId="77777777" w:rsidR="007958E8" w:rsidRDefault="007958E8" w:rsidP="005A7D31">
            <w:pPr>
              <w:pStyle w:val="TableStyle2A"/>
            </w:pPr>
            <w:r>
              <w:rPr>
                <w:rStyle w:val="None"/>
              </w:rPr>
              <w:t>GPP</w:t>
            </w:r>
          </w:p>
        </w:tc>
      </w:tr>
      <w:tr w:rsidR="007958E8" w14:paraId="43397D17" w14:textId="77777777" w:rsidTr="005A7D31">
        <w:trPr>
          <w:trHeight w:val="453"/>
        </w:trPr>
        <w:tc>
          <w:tcPr>
            <w:tcW w:w="8718" w:type="dxa"/>
            <w:tcBorders>
              <w:top w:val="nil"/>
              <w:left w:val="nil"/>
              <w:bottom w:val="nil"/>
              <w:right w:val="nil"/>
            </w:tcBorders>
            <w:shd w:val="clear" w:color="auto" w:fill="auto"/>
            <w:tcMar>
              <w:top w:w="80" w:type="dxa"/>
              <w:left w:w="80" w:type="dxa"/>
              <w:bottom w:w="80" w:type="dxa"/>
              <w:right w:w="80" w:type="dxa"/>
            </w:tcMar>
          </w:tcPr>
          <w:p w14:paraId="0F681FEE" w14:textId="77777777" w:rsidR="007958E8" w:rsidRDefault="007958E8" w:rsidP="005A7D31">
            <w:pPr>
              <w:pStyle w:val="TableStyle2A"/>
            </w:pPr>
            <w:r>
              <w:rPr>
                <w:rStyle w:val="None"/>
                <w:rFonts w:ascii="Arial" w:hAnsi="Arial"/>
              </w:rPr>
              <w:t xml:space="preserve">If needed offer specialist input in the last few days of life, and aftercare and bereavement support to their families. </w:t>
            </w:r>
          </w:p>
        </w:tc>
        <w:tc>
          <w:tcPr>
            <w:tcW w:w="842" w:type="dxa"/>
            <w:tcBorders>
              <w:top w:val="nil"/>
              <w:left w:val="nil"/>
              <w:bottom w:val="nil"/>
              <w:right w:val="nil"/>
            </w:tcBorders>
            <w:shd w:val="clear" w:color="auto" w:fill="auto"/>
            <w:tcMar>
              <w:top w:w="80" w:type="dxa"/>
              <w:left w:w="80" w:type="dxa"/>
              <w:bottom w:w="80" w:type="dxa"/>
              <w:right w:w="80" w:type="dxa"/>
            </w:tcMar>
          </w:tcPr>
          <w:p w14:paraId="289DA7C2" w14:textId="77777777" w:rsidR="007958E8" w:rsidRDefault="007958E8" w:rsidP="005A7D31">
            <w:pPr>
              <w:pStyle w:val="TableStyle2A"/>
            </w:pPr>
            <w:r>
              <w:rPr>
                <w:rStyle w:val="None"/>
              </w:rPr>
              <w:t>GPP</w:t>
            </w:r>
          </w:p>
        </w:tc>
      </w:tr>
    </w:tbl>
    <w:p w14:paraId="0F80BD5D" w14:textId="77777777" w:rsidR="007958E8" w:rsidRDefault="007958E8" w:rsidP="007958E8">
      <w:pPr>
        <w:pStyle w:val="BodyB"/>
        <w:widowControl w:val="0"/>
        <w:spacing w:line="480" w:lineRule="auto"/>
        <w:ind w:left="216" w:hanging="216"/>
        <w:rPr>
          <w:rStyle w:val="None"/>
          <w:rFonts w:ascii="Arial" w:eastAsia="Arial" w:hAnsi="Arial" w:cs="Arial"/>
          <w:i/>
          <w:iCs/>
          <w:sz w:val="28"/>
          <w:szCs w:val="28"/>
        </w:rPr>
      </w:pPr>
    </w:p>
    <w:p w14:paraId="58ED62BD" w14:textId="77777777" w:rsidR="0082754D" w:rsidRPr="0082754D" w:rsidRDefault="0082754D" w:rsidP="0082754D"/>
    <w:sectPr w:rsidR="0082754D" w:rsidRPr="0082754D" w:rsidSect="004C47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A12855"/>
    <w:multiLevelType w:val="hybridMultilevel"/>
    <w:tmpl w:val="5666D976"/>
    <w:lvl w:ilvl="0" w:tplc="167AB60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AA60062"/>
    <w:multiLevelType w:val="hybridMultilevel"/>
    <w:tmpl w:val="5666D976"/>
    <w:lvl w:ilvl="0" w:tplc="167AB60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82754D"/>
    <w:rsid w:val="002942AE"/>
    <w:rsid w:val="003476A4"/>
    <w:rsid w:val="00401FD9"/>
    <w:rsid w:val="00462F0C"/>
    <w:rsid w:val="004C478B"/>
    <w:rsid w:val="00563F90"/>
    <w:rsid w:val="007958E8"/>
    <w:rsid w:val="007E181D"/>
    <w:rsid w:val="0080595E"/>
    <w:rsid w:val="0082754D"/>
    <w:rsid w:val="009C6721"/>
    <w:rsid w:val="00A273E7"/>
    <w:rsid w:val="00BC7A23"/>
    <w:rsid w:val="00C167F0"/>
    <w:rsid w:val="00CD232D"/>
    <w:rsid w:val="00E02E36"/>
    <w:rsid w:val="00F91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F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7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
    <w:name w:val="Body B"/>
    <w:rsid w:val="0082754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GB"/>
    </w:rPr>
  </w:style>
  <w:style w:type="paragraph" w:customStyle="1" w:styleId="TableStyle2A">
    <w:name w:val="Table Style 2 A"/>
    <w:rsid w:val="0082754D"/>
    <w:pPr>
      <w:pBdr>
        <w:top w:val="nil"/>
        <w:left w:val="nil"/>
        <w:bottom w:val="nil"/>
        <w:right w:val="nil"/>
        <w:between w:val="nil"/>
        <w:bar w:val="nil"/>
      </w:pBdr>
      <w:spacing w:after="0" w:line="240" w:lineRule="auto"/>
    </w:pPr>
    <w:rPr>
      <w:rFonts w:ascii="Helvetica" w:eastAsia="Arial Unicode MS" w:hAnsi="Helvetica" w:cs="Arial Unicode MS"/>
      <w:color w:val="000000"/>
      <w:sz w:val="20"/>
      <w:szCs w:val="20"/>
      <w:u w:color="000000"/>
      <w:bdr w:val="nil"/>
      <w:lang w:val="en-US" w:eastAsia="en-GB"/>
    </w:rPr>
  </w:style>
  <w:style w:type="character" w:customStyle="1" w:styleId="None">
    <w:name w:val="None"/>
    <w:rsid w:val="0082754D"/>
  </w:style>
  <w:style w:type="paragraph" w:styleId="ListParagraph">
    <w:name w:val="List Paragraph"/>
    <w:basedOn w:val="Normal"/>
    <w:uiPriority w:val="34"/>
    <w:qFormat/>
    <w:rsid w:val="00E02E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7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
    <w:name w:val="Body B"/>
    <w:rsid w:val="0082754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GB"/>
    </w:rPr>
  </w:style>
  <w:style w:type="paragraph" w:customStyle="1" w:styleId="TableStyle2A">
    <w:name w:val="Table Style 2 A"/>
    <w:rsid w:val="0082754D"/>
    <w:pPr>
      <w:pBdr>
        <w:top w:val="nil"/>
        <w:left w:val="nil"/>
        <w:bottom w:val="nil"/>
        <w:right w:val="nil"/>
        <w:between w:val="nil"/>
        <w:bar w:val="nil"/>
      </w:pBdr>
      <w:spacing w:after="0" w:line="240" w:lineRule="auto"/>
    </w:pPr>
    <w:rPr>
      <w:rFonts w:ascii="Helvetica" w:eastAsia="Arial Unicode MS" w:hAnsi="Helvetica" w:cs="Arial Unicode MS"/>
      <w:color w:val="000000"/>
      <w:sz w:val="20"/>
      <w:szCs w:val="20"/>
      <w:u w:color="000000"/>
      <w:bdr w:val="nil"/>
      <w:lang w:val="en-US" w:eastAsia="en-GB"/>
    </w:rPr>
  </w:style>
  <w:style w:type="character" w:customStyle="1" w:styleId="None">
    <w:name w:val="None"/>
    <w:rsid w:val="0082754D"/>
  </w:style>
  <w:style w:type="paragraph" w:styleId="ListParagraph">
    <w:name w:val="List Paragraph"/>
    <w:basedOn w:val="Normal"/>
    <w:uiPriority w:val="34"/>
    <w:qFormat/>
    <w:rsid w:val="00E02E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1464</Words>
  <Characters>8902</Characters>
  <Application>Microsoft Office Word</Application>
  <DocSecurity>0</DocSecurity>
  <Lines>222</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B171015</dc:creator>
  <cp:lastModifiedBy>AFRENACIA</cp:lastModifiedBy>
  <cp:revision>3</cp:revision>
  <dcterms:created xsi:type="dcterms:W3CDTF">2018-12-29T10:04:00Z</dcterms:created>
  <dcterms:modified xsi:type="dcterms:W3CDTF">2019-02-06T02:18:00Z</dcterms:modified>
</cp:coreProperties>
</file>