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FFC" w:rsidRPr="00486D63" w:rsidRDefault="00113D39" w:rsidP="00165FFC">
      <w:pPr>
        <w:pStyle w:val="Alcm"/>
        <w:rPr>
          <w:lang w:val="en-US"/>
        </w:rPr>
      </w:pPr>
      <w:r>
        <w:rPr>
          <w:lang w:val="en-US"/>
        </w:rPr>
        <w:t>additional file 1</w:t>
      </w:r>
      <w:bookmarkStart w:id="0" w:name="_GoBack"/>
      <w:bookmarkEnd w:id="0"/>
    </w:p>
    <w:p w:rsidR="00165FFC" w:rsidRPr="00486D63" w:rsidRDefault="00165FFC" w:rsidP="00165FFC">
      <w:pPr>
        <w:rPr>
          <w:rFonts w:cs="Times New Roman"/>
          <w:szCs w:val="24"/>
        </w:rPr>
      </w:pPr>
      <w:bookmarkStart w:id="1" w:name="_Ref525634922"/>
      <w:bookmarkStart w:id="2" w:name="_Ref525634918"/>
      <w:r w:rsidRPr="00486D63">
        <w:rPr>
          <w:rFonts w:cs="Times New Roman"/>
          <w:szCs w:val="24"/>
        </w:rPr>
        <w:t>Table</w:t>
      </w:r>
      <w:r w:rsidR="005C5C59">
        <w:rPr>
          <w:rFonts w:cs="Times New Roman"/>
          <w:szCs w:val="24"/>
        </w:rPr>
        <w:t xml:space="preserve"> S</w:t>
      </w:r>
      <w:r w:rsidRPr="00486D63">
        <w:rPr>
          <w:rFonts w:cs="Times New Roman"/>
          <w:szCs w:val="24"/>
        </w:rPr>
        <w:fldChar w:fldCharType="begin"/>
      </w:r>
      <w:r w:rsidRPr="00486D63">
        <w:rPr>
          <w:rFonts w:cs="Times New Roman"/>
          <w:szCs w:val="24"/>
        </w:rPr>
        <w:instrText xml:space="preserve"> SEQ Táblázat \* ARABIC </w:instrText>
      </w:r>
      <w:r w:rsidRPr="00486D63">
        <w:rPr>
          <w:rFonts w:cs="Times New Roman"/>
          <w:szCs w:val="24"/>
        </w:rPr>
        <w:fldChar w:fldCharType="separate"/>
      </w:r>
      <w:r w:rsidRPr="00486D63">
        <w:rPr>
          <w:rFonts w:cs="Times New Roman"/>
          <w:szCs w:val="24"/>
        </w:rPr>
        <w:t>1</w:t>
      </w:r>
      <w:r w:rsidRPr="00486D63">
        <w:rPr>
          <w:rFonts w:cs="Times New Roman"/>
          <w:szCs w:val="24"/>
        </w:rPr>
        <w:fldChar w:fldCharType="end"/>
      </w:r>
      <w:bookmarkEnd w:id="1"/>
      <w:r w:rsidRPr="00486D63">
        <w:rPr>
          <w:rFonts w:cs="Times New Roman"/>
          <w:szCs w:val="24"/>
        </w:rPr>
        <w:t xml:space="preserve"> Search strategies and number of hits in different databases</w:t>
      </w:r>
      <w:bookmarkEnd w:id="2"/>
    </w:p>
    <w:tbl>
      <w:tblPr>
        <w:tblStyle w:val="Tblzategyszer2"/>
        <w:tblW w:w="9209" w:type="dxa"/>
        <w:tblLayout w:type="fixed"/>
        <w:tblLook w:val="04A0" w:firstRow="1" w:lastRow="0" w:firstColumn="1" w:lastColumn="0" w:noHBand="0" w:noVBand="1"/>
      </w:tblPr>
      <w:tblGrid>
        <w:gridCol w:w="1286"/>
        <w:gridCol w:w="977"/>
        <w:gridCol w:w="4825"/>
        <w:gridCol w:w="1068"/>
        <w:gridCol w:w="1053"/>
      </w:tblGrid>
      <w:tr w:rsidR="00165FFC" w:rsidRPr="00486D63" w:rsidTr="004425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Align w:val="center"/>
            <w:hideMark/>
          </w:tcPr>
          <w:p w:rsidR="00165FFC" w:rsidRPr="00486D63" w:rsidRDefault="00165FFC" w:rsidP="004425E2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Search</w:t>
            </w:r>
            <w:r w:rsidRPr="00486D6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br/>
              <w:t>No.</w:t>
            </w:r>
          </w:p>
        </w:tc>
        <w:tc>
          <w:tcPr>
            <w:tcW w:w="977" w:type="dxa"/>
            <w:vAlign w:val="center"/>
            <w:hideMark/>
          </w:tcPr>
          <w:p w:rsidR="00165FFC" w:rsidRPr="00486D63" w:rsidRDefault="00165FFC" w:rsidP="00442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Search</w:t>
            </w:r>
            <w:r w:rsidRPr="00486D6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br/>
              <w:t>area</w:t>
            </w:r>
          </w:p>
        </w:tc>
        <w:tc>
          <w:tcPr>
            <w:tcW w:w="4825" w:type="dxa"/>
            <w:vAlign w:val="center"/>
            <w:hideMark/>
          </w:tcPr>
          <w:p w:rsidR="00165FFC" w:rsidRPr="00486D63" w:rsidRDefault="00165FFC" w:rsidP="004425E2">
            <w:pPr>
              <w:ind w:left="3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Search</w:t>
            </w:r>
          </w:p>
        </w:tc>
        <w:tc>
          <w:tcPr>
            <w:tcW w:w="1068" w:type="dxa"/>
            <w:vAlign w:val="center"/>
          </w:tcPr>
          <w:p w:rsidR="00165FFC" w:rsidRPr="00486D63" w:rsidRDefault="00165FFC" w:rsidP="00442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Date of search</w:t>
            </w:r>
          </w:p>
        </w:tc>
        <w:tc>
          <w:tcPr>
            <w:tcW w:w="1053" w:type="dxa"/>
            <w:vAlign w:val="center"/>
            <w:hideMark/>
          </w:tcPr>
          <w:p w:rsidR="00165FFC" w:rsidRPr="00486D63" w:rsidRDefault="00165FFC" w:rsidP="00442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Number of</w:t>
            </w:r>
            <w:r w:rsidRPr="00486D6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br/>
              <w:t>hits</w:t>
            </w:r>
          </w:p>
        </w:tc>
      </w:tr>
      <w:tr w:rsidR="00165FFC" w:rsidRPr="00486D63" w:rsidTr="0044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5"/>
            <w:vAlign w:val="center"/>
            <w:hideMark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SCOPUS</w:t>
            </w:r>
          </w:p>
          <w:p w:rsidR="00165FFC" w:rsidRPr="00486D63" w:rsidRDefault="00165FFC" w:rsidP="004425E2">
            <w:pPr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Cs w:val="0"/>
                <w:color w:val="000000"/>
                <w:sz w:val="18"/>
                <w:szCs w:val="18"/>
              </w:rPr>
              <w:t>(Medline, Embase)</w:t>
            </w:r>
          </w:p>
        </w:tc>
      </w:tr>
      <w:tr w:rsidR="00165FFC" w:rsidRPr="00486D63" w:rsidTr="004425E2">
        <w:trPr>
          <w:trHeight w:val="19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Align w:val="center"/>
            <w:hideMark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#1</w:t>
            </w:r>
          </w:p>
        </w:tc>
        <w:tc>
          <w:tcPr>
            <w:tcW w:w="977" w:type="dxa"/>
            <w:vAlign w:val="center"/>
            <w:hideMark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Disease </w:t>
            </w:r>
          </w:p>
        </w:tc>
        <w:tc>
          <w:tcPr>
            <w:tcW w:w="4825" w:type="dxa"/>
            <w:vAlign w:val="center"/>
            <w:hideMark/>
          </w:tcPr>
          <w:p w:rsidR="00165FFC" w:rsidRPr="00486D63" w:rsidRDefault="00165FFC" w:rsidP="004425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Style w:val="txtsmaller"/>
                <w:rFonts w:cs="Times New Roman"/>
                <w:sz w:val="18"/>
                <w:szCs w:val="18"/>
              </w:rPr>
              <w:t>( ( ( TITLE-ABS-KEY ( methylmalon*  AND  ( acidemia  OR  acidaemia  OR  aciduria ) )  OR  TITLE-ABS-KEY ( methylmalonyl-coenzyme  AND  mutase )  OR  TITLE-ABS-KEY ( methylmalonyl-coa  AND  mutase )  OR  TITLE-ABS-KEY ( "organic acidemia"  OR  "organic acidaemia"  OR  methylmalonicaciduria  OR  methylmalonicacidemia  OR  methylmalonicacidaemia ) ) )  OR  ( TITLE-ABS-KEY ( mutase  AND  ( "mut0"  OR  "mut(0)"  OR  "mut-"  OR  "mut(-)" ) ) ) )</w:t>
            </w:r>
          </w:p>
        </w:tc>
        <w:tc>
          <w:tcPr>
            <w:tcW w:w="1068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02/10/2017</w:t>
            </w:r>
          </w:p>
        </w:tc>
        <w:tc>
          <w:tcPr>
            <w:tcW w:w="1053" w:type="dxa"/>
            <w:vAlign w:val="center"/>
            <w:hideMark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2,650</w:t>
            </w:r>
          </w:p>
        </w:tc>
      </w:tr>
      <w:tr w:rsidR="00165FFC" w:rsidRPr="00486D63" w:rsidTr="0044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Align w:val="center"/>
            <w:hideMark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#2</w:t>
            </w:r>
          </w:p>
        </w:tc>
        <w:tc>
          <w:tcPr>
            <w:tcW w:w="977" w:type="dxa"/>
            <w:vAlign w:val="center"/>
            <w:hideMark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Clinical</w:t>
            </w: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br/>
              <w:t>burden</w:t>
            </w:r>
          </w:p>
        </w:tc>
        <w:tc>
          <w:tcPr>
            <w:tcW w:w="4825" w:type="dxa"/>
            <w:vAlign w:val="center"/>
            <w:hideMark/>
          </w:tcPr>
          <w:p w:rsidR="00165FFC" w:rsidRPr="00486D63" w:rsidRDefault="00165FFC" w:rsidP="00442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sz w:val="18"/>
                <w:szCs w:val="18"/>
              </w:rPr>
              <w:t xml:space="preserve">TITLE-ABS-KEY ( inciden*  OR  prevalen*  </w:t>
            </w:r>
          </w:p>
          <w:p w:rsidR="00165FFC" w:rsidRPr="00486D63" w:rsidRDefault="00165FFC" w:rsidP="00442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sz w:val="18"/>
                <w:szCs w:val="18"/>
              </w:rPr>
              <w:t>OR  demograph*  OR  epidemiolog*  OR  frequen*  OR  rate  OR  distribut*  OR  "lifetime risk"  OR  survival  OR  mortality  OR  outcome  OR  "natural history" )</w:t>
            </w:r>
          </w:p>
        </w:tc>
        <w:tc>
          <w:tcPr>
            <w:tcW w:w="1068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02/10/2017</w:t>
            </w:r>
          </w:p>
        </w:tc>
        <w:tc>
          <w:tcPr>
            <w:tcW w:w="1053" w:type="dxa"/>
            <w:vAlign w:val="center"/>
            <w:hideMark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17,264,869</w:t>
            </w:r>
          </w:p>
        </w:tc>
      </w:tr>
      <w:tr w:rsidR="00165FFC" w:rsidRPr="00486D63" w:rsidTr="004425E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Align w:val="center"/>
            <w:hideMark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#3</w:t>
            </w:r>
          </w:p>
        </w:tc>
        <w:tc>
          <w:tcPr>
            <w:tcW w:w="977" w:type="dxa"/>
            <w:vAlign w:val="center"/>
            <w:hideMark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Combined</w:t>
            </w: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br/>
              <w:t>search -</w:t>
            </w: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br/>
              <w:t>Clinical</w:t>
            </w: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br/>
              <w:t>burden</w:t>
            </w:r>
          </w:p>
        </w:tc>
        <w:tc>
          <w:tcPr>
            <w:tcW w:w="4825" w:type="dxa"/>
            <w:vAlign w:val="center"/>
            <w:hideMark/>
          </w:tcPr>
          <w:p w:rsidR="00165FFC" w:rsidRPr="00486D63" w:rsidRDefault="00165FFC" w:rsidP="004425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#1 AND #2</w:t>
            </w:r>
          </w:p>
        </w:tc>
        <w:tc>
          <w:tcPr>
            <w:tcW w:w="1068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02/10/2017</w:t>
            </w:r>
          </w:p>
        </w:tc>
        <w:tc>
          <w:tcPr>
            <w:tcW w:w="1053" w:type="dxa"/>
            <w:vAlign w:val="center"/>
            <w:hideMark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834*</w:t>
            </w:r>
          </w:p>
        </w:tc>
      </w:tr>
      <w:tr w:rsidR="00165FFC" w:rsidRPr="00486D63" w:rsidTr="0044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5"/>
            <w:vAlign w:val="center"/>
            <w:hideMark/>
          </w:tcPr>
          <w:p w:rsidR="00165FFC" w:rsidRPr="00486D63" w:rsidRDefault="00165FFC" w:rsidP="004425E2">
            <w:pPr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EBSCO</w:t>
            </w:r>
          </w:p>
          <w:p w:rsidR="00165FFC" w:rsidRPr="00486D63" w:rsidRDefault="00165FFC" w:rsidP="004425E2">
            <w:pPr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Cs w:val="0"/>
                <w:color w:val="000000"/>
                <w:sz w:val="18"/>
                <w:szCs w:val="18"/>
              </w:rPr>
              <w:t>(CINAHL)</w:t>
            </w:r>
          </w:p>
        </w:tc>
      </w:tr>
      <w:tr w:rsidR="00165FFC" w:rsidRPr="00486D63" w:rsidTr="004425E2">
        <w:trPr>
          <w:trHeight w:val="1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Align w:val="center"/>
            <w:hideMark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#1</w:t>
            </w:r>
          </w:p>
        </w:tc>
        <w:tc>
          <w:tcPr>
            <w:tcW w:w="977" w:type="dxa"/>
            <w:vAlign w:val="center"/>
            <w:hideMark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Disease </w:t>
            </w:r>
          </w:p>
        </w:tc>
        <w:tc>
          <w:tcPr>
            <w:tcW w:w="4825" w:type="dxa"/>
            <w:vAlign w:val="center"/>
            <w:hideMark/>
          </w:tcPr>
          <w:p w:rsidR="00165FFC" w:rsidRPr="00486D63" w:rsidRDefault="00165FFC" w:rsidP="004425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( ( methylmalon* AND (acidemia OR acidaemia OR aciduria) ) ) OR ( methylmalonyl-coenzyme AND mutase ) OR ( methylmalonyl-coa AND mutase ) OR ( "organic acidemia" OR "organic acidaemia" OR methylmalonicaciduria OR </w:t>
            </w: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methylmalonicacidemia OR methylmalonicacidaemia ) OR ( mutase AND ("mut0" OR "mut(0)" OR "mut-" OR "mut(-)" ))</w:t>
            </w:r>
          </w:p>
        </w:tc>
        <w:tc>
          <w:tcPr>
            <w:tcW w:w="1068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cs="Times New Roman"/>
                <w:sz w:val="18"/>
                <w:szCs w:val="18"/>
              </w:rPr>
              <w:lastRenderedPageBreak/>
              <w:t>02/10/2017</w:t>
            </w:r>
          </w:p>
        </w:tc>
        <w:tc>
          <w:tcPr>
            <w:tcW w:w="1053" w:type="dxa"/>
            <w:vAlign w:val="center"/>
            <w:hideMark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165FFC" w:rsidRPr="00486D63" w:rsidTr="0044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Align w:val="center"/>
            <w:hideMark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#2</w:t>
            </w:r>
          </w:p>
        </w:tc>
        <w:tc>
          <w:tcPr>
            <w:tcW w:w="977" w:type="dxa"/>
            <w:vAlign w:val="center"/>
            <w:hideMark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Clinical</w:t>
            </w: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br/>
              <w:t>burden</w:t>
            </w:r>
          </w:p>
        </w:tc>
        <w:tc>
          <w:tcPr>
            <w:tcW w:w="4825" w:type="dxa"/>
            <w:vAlign w:val="center"/>
            <w:hideMark/>
          </w:tcPr>
          <w:p w:rsidR="00165FFC" w:rsidRPr="00486D63" w:rsidRDefault="00165FFC" w:rsidP="00442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inciden* OR prevalen* OR demograph* OR epidemiolog* OR</w:t>
            </w: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br/>
              <w:t xml:space="preserve">frequen* OR rate OR distribut* OR "lifetime risk" OR survival </w:t>
            </w:r>
            <w:r w:rsidRPr="00486D63">
              <w:rPr>
                <w:rFonts w:eastAsia="Times New Roman" w:cs="Times New Roman"/>
                <w:sz w:val="18"/>
                <w:szCs w:val="18"/>
              </w:rPr>
              <w:t>OR  mortality  OR  outcome  OR  "natural history"</w:t>
            </w:r>
          </w:p>
        </w:tc>
        <w:tc>
          <w:tcPr>
            <w:tcW w:w="1068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cs="Times New Roman"/>
                <w:sz w:val="18"/>
                <w:szCs w:val="18"/>
              </w:rPr>
              <w:t>02/10/2017</w:t>
            </w:r>
          </w:p>
        </w:tc>
        <w:tc>
          <w:tcPr>
            <w:tcW w:w="1053" w:type="dxa"/>
            <w:vAlign w:val="center"/>
            <w:hideMark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974,052</w:t>
            </w:r>
          </w:p>
        </w:tc>
      </w:tr>
      <w:tr w:rsidR="00165FFC" w:rsidRPr="00486D63" w:rsidTr="004425E2">
        <w:trPr>
          <w:trHeight w:val="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Align w:val="center"/>
            <w:hideMark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#3</w:t>
            </w:r>
          </w:p>
        </w:tc>
        <w:tc>
          <w:tcPr>
            <w:tcW w:w="977" w:type="dxa"/>
            <w:vAlign w:val="center"/>
            <w:hideMark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Combined</w:t>
            </w: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br/>
              <w:t>search -</w:t>
            </w: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br/>
              <w:t>Clinical</w:t>
            </w: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br/>
              <w:t>burden</w:t>
            </w:r>
          </w:p>
        </w:tc>
        <w:tc>
          <w:tcPr>
            <w:tcW w:w="4825" w:type="dxa"/>
            <w:vAlign w:val="center"/>
            <w:hideMark/>
          </w:tcPr>
          <w:p w:rsidR="00165FFC" w:rsidRPr="00486D63" w:rsidRDefault="00165FFC" w:rsidP="004425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#1 AND #2</w:t>
            </w:r>
          </w:p>
        </w:tc>
        <w:tc>
          <w:tcPr>
            <w:tcW w:w="1068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02/10/2017</w:t>
            </w:r>
          </w:p>
        </w:tc>
        <w:tc>
          <w:tcPr>
            <w:tcW w:w="1053" w:type="dxa"/>
            <w:vAlign w:val="center"/>
            <w:hideMark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21*</w:t>
            </w:r>
          </w:p>
        </w:tc>
      </w:tr>
      <w:tr w:rsidR="00165FFC" w:rsidRPr="00486D63" w:rsidTr="0044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5"/>
            <w:vAlign w:val="center"/>
          </w:tcPr>
          <w:p w:rsidR="00165FFC" w:rsidRPr="00486D63" w:rsidRDefault="00165FFC" w:rsidP="004425E2">
            <w:pPr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EBSCO</w:t>
            </w:r>
          </w:p>
          <w:p w:rsidR="00165FFC" w:rsidRPr="00486D63" w:rsidRDefault="00165FFC" w:rsidP="004425E2">
            <w:pPr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highlight w:val="yellow"/>
              </w:rPr>
            </w:pPr>
            <w:r w:rsidRPr="00486D63">
              <w:rPr>
                <w:rFonts w:eastAsia="Times New Roman" w:cs="Times New Roman"/>
                <w:bCs w:val="0"/>
                <w:color w:val="000000"/>
                <w:sz w:val="18"/>
                <w:szCs w:val="18"/>
              </w:rPr>
              <w:t>(Academic Search Complete)</w:t>
            </w:r>
          </w:p>
        </w:tc>
      </w:tr>
      <w:tr w:rsidR="00165FFC" w:rsidRPr="00486D63" w:rsidTr="004425E2">
        <w:trPr>
          <w:trHeight w:val="1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Align w:val="center"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#1</w:t>
            </w:r>
          </w:p>
        </w:tc>
        <w:tc>
          <w:tcPr>
            <w:tcW w:w="977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Disease </w:t>
            </w:r>
          </w:p>
        </w:tc>
        <w:tc>
          <w:tcPr>
            <w:tcW w:w="4825" w:type="dxa"/>
            <w:vAlign w:val="center"/>
          </w:tcPr>
          <w:p w:rsidR="00165FFC" w:rsidRPr="00486D63" w:rsidRDefault="00165FFC" w:rsidP="004425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( ( methylmalon* AND (acidemia OR acidaemia OR aciduria) ) ) OR ( methylmalonyl-coenzyme AND mutase ) OR ( methylmalonyl-coa AND mutase ) OR ( "organic acidemia" OR "organic acidaemia" OR methylmalonicaciduria OR methylmalonicacidemia OR methylmalonicacidaemia ) OR ( mutase AND ("mut0" OR "mut(0)" OR "mut-" OR "mut(-)" ))  </w:t>
            </w:r>
          </w:p>
        </w:tc>
        <w:tc>
          <w:tcPr>
            <w:tcW w:w="1068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02/10/2017</w:t>
            </w:r>
          </w:p>
        </w:tc>
        <w:tc>
          <w:tcPr>
            <w:tcW w:w="1053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  <w:highlight w:val="yellow"/>
              </w:rPr>
            </w:pPr>
            <w:r w:rsidRPr="00486D63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>648</w:t>
            </w:r>
          </w:p>
        </w:tc>
      </w:tr>
      <w:tr w:rsidR="00165FFC" w:rsidRPr="00486D63" w:rsidTr="0044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Align w:val="center"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#2</w:t>
            </w:r>
          </w:p>
        </w:tc>
        <w:tc>
          <w:tcPr>
            <w:tcW w:w="977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Clinical</w:t>
            </w: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br/>
              <w:t>burden</w:t>
            </w:r>
          </w:p>
        </w:tc>
        <w:tc>
          <w:tcPr>
            <w:tcW w:w="4825" w:type="dxa"/>
            <w:vAlign w:val="center"/>
          </w:tcPr>
          <w:p w:rsidR="00165FFC" w:rsidRPr="00486D63" w:rsidRDefault="00165FFC" w:rsidP="00442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inciden* OR prevalen* OR demograph* OR epidemiolog* OR</w:t>
            </w: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br/>
              <w:t xml:space="preserve">frequen* OR rate OR distribut* OR "lifetime risk" OR survival </w:t>
            </w:r>
            <w:r w:rsidRPr="00486D63">
              <w:rPr>
                <w:rFonts w:eastAsia="Times New Roman" w:cs="Times New Roman"/>
                <w:sz w:val="18"/>
                <w:szCs w:val="18"/>
              </w:rPr>
              <w:t>OR  mortality  OR  outcome  OR  "natural history"</w:t>
            </w:r>
          </w:p>
        </w:tc>
        <w:tc>
          <w:tcPr>
            <w:tcW w:w="1068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02/10/2017</w:t>
            </w:r>
          </w:p>
        </w:tc>
        <w:tc>
          <w:tcPr>
            <w:tcW w:w="1053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  <w:highlight w:val="yellow"/>
              </w:rPr>
            </w:pPr>
            <w:r w:rsidRPr="00486D63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>5,337,890</w:t>
            </w:r>
          </w:p>
        </w:tc>
      </w:tr>
      <w:tr w:rsidR="00165FFC" w:rsidRPr="00486D63" w:rsidTr="004425E2">
        <w:trPr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Align w:val="center"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#3</w:t>
            </w:r>
          </w:p>
        </w:tc>
        <w:tc>
          <w:tcPr>
            <w:tcW w:w="977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Combined</w:t>
            </w: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br/>
              <w:t>search -</w:t>
            </w: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br/>
              <w:t>Clinical</w:t>
            </w: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br/>
              <w:t>burden</w:t>
            </w:r>
          </w:p>
        </w:tc>
        <w:tc>
          <w:tcPr>
            <w:tcW w:w="4825" w:type="dxa"/>
            <w:vAlign w:val="center"/>
          </w:tcPr>
          <w:p w:rsidR="00165FFC" w:rsidRPr="00486D63" w:rsidRDefault="00165FFC" w:rsidP="004425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#1 AND #2</w:t>
            </w:r>
          </w:p>
        </w:tc>
        <w:tc>
          <w:tcPr>
            <w:tcW w:w="1068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cs="Times New Roman"/>
                <w:sz w:val="18"/>
                <w:szCs w:val="18"/>
              </w:rPr>
              <w:t>02/10/2017</w:t>
            </w:r>
          </w:p>
        </w:tc>
        <w:tc>
          <w:tcPr>
            <w:tcW w:w="1053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486D6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205*</w:t>
            </w:r>
          </w:p>
        </w:tc>
      </w:tr>
      <w:tr w:rsidR="00165FFC" w:rsidRPr="00486D63" w:rsidTr="0044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Align w:val="center"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CRD</w:t>
            </w:r>
          </w:p>
        </w:tc>
        <w:tc>
          <w:tcPr>
            <w:tcW w:w="977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25" w:type="dxa"/>
            <w:vAlign w:val="center"/>
          </w:tcPr>
          <w:p w:rsidR="00165FFC" w:rsidRPr="00486D63" w:rsidRDefault="00165FFC" w:rsidP="00442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methylmalon* OR "organic acidemia" OR "organic acidaemia" OR mut</w:t>
            </w:r>
          </w:p>
        </w:tc>
        <w:tc>
          <w:tcPr>
            <w:tcW w:w="1068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cs="Times New Roman"/>
                <w:sz w:val="18"/>
                <w:szCs w:val="18"/>
              </w:rPr>
              <w:t>02/10/2017</w:t>
            </w:r>
          </w:p>
        </w:tc>
        <w:tc>
          <w:tcPr>
            <w:tcW w:w="1053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7*</w:t>
            </w:r>
          </w:p>
        </w:tc>
      </w:tr>
      <w:tr w:rsidR="00165FFC" w:rsidRPr="00486D63" w:rsidTr="004425E2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Align w:val="center"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PROSPERO</w:t>
            </w:r>
          </w:p>
        </w:tc>
        <w:tc>
          <w:tcPr>
            <w:tcW w:w="977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25" w:type="dxa"/>
            <w:vAlign w:val="center"/>
          </w:tcPr>
          <w:p w:rsidR="00165FFC" w:rsidRPr="00486D63" w:rsidRDefault="00165FFC" w:rsidP="004425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methylmalon* OR "organic acidemia" OR "organic acidaemia" OR mut</w:t>
            </w:r>
          </w:p>
        </w:tc>
        <w:tc>
          <w:tcPr>
            <w:tcW w:w="1068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cs="Times New Roman"/>
                <w:sz w:val="18"/>
                <w:szCs w:val="18"/>
              </w:rPr>
              <w:t>02/10/2017</w:t>
            </w:r>
          </w:p>
        </w:tc>
        <w:tc>
          <w:tcPr>
            <w:tcW w:w="1053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4*</w:t>
            </w:r>
          </w:p>
        </w:tc>
      </w:tr>
      <w:tr w:rsidR="00165FFC" w:rsidRPr="00486D63" w:rsidTr="0044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Align w:val="center"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COCHRANE REVIEWS</w:t>
            </w:r>
          </w:p>
        </w:tc>
        <w:tc>
          <w:tcPr>
            <w:tcW w:w="977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Disease</w:t>
            </w:r>
          </w:p>
        </w:tc>
        <w:tc>
          <w:tcPr>
            <w:tcW w:w="4825" w:type="dxa"/>
            <w:vAlign w:val="center"/>
          </w:tcPr>
          <w:p w:rsidR="00165FFC" w:rsidRPr="00486D63" w:rsidRDefault="00165FFC" w:rsidP="00442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(methylmalon* and (acidemia or acidaemia or aciduria)) or (methylmalonyl-coenzyme and mutase) or (methylmalonyl-coa and mutase) or ("organic acidemia" or "organic acidaemia" or </w:t>
            </w: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methylmalonicaciduria or methylmalonicacidemia or methylmalonicacidaemia) or (mutase and ("mut0" or "mut(0)" or "mut-" or "mut(-)")) in Title, Abstract, Keywords</w:t>
            </w:r>
          </w:p>
        </w:tc>
        <w:tc>
          <w:tcPr>
            <w:tcW w:w="1068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cs="Times New Roman"/>
                <w:sz w:val="18"/>
                <w:szCs w:val="18"/>
              </w:rPr>
              <w:lastRenderedPageBreak/>
              <w:t>02/10/2017</w:t>
            </w:r>
          </w:p>
        </w:tc>
        <w:tc>
          <w:tcPr>
            <w:tcW w:w="1053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11*</w:t>
            </w:r>
          </w:p>
        </w:tc>
      </w:tr>
      <w:tr w:rsidR="00165FFC" w:rsidRPr="00486D63" w:rsidTr="004425E2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 w:val="restart"/>
            <w:vAlign w:val="center"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Rare disease organizations</w:t>
            </w:r>
          </w:p>
        </w:tc>
        <w:tc>
          <w:tcPr>
            <w:tcW w:w="977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  <w:t xml:space="preserve">Orphanet </w:t>
            </w:r>
          </w:p>
        </w:tc>
        <w:tc>
          <w:tcPr>
            <w:tcW w:w="4825" w:type="dxa"/>
            <w:vMerge w:val="restart"/>
            <w:vAlign w:val="center"/>
          </w:tcPr>
          <w:p w:rsidR="00165FFC" w:rsidRPr="00486D63" w:rsidRDefault="00165FFC" w:rsidP="00442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486D63">
              <w:rPr>
                <w:rFonts w:cs="Times New Roman"/>
                <w:sz w:val="18"/>
                <w:szCs w:val="18"/>
              </w:rPr>
              <w:t>Free search with relevant disease terms</w:t>
            </w:r>
          </w:p>
        </w:tc>
        <w:tc>
          <w:tcPr>
            <w:tcW w:w="1068" w:type="dxa"/>
            <w:vMerge w:val="restart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color w:val="000000"/>
                <w:sz w:val="18"/>
                <w:szCs w:val="18"/>
              </w:rPr>
              <w:t>02/10/2017</w:t>
            </w:r>
          </w:p>
        </w:tc>
        <w:tc>
          <w:tcPr>
            <w:tcW w:w="1053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3*</w:t>
            </w:r>
          </w:p>
        </w:tc>
      </w:tr>
      <w:tr w:rsidR="00165FFC" w:rsidRPr="00486D63" w:rsidTr="0044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vAlign w:val="center"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  <w:t>EIMD</w:t>
            </w:r>
          </w:p>
        </w:tc>
        <w:tc>
          <w:tcPr>
            <w:tcW w:w="4825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68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1*</w:t>
            </w:r>
          </w:p>
        </w:tc>
      </w:tr>
      <w:tr w:rsidR="00165FFC" w:rsidRPr="00486D63" w:rsidTr="004425E2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vAlign w:val="center"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  <w:t>NORD</w:t>
            </w:r>
          </w:p>
        </w:tc>
        <w:tc>
          <w:tcPr>
            <w:tcW w:w="4825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68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10*</w:t>
            </w:r>
          </w:p>
        </w:tc>
      </w:tr>
      <w:tr w:rsidR="00165FFC" w:rsidRPr="00486D63" w:rsidTr="0044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vAlign w:val="center"/>
          </w:tcPr>
          <w:p w:rsidR="00165FFC" w:rsidRPr="00486D63" w:rsidRDefault="00165FFC" w:rsidP="004425E2">
            <w:pPr>
              <w:jc w:val="left"/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  <w:t>CORD</w:t>
            </w:r>
          </w:p>
        </w:tc>
        <w:tc>
          <w:tcPr>
            <w:tcW w:w="4825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68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0*</w:t>
            </w:r>
          </w:p>
        </w:tc>
      </w:tr>
      <w:tr w:rsidR="00165FFC" w:rsidRPr="00486D63" w:rsidTr="004425E2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vAlign w:val="center"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6D63"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  <w:t>EURORDIS</w:t>
            </w:r>
          </w:p>
        </w:tc>
        <w:tc>
          <w:tcPr>
            <w:tcW w:w="4825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0*</w:t>
            </w:r>
          </w:p>
        </w:tc>
      </w:tr>
      <w:tr w:rsidR="00165FFC" w:rsidRPr="00486D63" w:rsidTr="0044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vAlign w:val="center"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</w:pPr>
            <w:r w:rsidRPr="00486D63"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  <w:t>NIDDK</w:t>
            </w:r>
          </w:p>
        </w:tc>
        <w:tc>
          <w:tcPr>
            <w:tcW w:w="4825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9*</w:t>
            </w:r>
          </w:p>
        </w:tc>
      </w:tr>
      <w:tr w:rsidR="00165FFC" w:rsidRPr="00486D63" w:rsidTr="004425E2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vAlign w:val="center"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</w:pPr>
            <w:r w:rsidRPr="00486D63"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  <w:t>GARD</w:t>
            </w:r>
          </w:p>
        </w:tc>
        <w:tc>
          <w:tcPr>
            <w:tcW w:w="4825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0*</w:t>
            </w:r>
          </w:p>
        </w:tc>
      </w:tr>
      <w:tr w:rsidR="00165FFC" w:rsidRPr="00486D63" w:rsidTr="0044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vAlign w:val="center"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</w:pPr>
            <w:r w:rsidRPr="00486D63"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  <w:t>CLIMB</w:t>
            </w:r>
          </w:p>
        </w:tc>
        <w:tc>
          <w:tcPr>
            <w:tcW w:w="4825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0*</w:t>
            </w:r>
          </w:p>
        </w:tc>
      </w:tr>
      <w:tr w:rsidR="00165FFC" w:rsidRPr="00486D63" w:rsidTr="004425E2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vAlign w:val="center"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</w:pPr>
            <w:r w:rsidRPr="00486D63"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  <w:t>TALK</w:t>
            </w:r>
          </w:p>
        </w:tc>
        <w:tc>
          <w:tcPr>
            <w:tcW w:w="4825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0*</w:t>
            </w:r>
          </w:p>
        </w:tc>
      </w:tr>
      <w:tr w:rsidR="00165FFC" w:rsidRPr="00486D63" w:rsidTr="0044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vAlign w:val="center"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</w:pPr>
            <w:r w:rsidRPr="00486D63"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  <w:t>OAUK</w:t>
            </w:r>
          </w:p>
        </w:tc>
        <w:tc>
          <w:tcPr>
            <w:tcW w:w="4825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165FFC" w:rsidRPr="00486D63" w:rsidRDefault="00165FFC" w:rsidP="004425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2*</w:t>
            </w:r>
          </w:p>
        </w:tc>
      </w:tr>
      <w:tr w:rsidR="00165FFC" w:rsidRPr="00486D63" w:rsidTr="004425E2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vAlign w:val="center"/>
          </w:tcPr>
          <w:p w:rsidR="00165FFC" w:rsidRPr="00486D63" w:rsidRDefault="00165FFC" w:rsidP="004425E2">
            <w:pPr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</w:pPr>
            <w:r w:rsidRPr="00486D63">
              <w:rPr>
                <w:rFonts w:cs="Times New Roman"/>
                <w:color w:val="000000" w:themeColor="text1"/>
                <w:kern w:val="24"/>
                <w:sz w:val="18"/>
                <w:szCs w:val="18"/>
              </w:rPr>
              <w:t>OAA</w:t>
            </w:r>
          </w:p>
        </w:tc>
        <w:tc>
          <w:tcPr>
            <w:tcW w:w="4825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vAlign w:val="center"/>
          </w:tcPr>
          <w:p w:rsidR="00165FFC" w:rsidRPr="00486D63" w:rsidRDefault="00165FFC" w:rsidP="004425E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165FFC" w:rsidRPr="00486D63" w:rsidRDefault="00165FFC" w:rsidP="004425E2">
            <w:pPr>
              <w:keepNext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6D6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8*</w:t>
            </w:r>
          </w:p>
        </w:tc>
      </w:tr>
    </w:tbl>
    <w:p w:rsidR="00165FFC" w:rsidRPr="00486D63" w:rsidRDefault="00165FFC" w:rsidP="00165FFC">
      <w:pPr>
        <w:spacing w:line="360" w:lineRule="auto"/>
        <w:rPr>
          <w:rFonts w:eastAsia="Times New Roman" w:cs="Times New Roman"/>
          <w:sz w:val="18"/>
          <w:szCs w:val="18"/>
        </w:rPr>
      </w:pPr>
      <w:bookmarkStart w:id="3" w:name="_Ref505157047"/>
      <w:bookmarkStart w:id="4" w:name="_Toc505172373"/>
      <w:r w:rsidRPr="00486D63">
        <w:rPr>
          <w:rFonts w:eastAsia="Times New Roman" w:cs="Times New Roman"/>
          <w:sz w:val="18"/>
          <w:szCs w:val="18"/>
        </w:rPr>
        <w:t>*Hit number of final search strategy</w:t>
      </w:r>
    </w:p>
    <w:p w:rsidR="00165FFC" w:rsidRPr="00486D63" w:rsidRDefault="00165FFC" w:rsidP="00165FFC">
      <w:r w:rsidRPr="00486D63">
        <w:br w:type="page"/>
      </w:r>
    </w:p>
    <w:p w:rsidR="00165FFC" w:rsidRPr="00486D63" w:rsidRDefault="00165FFC" w:rsidP="00165FFC">
      <w:pPr>
        <w:rPr>
          <w:rFonts w:cs="Times New Roman"/>
          <w:szCs w:val="24"/>
        </w:rPr>
      </w:pPr>
      <w:bookmarkStart w:id="5" w:name="_Ref525634960"/>
      <w:bookmarkStart w:id="6" w:name="_Ref525634956"/>
      <w:bookmarkEnd w:id="3"/>
      <w:bookmarkEnd w:id="4"/>
      <w:r w:rsidRPr="00486D63">
        <w:rPr>
          <w:rFonts w:cs="Times New Roman"/>
          <w:szCs w:val="24"/>
        </w:rPr>
        <w:lastRenderedPageBreak/>
        <w:t xml:space="preserve">Table </w:t>
      </w:r>
      <w:r w:rsidR="005C5C59">
        <w:rPr>
          <w:rFonts w:cs="Times New Roman"/>
          <w:szCs w:val="24"/>
        </w:rPr>
        <w:t>S</w:t>
      </w:r>
      <w:r w:rsidRPr="00486D63">
        <w:rPr>
          <w:rFonts w:cs="Times New Roman"/>
          <w:szCs w:val="24"/>
        </w:rPr>
        <w:fldChar w:fldCharType="begin"/>
      </w:r>
      <w:r w:rsidRPr="00486D63">
        <w:rPr>
          <w:rFonts w:cs="Times New Roman"/>
          <w:szCs w:val="24"/>
        </w:rPr>
        <w:instrText xml:space="preserve"> SEQ Táblázat \* ARABIC </w:instrText>
      </w:r>
      <w:r w:rsidRPr="00486D63">
        <w:rPr>
          <w:rFonts w:cs="Times New Roman"/>
          <w:szCs w:val="24"/>
        </w:rPr>
        <w:fldChar w:fldCharType="separate"/>
      </w:r>
      <w:r w:rsidRPr="00486D63">
        <w:rPr>
          <w:rFonts w:cs="Times New Roman"/>
          <w:szCs w:val="24"/>
        </w:rPr>
        <w:t>2</w:t>
      </w:r>
      <w:r w:rsidRPr="00486D63">
        <w:rPr>
          <w:rFonts w:cs="Times New Roman"/>
          <w:szCs w:val="24"/>
        </w:rPr>
        <w:fldChar w:fldCharType="end"/>
      </w:r>
      <w:bookmarkEnd w:id="5"/>
      <w:r w:rsidRPr="00486D63">
        <w:rPr>
          <w:rFonts w:cs="Times New Roman"/>
          <w:szCs w:val="24"/>
        </w:rPr>
        <w:t xml:space="preserve"> Exclusion criteria during the title and abstract screening</w:t>
      </w:r>
      <w:bookmarkEnd w:id="6"/>
    </w:p>
    <w:tbl>
      <w:tblPr>
        <w:tblStyle w:val="Tblzategyszer2"/>
        <w:tblW w:w="9666" w:type="dxa"/>
        <w:tblLook w:val="04A0" w:firstRow="1" w:lastRow="0" w:firstColumn="1" w:lastColumn="0" w:noHBand="0" w:noVBand="1"/>
      </w:tblPr>
      <w:tblGrid>
        <w:gridCol w:w="2403"/>
        <w:gridCol w:w="7263"/>
      </w:tblGrid>
      <w:tr w:rsidR="00165FFC" w:rsidRPr="00486D63" w:rsidTr="004425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  <w:vAlign w:val="center"/>
          </w:tcPr>
          <w:p w:rsidR="00165FFC" w:rsidRPr="00486D63" w:rsidRDefault="00165FFC" w:rsidP="004425E2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486D63">
              <w:rPr>
                <w:rFonts w:cs="Times New Roman"/>
                <w:szCs w:val="24"/>
              </w:rPr>
              <w:t>Irrelevant title without English abstract</w:t>
            </w:r>
          </w:p>
        </w:tc>
        <w:tc>
          <w:tcPr>
            <w:tcW w:w="7263" w:type="dxa"/>
            <w:vAlign w:val="center"/>
          </w:tcPr>
          <w:p w:rsidR="00165FFC" w:rsidRPr="00486D63" w:rsidRDefault="00165FFC" w:rsidP="004425E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</w:rPr>
            </w:pPr>
            <w:r w:rsidRPr="00486D63">
              <w:rPr>
                <w:rFonts w:cs="Times New Roman"/>
                <w:b w:val="0"/>
                <w:szCs w:val="24"/>
              </w:rPr>
              <w:t>All articles with irrelevant titles and without English abstract were excluded at this step.</w:t>
            </w:r>
          </w:p>
        </w:tc>
      </w:tr>
      <w:tr w:rsidR="00165FFC" w:rsidRPr="00486D63" w:rsidTr="0044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  <w:vAlign w:val="center"/>
          </w:tcPr>
          <w:p w:rsidR="00165FFC" w:rsidRPr="00486D63" w:rsidRDefault="00165FFC" w:rsidP="004425E2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486D63">
              <w:rPr>
                <w:rFonts w:cs="Times New Roman"/>
                <w:szCs w:val="24"/>
              </w:rPr>
              <w:t>Not related to MMA</w:t>
            </w:r>
          </w:p>
        </w:tc>
        <w:tc>
          <w:tcPr>
            <w:tcW w:w="7263" w:type="dxa"/>
            <w:vAlign w:val="center"/>
          </w:tcPr>
          <w:p w:rsidR="00165FFC" w:rsidRPr="00486D63" w:rsidRDefault="00165FFC" w:rsidP="004425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486D63">
              <w:rPr>
                <w:rFonts w:cs="Times New Roman"/>
                <w:szCs w:val="24"/>
              </w:rPr>
              <w:t>Since the literature databases cover a wide variety of scientific areas, studies that have no relevance to MMA were excluded at this step.</w:t>
            </w:r>
          </w:p>
        </w:tc>
      </w:tr>
      <w:tr w:rsidR="00165FFC" w:rsidRPr="00486D63" w:rsidTr="004425E2">
        <w:trPr>
          <w:trHeight w:val="1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  <w:vAlign w:val="center"/>
          </w:tcPr>
          <w:p w:rsidR="00165FFC" w:rsidRPr="00486D63" w:rsidRDefault="00165FFC" w:rsidP="004425E2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486D63">
              <w:rPr>
                <w:rFonts w:cs="Times New Roman"/>
                <w:szCs w:val="24"/>
              </w:rPr>
              <w:t>Editorial, letter, conference abstract or review</w:t>
            </w:r>
          </w:p>
        </w:tc>
        <w:tc>
          <w:tcPr>
            <w:tcW w:w="7263" w:type="dxa"/>
            <w:vAlign w:val="center"/>
          </w:tcPr>
          <w:p w:rsidR="00165FFC" w:rsidRPr="00486D63" w:rsidRDefault="00165FFC" w:rsidP="004425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486D63">
              <w:rPr>
                <w:rFonts w:cs="Times New Roman"/>
                <w:szCs w:val="24"/>
              </w:rPr>
              <w:t>Editorials, letters, conference abstracts and non-systematic reviews were excluded at this criterion. All systematic literature reviews that seemed to be relevant for the epidemiology of MMA were included.</w:t>
            </w:r>
          </w:p>
        </w:tc>
      </w:tr>
      <w:tr w:rsidR="00165FFC" w:rsidRPr="00486D63" w:rsidTr="0044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  <w:vAlign w:val="center"/>
          </w:tcPr>
          <w:p w:rsidR="00165FFC" w:rsidRPr="00486D63" w:rsidRDefault="00165FFC" w:rsidP="004425E2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486D63">
              <w:rPr>
                <w:rFonts w:cs="Times New Roman"/>
                <w:szCs w:val="24"/>
              </w:rPr>
              <w:t>Case study or case series</w:t>
            </w:r>
          </w:p>
        </w:tc>
        <w:tc>
          <w:tcPr>
            <w:tcW w:w="7263" w:type="dxa"/>
            <w:vAlign w:val="center"/>
          </w:tcPr>
          <w:p w:rsidR="00165FFC" w:rsidRPr="00486D63" w:rsidRDefault="00165FFC" w:rsidP="004425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486D63">
              <w:rPr>
                <w:rFonts w:cs="Times New Roman"/>
                <w:szCs w:val="24"/>
              </w:rPr>
              <w:t>Due to the rarity of the disease a minimum patient number was not defined, but if the abstract defined the paper as a case study or a description of a few case studies (the study did not publish any estimation of disease occurrence or aggregated results), then the study was excluded at this step.</w:t>
            </w:r>
          </w:p>
        </w:tc>
      </w:tr>
      <w:tr w:rsidR="00165FFC" w:rsidRPr="00486D63" w:rsidTr="004425E2">
        <w:trPr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  <w:vAlign w:val="center"/>
          </w:tcPr>
          <w:p w:rsidR="00165FFC" w:rsidRPr="00486D63" w:rsidRDefault="00165FFC" w:rsidP="004425E2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486D63">
              <w:rPr>
                <w:rFonts w:cs="Times New Roman"/>
                <w:szCs w:val="24"/>
              </w:rPr>
              <w:t>No relevant data on epidemiology/natural history of MMA</w:t>
            </w:r>
          </w:p>
        </w:tc>
        <w:tc>
          <w:tcPr>
            <w:tcW w:w="7263" w:type="dxa"/>
            <w:vAlign w:val="center"/>
          </w:tcPr>
          <w:p w:rsidR="00165FFC" w:rsidRPr="00486D63" w:rsidRDefault="00165FFC" w:rsidP="004425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486D63">
              <w:rPr>
                <w:rFonts w:cs="Times New Roman"/>
                <w:szCs w:val="24"/>
              </w:rPr>
              <w:t>All studies that contained no relevant data on the epidemiology/natural history of MMA were excluded at this last step.</w:t>
            </w:r>
          </w:p>
        </w:tc>
      </w:tr>
    </w:tbl>
    <w:p w:rsidR="00165FFC" w:rsidRPr="00486D63" w:rsidRDefault="00165FFC" w:rsidP="00165FFC">
      <w:pPr>
        <w:pStyle w:val="Kpalrs"/>
        <w:keepNext/>
      </w:pPr>
      <w:bookmarkStart w:id="7" w:name="_Ref504652959"/>
      <w:r w:rsidRPr="00486D63">
        <w:br w:type="page"/>
      </w:r>
    </w:p>
    <w:p w:rsidR="00165FFC" w:rsidRPr="00486D63" w:rsidRDefault="00165FFC" w:rsidP="00165FFC">
      <w:pPr>
        <w:rPr>
          <w:rFonts w:cs="Times New Roman"/>
          <w:szCs w:val="24"/>
        </w:rPr>
      </w:pPr>
      <w:bookmarkStart w:id="8" w:name="_Ref521574519"/>
      <w:bookmarkStart w:id="9" w:name="_Ref521574513"/>
      <w:r w:rsidRPr="00486D63">
        <w:rPr>
          <w:rFonts w:cs="Times New Roman"/>
          <w:szCs w:val="24"/>
        </w:rPr>
        <w:lastRenderedPageBreak/>
        <w:t xml:space="preserve">Table </w:t>
      </w:r>
      <w:r w:rsidR="005C5C59">
        <w:rPr>
          <w:rFonts w:cs="Times New Roman"/>
          <w:szCs w:val="24"/>
        </w:rPr>
        <w:t>S</w:t>
      </w:r>
      <w:r w:rsidRPr="00486D63">
        <w:rPr>
          <w:rFonts w:cs="Times New Roman"/>
          <w:szCs w:val="24"/>
        </w:rPr>
        <w:fldChar w:fldCharType="begin"/>
      </w:r>
      <w:r w:rsidRPr="00486D63">
        <w:rPr>
          <w:rFonts w:cs="Times New Roman"/>
          <w:szCs w:val="24"/>
        </w:rPr>
        <w:instrText xml:space="preserve"> SEQ Táblázat \* ARABIC </w:instrText>
      </w:r>
      <w:r w:rsidRPr="00486D63">
        <w:rPr>
          <w:rFonts w:cs="Times New Roman"/>
          <w:szCs w:val="24"/>
        </w:rPr>
        <w:fldChar w:fldCharType="separate"/>
      </w:r>
      <w:r w:rsidRPr="00486D63">
        <w:rPr>
          <w:rFonts w:cs="Times New Roman"/>
          <w:szCs w:val="24"/>
        </w:rPr>
        <w:t>3</w:t>
      </w:r>
      <w:r w:rsidRPr="00486D63">
        <w:rPr>
          <w:rFonts w:cs="Times New Roman"/>
          <w:szCs w:val="24"/>
        </w:rPr>
        <w:fldChar w:fldCharType="end"/>
      </w:r>
      <w:bookmarkEnd w:id="8"/>
      <w:r w:rsidRPr="00486D63">
        <w:rPr>
          <w:rFonts w:cs="Times New Roman"/>
          <w:szCs w:val="24"/>
        </w:rPr>
        <w:t xml:space="preserve"> Definitions of epidemiological measures</w:t>
      </w:r>
      <w:bookmarkEnd w:id="9"/>
    </w:p>
    <w:tbl>
      <w:tblPr>
        <w:tblStyle w:val="Tblzategyszer2"/>
        <w:tblW w:w="5294" w:type="pct"/>
        <w:tblLook w:val="04A0" w:firstRow="1" w:lastRow="0" w:firstColumn="1" w:lastColumn="0" w:noHBand="0" w:noVBand="1"/>
      </w:tblPr>
      <w:tblGrid>
        <w:gridCol w:w="2552"/>
        <w:gridCol w:w="7051"/>
      </w:tblGrid>
      <w:tr w:rsidR="00165FFC" w:rsidRPr="00486D63" w:rsidTr="004425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pct"/>
            <w:vAlign w:val="center"/>
          </w:tcPr>
          <w:p w:rsidR="00165FFC" w:rsidRPr="00486D63" w:rsidRDefault="00165FFC" w:rsidP="004425E2">
            <w:pPr>
              <w:spacing w:line="360" w:lineRule="auto"/>
              <w:jc w:val="left"/>
              <w:rPr>
                <w:rFonts w:cs="Times New Roman"/>
                <w:b w:val="0"/>
                <w:color w:val="000000"/>
                <w:szCs w:val="24"/>
              </w:rPr>
            </w:pPr>
            <w:r w:rsidRPr="00486D63">
              <w:rPr>
                <w:rFonts w:cs="Times New Roman"/>
                <w:color w:val="000000"/>
                <w:szCs w:val="24"/>
              </w:rPr>
              <w:t>Measure</w:t>
            </w:r>
          </w:p>
        </w:tc>
        <w:tc>
          <w:tcPr>
            <w:tcW w:w="3671" w:type="pct"/>
            <w:vAlign w:val="center"/>
          </w:tcPr>
          <w:p w:rsidR="00165FFC" w:rsidRPr="00486D63" w:rsidRDefault="00165FFC" w:rsidP="004425E2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000000"/>
                <w:szCs w:val="24"/>
              </w:rPr>
            </w:pPr>
            <w:r w:rsidRPr="00486D63">
              <w:rPr>
                <w:rFonts w:cs="Times New Roman"/>
                <w:color w:val="000000"/>
                <w:szCs w:val="24"/>
              </w:rPr>
              <w:t>Definition</w:t>
            </w:r>
          </w:p>
        </w:tc>
      </w:tr>
      <w:tr w:rsidR="00165FFC" w:rsidRPr="00486D63" w:rsidTr="0044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pct"/>
            <w:vAlign w:val="center"/>
          </w:tcPr>
          <w:p w:rsidR="00165FFC" w:rsidRPr="00486D63" w:rsidRDefault="00165FFC" w:rsidP="004425E2">
            <w:pPr>
              <w:spacing w:line="360" w:lineRule="auto"/>
              <w:jc w:val="left"/>
              <w:rPr>
                <w:rFonts w:cs="Times New Roman"/>
                <w:b w:val="0"/>
                <w:color w:val="000000"/>
                <w:szCs w:val="24"/>
              </w:rPr>
            </w:pPr>
            <w:r w:rsidRPr="00486D63">
              <w:rPr>
                <w:rFonts w:cs="Times New Roman"/>
                <w:color w:val="000000"/>
                <w:szCs w:val="24"/>
              </w:rPr>
              <w:t>Birth prevalence</w:t>
            </w:r>
          </w:p>
        </w:tc>
        <w:tc>
          <w:tcPr>
            <w:tcW w:w="3671" w:type="pct"/>
            <w:vAlign w:val="center"/>
          </w:tcPr>
          <w:p w:rsidR="00165FFC" w:rsidRPr="00486D63" w:rsidRDefault="00165FFC" w:rsidP="004425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color w:val="000000"/>
                <w:szCs w:val="24"/>
              </w:rPr>
            </w:pPr>
            <w:r w:rsidRPr="00486D63">
              <w:rPr>
                <w:rFonts w:cs="Times New Roman"/>
                <w:szCs w:val="24"/>
              </w:rPr>
              <w:t>Number of cases with a birth defect in a defined area and time period divided by the number of live births in that area and time period. National aggregate statistics and newborn screening programs with a high sensitivity and specificity and ~100% population coverage are considered to be the most reliable sources to measure the birth prevalence in a population.</w:t>
            </w:r>
          </w:p>
        </w:tc>
      </w:tr>
      <w:tr w:rsidR="00165FFC" w:rsidRPr="00486D63" w:rsidTr="004425E2">
        <w:trPr>
          <w:trHeight w:val="1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pct"/>
            <w:vAlign w:val="center"/>
          </w:tcPr>
          <w:p w:rsidR="00165FFC" w:rsidRPr="00486D63" w:rsidRDefault="00165FFC" w:rsidP="004425E2">
            <w:pPr>
              <w:spacing w:line="360" w:lineRule="auto"/>
              <w:jc w:val="left"/>
              <w:rPr>
                <w:rFonts w:cs="Times New Roman"/>
                <w:b w:val="0"/>
                <w:color w:val="000000"/>
                <w:szCs w:val="24"/>
              </w:rPr>
            </w:pPr>
            <w:r w:rsidRPr="00486D63">
              <w:rPr>
                <w:rFonts w:cs="Times New Roman"/>
                <w:color w:val="000000"/>
                <w:szCs w:val="24"/>
              </w:rPr>
              <w:t>Estimated birth prevalence</w:t>
            </w:r>
          </w:p>
        </w:tc>
        <w:tc>
          <w:tcPr>
            <w:tcW w:w="3671" w:type="pct"/>
            <w:vAlign w:val="center"/>
          </w:tcPr>
          <w:p w:rsidR="00165FFC" w:rsidRPr="00486D63" w:rsidRDefault="00165FFC" w:rsidP="004425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486D63">
              <w:rPr>
                <w:rFonts w:cs="Times New Roman"/>
                <w:szCs w:val="24"/>
              </w:rPr>
              <w:t>The identified (and subsequently confirmed) cases during a period of newborn screening are divided by the number of screened newborns in the same period of time. A newborn screening program without ~100% coverage can only provide estimations on the true birth prevalence in the population.</w:t>
            </w:r>
          </w:p>
        </w:tc>
      </w:tr>
      <w:tr w:rsidR="00165FFC" w:rsidRPr="00486D63" w:rsidTr="0044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pct"/>
            <w:vAlign w:val="center"/>
          </w:tcPr>
          <w:p w:rsidR="00165FFC" w:rsidRPr="00486D63" w:rsidRDefault="00165FFC" w:rsidP="004425E2">
            <w:pPr>
              <w:spacing w:line="360" w:lineRule="auto"/>
              <w:jc w:val="left"/>
              <w:rPr>
                <w:rFonts w:cs="Times New Roman"/>
                <w:b w:val="0"/>
                <w:color w:val="000000"/>
                <w:szCs w:val="24"/>
              </w:rPr>
            </w:pPr>
            <w:r w:rsidRPr="00486D63">
              <w:rPr>
                <w:rFonts w:cs="Times New Roman"/>
                <w:color w:val="000000"/>
                <w:szCs w:val="24"/>
              </w:rPr>
              <w:t>Cumulative incidence in the birth cohort</w:t>
            </w:r>
          </w:p>
        </w:tc>
        <w:tc>
          <w:tcPr>
            <w:tcW w:w="3671" w:type="pct"/>
            <w:vAlign w:val="center"/>
          </w:tcPr>
          <w:p w:rsidR="00165FFC" w:rsidRPr="00486D63" w:rsidRDefault="00165FFC" w:rsidP="004425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486D63">
              <w:rPr>
                <w:rFonts w:cs="Times New Roman"/>
                <w:szCs w:val="24"/>
              </w:rPr>
              <w:t>The newly diagnosed cases within a specified birth cohort during a period of time are divided by the total number of subjects in the birth cohort. The observational period is equal to the period of birth cohort.</w:t>
            </w:r>
          </w:p>
        </w:tc>
      </w:tr>
      <w:tr w:rsidR="00165FFC" w:rsidRPr="00486D63" w:rsidTr="004425E2">
        <w:trPr>
          <w:trHeight w:val="1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pct"/>
            <w:vAlign w:val="center"/>
          </w:tcPr>
          <w:p w:rsidR="00165FFC" w:rsidRPr="00486D63" w:rsidRDefault="00165FFC" w:rsidP="004425E2">
            <w:pPr>
              <w:spacing w:line="360" w:lineRule="auto"/>
              <w:jc w:val="left"/>
              <w:rPr>
                <w:rFonts w:cs="Times New Roman"/>
                <w:b w:val="0"/>
                <w:color w:val="000000"/>
                <w:szCs w:val="24"/>
              </w:rPr>
            </w:pPr>
            <w:r w:rsidRPr="00486D63">
              <w:rPr>
                <w:rFonts w:cs="Times New Roman"/>
                <w:color w:val="000000"/>
                <w:szCs w:val="24"/>
              </w:rPr>
              <w:t>Lifetime risk at birth estimated by the diagnosis period method</w:t>
            </w:r>
          </w:p>
        </w:tc>
        <w:tc>
          <w:tcPr>
            <w:tcW w:w="3671" w:type="pct"/>
            <w:vAlign w:val="center"/>
          </w:tcPr>
          <w:p w:rsidR="00165FFC" w:rsidRPr="00486D63" w:rsidRDefault="00165FFC" w:rsidP="004425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486D63">
              <w:rPr>
                <w:rFonts w:cs="Times New Roman"/>
                <w:szCs w:val="24"/>
              </w:rPr>
              <w:t>The newly diagnosed cases in a period of time are divided by all live births in the same period of time. Lifetime risk is a special case of cumulative incidence in which the period of time studied is the entire remaining lifetime. The diagnosis (DX) method is calculated as the number of patients with a particular (or specific) diagnosis in the observational period divided by the number of liv</w:t>
            </w:r>
            <w:r w:rsidR="00297F4D">
              <w:rPr>
                <w:rFonts w:cs="Times New Roman"/>
                <w:szCs w:val="24"/>
              </w:rPr>
              <w:t>e births during the same period</w:t>
            </w:r>
            <w:r w:rsidR="00297F4D">
              <w:rPr>
                <w:rStyle w:val="Lbjegyzet-hivatkozs"/>
                <w:rFonts w:cs="Times New Roman"/>
                <w:szCs w:val="24"/>
              </w:rPr>
              <w:footnoteReference w:id="1"/>
            </w:r>
            <w:r w:rsidR="00297F4D">
              <w:rPr>
                <w:rFonts w:cs="Times New Roman"/>
                <w:szCs w:val="24"/>
              </w:rPr>
              <w:t>.</w:t>
            </w:r>
          </w:p>
        </w:tc>
      </w:tr>
      <w:bookmarkEnd w:id="7"/>
    </w:tbl>
    <w:p w:rsidR="00DB09A2" w:rsidRPr="00486D63" w:rsidRDefault="00DB09A2" w:rsidP="00364FD0"/>
    <w:sectPr w:rsidR="00DB09A2" w:rsidRPr="00486D63" w:rsidSect="00F32701">
      <w:footnotePr>
        <w:numFmt w:val="chicago"/>
      </w:footnotePr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C68" w:rsidRDefault="00267C68" w:rsidP="00297F4D">
      <w:pPr>
        <w:spacing w:before="0" w:after="0" w:line="240" w:lineRule="auto"/>
      </w:pPr>
      <w:r>
        <w:separator/>
      </w:r>
    </w:p>
  </w:endnote>
  <w:endnote w:type="continuationSeparator" w:id="0">
    <w:p w:rsidR="00267C68" w:rsidRDefault="00267C68" w:rsidP="00297F4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C68" w:rsidRDefault="00267C68" w:rsidP="00297F4D">
      <w:pPr>
        <w:spacing w:before="0" w:after="0" w:line="240" w:lineRule="auto"/>
      </w:pPr>
      <w:r>
        <w:separator/>
      </w:r>
    </w:p>
  </w:footnote>
  <w:footnote w:type="continuationSeparator" w:id="0">
    <w:p w:rsidR="00267C68" w:rsidRDefault="00267C68" w:rsidP="00297F4D">
      <w:pPr>
        <w:spacing w:before="0" w:after="0" w:line="240" w:lineRule="auto"/>
      </w:pPr>
      <w:r>
        <w:continuationSeparator/>
      </w:r>
    </w:p>
  </w:footnote>
  <w:footnote w:id="1">
    <w:p w:rsidR="00297F4D" w:rsidRPr="00297F4D" w:rsidRDefault="00297F4D" w:rsidP="00297F4D">
      <w:pPr>
        <w:spacing w:line="240" w:lineRule="auto"/>
        <w:ind w:left="720" w:hanging="720"/>
        <w:rPr>
          <w:rFonts w:cs="Times New Roman"/>
          <w:noProof/>
          <w:szCs w:val="24"/>
        </w:rPr>
      </w:pPr>
      <w:r>
        <w:rPr>
          <w:rStyle w:val="Lbjegyzet-hivatkozs"/>
        </w:rPr>
        <w:footnoteRef/>
      </w:r>
      <w:r>
        <w:t xml:space="preserve"> </w:t>
      </w:r>
      <w:bookmarkStart w:id="10" w:name="_ENREF_19"/>
      <w:r w:rsidRPr="00297F4D">
        <w:rPr>
          <w:rFonts w:cs="Times New Roman"/>
          <w:noProof/>
          <w:sz w:val="20"/>
          <w:szCs w:val="20"/>
        </w:rPr>
        <w:t>Foss AH, Duffner PK, Carter RL: Lifetime risk estimators in epidemiological st</w:t>
      </w:r>
      <w:r>
        <w:rPr>
          <w:rFonts w:cs="Times New Roman"/>
          <w:noProof/>
          <w:sz w:val="20"/>
          <w:szCs w:val="20"/>
        </w:rPr>
        <w:t xml:space="preserve">udies of Krabbe disease: review </w:t>
      </w:r>
      <w:r w:rsidRPr="00297F4D">
        <w:rPr>
          <w:rFonts w:cs="Times New Roman"/>
          <w:noProof/>
          <w:sz w:val="20"/>
          <w:szCs w:val="20"/>
        </w:rPr>
        <w:t xml:space="preserve">and Monte Carlo comparison. </w:t>
      </w:r>
      <w:r w:rsidRPr="00297F4D">
        <w:rPr>
          <w:rFonts w:cs="Times New Roman"/>
          <w:i/>
          <w:noProof/>
          <w:sz w:val="20"/>
          <w:szCs w:val="20"/>
        </w:rPr>
        <w:t xml:space="preserve">Rare Diseases </w:t>
      </w:r>
      <w:r w:rsidRPr="00297F4D">
        <w:rPr>
          <w:rFonts w:cs="Times New Roman"/>
          <w:noProof/>
          <w:sz w:val="20"/>
          <w:szCs w:val="20"/>
        </w:rPr>
        <w:t>2013, 1:e25212.</w:t>
      </w:r>
      <w:bookmarkEnd w:id="1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FFC"/>
    <w:rsid w:val="00113D39"/>
    <w:rsid w:val="0012417B"/>
    <w:rsid w:val="00165FFC"/>
    <w:rsid w:val="00267C68"/>
    <w:rsid w:val="00297F4D"/>
    <w:rsid w:val="00364FD0"/>
    <w:rsid w:val="00486D63"/>
    <w:rsid w:val="004A1C95"/>
    <w:rsid w:val="005C5C59"/>
    <w:rsid w:val="00AF58D0"/>
    <w:rsid w:val="00DB09A2"/>
    <w:rsid w:val="00E8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10E89-71C2-4FA8-8569-B306A839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65FFC"/>
    <w:pPr>
      <w:spacing w:before="100" w:beforeAutospacing="1" w:after="100" w:afterAutospacing="1" w:line="480" w:lineRule="auto"/>
      <w:jc w:val="both"/>
    </w:pPr>
    <w:rPr>
      <w:rFonts w:ascii="Times New Roman" w:hAnsi="Times New Roman"/>
      <w:sz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uiPriority w:val="99"/>
    <w:qFormat/>
    <w:rsid w:val="00165FFC"/>
    <w:pPr>
      <w:jc w:val="left"/>
      <w:outlineLvl w:val="1"/>
    </w:pPr>
    <w:rPr>
      <w:rFonts w:eastAsia="Times New Roman" w:cs="Arial"/>
      <w:b/>
      <w:smallCaps/>
      <w:lang w:val="en-CA"/>
    </w:rPr>
  </w:style>
  <w:style w:type="character" w:customStyle="1" w:styleId="AlcmChar">
    <w:name w:val="Alcím Char"/>
    <w:basedOn w:val="Bekezdsalapbettpusa"/>
    <w:link w:val="Alcm"/>
    <w:uiPriority w:val="99"/>
    <w:rsid w:val="00165FFC"/>
    <w:rPr>
      <w:rFonts w:ascii="Times New Roman" w:eastAsia="Times New Roman" w:hAnsi="Times New Roman" w:cs="Arial"/>
      <w:b/>
      <w:smallCaps/>
      <w:sz w:val="24"/>
      <w:lang w:val="en-CA"/>
    </w:rPr>
  </w:style>
  <w:style w:type="paragraph" w:styleId="Kpalrs">
    <w:name w:val="caption"/>
    <w:aliases w:val="IB Caption,Medical Caption"/>
    <w:basedOn w:val="Norml"/>
    <w:next w:val="Norml"/>
    <w:link w:val="KpalrsChar"/>
    <w:uiPriority w:val="35"/>
    <w:unhideWhenUsed/>
    <w:qFormat/>
    <w:rsid w:val="00165FFC"/>
    <w:pPr>
      <w:spacing w:after="200" w:line="240" w:lineRule="auto"/>
    </w:pPr>
    <w:rPr>
      <w:i/>
      <w:iCs/>
      <w:color w:val="44546A" w:themeColor="text2"/>
      <w:szCs w:val="18"/>
    </w:rPr>
  </w:style>
  <w:style w:type="character" w:customStyle="1" w:styleId="txtsmaller">
    <w:name w:val="txtsmaller"/>
    <w:basedOn w:val="Bekezdsalapbettpusa"/>
    <w:rsid w:val="00165FFC"/>
  </w:style>
  <w:style w:type="character" w:customStyle="1" w:styleId="KpalrsChar">
    <w:name w:val="Képaláírás Char"/>
    <w:aliases w:val="IB Caption Char,Medical Caption Char"/>
    <w:basedOn w:val="Bekezdsalapbettpusa"/>
    <w:link w:val="Kpalrs"/>
    <w:uiPriority w:val="35"/>
    <w:rsid w:val="00165FFC"/>
    <w:rPr>
      <w:rFonts w:ascii="Times New Roman" w:hAnsi="Times New Roman"/>
      <w:i/>
      <w:iCs/>
      <w:color w:val="44546A" w:themeColor="text2"/>
      <w:sz w:val="24"/>
      <w:szCs w:val="18"/>
      <w:lang w:val="en-GB"/>
    </w:rPr>
  </w:style>
  <w:style w:type="table" w:styleId="Tblzategyszer2">
    <w:name w:val="Plain Table 2"/>
    <w:basedOn w:val="Normltblzat"/>
    <w:uiPriority w:val="42"/>
    <w:rsid w:val="00165F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97F4D"/>
    <w:pPr>
      <w:spacing w:before="0"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97F4D"/>
    <w:rPr>
      <w:rFonts w:ascii="Times New Roman" w:hAnsi="Times New Roman"/>
      <w:sz w:val="20"/>
      <w:szCs w:val="20"/>
      <w:lang w:val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297F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99980-0A09-466A-81CF-CE7EC8DB1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Almási Tímea</dc:creator>
  <cp:keywords/>
  <dc:description/>
  <cp:lastModifiedBy>Almási Tímea</cp:lastModifiedBy>
  <cp:revision>8</cp:revision>
  <dcterms:created xsi:type="dcterms:W3CDTF">2018-10-04T08:21:00Z</dcterms:created>
  <dcterms:modified xsi:type="dcterms:W3CDTF">2019-01-03T10:15:00Z</dcterms:modified>
</cp:coreProperties>
</file>