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1EBB2" w14:textId="40404B47" w:rsidR="00AB51E0" w:rsidRPr="00AB51E0" w:rsidRDefault="00AB51E0" w:rsidP="00AB51E0">
      <w:pPr>
        <w:rPr>
          <w:b/>
          <w:color w:val="auto"/>
          <w:sz w:val="24"/>
        </w:rPr>
      </w:pPr>
      <w:r w:rsidRPr="00AB51E0">
        <w:rPr>
          <w:b/>
          <w:color w:val="auto"/>
          <w:sz w:val="24"/>
        </w:rPr>
        <w:t xml:space="preserve">Table </w:t>
      </w:r>
      <w:r w:rsidR="004E28AA">
        <w:rPr>
          <w:b/>
          <w:color w:val="auto"/>
          <w:sz w:val="24"/>
        </w:rPr>
        <w:t>S</w:t>
      </w:r>
      <w:r w:rsidRPr="00AB51E0">
        <w:rPr>
          <w:b/>
          <w:color w:val="auto"/>
          <w:sz w:val="24"/>
        </w:rPr>
        <w:t xml:space="preserve">1: </w:t>
      </w:r>
      <w:r w:rsidR="00AF2D25">
        <w:rPr>
          <w:b/>
          <w:color w:val="auto"/>
          <w:sz w:val="24"/>
        </w:rPr>
        <w:t>Clinical spectrum of</w:t>
      </w:r>
      <w:r w:rsidRPr="00AB51E0">
        <w:rPr>
          <w:b/>
          <w:color w:val="auto"/>
          <w:sz w:val="24"/>
        </w:rPr>
        <w:t xml:space="preserve"> metach</w:t>
      </w:r>
      <w:r w:rsidR="00FF1A00">
        <w:rPr>
          <w:b/>
          <w:color w:val="auto"/>
          <w:sz w:val="24"/>
        </w:rPr>
        <w:t>romatic leukodystrophy (MLD).</w:t>
      </w:r>
    </w:p>
    <w:tbl>
      <w:tblPr>
        <w:tblStyle w:val="Tabelraster"/>
        <w:tblW w:w="14852" w:type="dxa"/>
        <w:jc w:val="center"/>
        <w:tblLook w:val="04A0" w:firstRow="1" w:lastRow="0" w:firstColumn="1" w:lastColumn="0" w:noHBand="0" w:noVBand="1"/>
      </w:tblPr>
      <w:tblGrid>
        <w:gridCol w:w="2553"/>
        <w:gridCol w:w="4099"/>
        <w:gridCol w:w="4100"/>
        <w:gridCol w:w="4100"/>
      </w:tblGrid>
      <w:tr w:rsidR="00AF2D25" w:rsidRPr="0090059D" w14:paraId="74B92D08" w14:textId="77777777" w:rsidTr="00AF2D25">
        <w:trPr>
          <w:jc w:val="center"/>
        </w:trPr>
        <w:tc>
          <w:tcPr>
            <w:tcW w:w="2553" w:type="dxa"/>
          </w:tcPr>
          <w:p w14:paraId="7B7BC641" w14:textId="6B7E6CB1" w:rsidR="00AF2D25" w:rsidRPr="0090059D" w:rsidRDefault="00AF2D25" w:rsidP="00DA4223">
            <w:pPr>
              <w:spacing w:line="276" w:lineRule="auto"/>
              <w:jc w:val="left"/>
              <w:rPr>
                <w:b/>
                <w:color w:val="auto"/>
                <w:sz w:val="24"/>
                <w:szCs w:val="24"/>
              </w:rPr>
            </w:pPr>
            <w:bookmarkStart w:id="0" w:name="_GoBack"/>
            <w:bookmarkEnd w:id="0"/>
          </w:p>
        </w:tc>
        <w:tc>
          <w:tcPr>
            <w:tcW w:w="4099" w:type="dxa"/>
          </w:tcPr>
          <w:p w14:paraId="5671AD77" w14:textId="77777777" w:rsidR="00AF2D25" w:rsidRPr="0090059D" w:rsidRDefault="00AF2D25" w:rsidP="00DA4223">
            <w:pPr>
              <w:spacing w:line="276" w:lineRule="auto"/>
              <w:jc w:val="left"/>
              <w:rPr>
                <w:b/>
                <w:color w:val="auto"/>
                <w:sz w:val="24"/>
                <w:szCs w:val="24"/>
              </w:rPr>
            </w:pPr>
            <w:r>
              <w:rPr>
                <w:b/>
                <w:color w:val="auto"/>
                <w:sz w:val="24"/>
                <w:szCs w:val="24"/>
              </w:rPr>
              <w:t>Late-infantile</w:t>
            </w:r>
            <w:r w:rsidRPr="0090059D">
              <w:rPr>
                <w:b/>
                <w:color w:val="auto"/>
                <w:sz w:val="24"/>
                <w:szCs w:val="24"/>
              </w:rPr>
              <w:t xml:space="preserve"> type</w:t>
            </w:r>
            <w:r>
              <w:rPr>
                <w:b/>
                <w:color w:val="auto"/>
                <w:sz w:val="24"/>
                <w:szCs w:val="24"/>
              </w:rPr>
              <w:t xml:space="preserve"> (48%)</w:t>
            </w:r>
          </w:p>
        </w:tc>
        <w:tc>
          <w:tcPr>
            <w:tcW w:w="4100" w:type="dxa"/>
          </w:tcPr>
          <w:p w14:paraId="62187FD3" w14:textId="77777777" w:rsidR="00AF2D25" w:rsidRPr="0090059D" w:rsidRDefault="00AF2D25" w:rsidP="00DA4223">
            <w:pPr>
              <w:spacing w:line="276" w:lineRule="auto"/>
              <w:jc w:val="left"/>
              <w:rPr>
                <w:b/>
                <w:color w:val="auto"/>
                <w:sz w:val="24"/>
                <w:szCs w:val="24"/>
              </w:rPr>
            </w:pPr>
            <w:r w:rsidRPr="00AF2D25">
              <w:rPr>
                <w:b/>
                <w:color w:val="auto"/>
                <w:sz w:val="24"/>
                <w:szCs w:val="24"/>
              </w:rPr>
              <w:t>Juvenile type (23%)</w:t>
            </w:r>
          </w:p>
        </w:tc>
        <w:tc>
          <w:tcPr>
            <w:tcW w:w="4100" w:type="dxa"/>
          </w:tcPr>
          <w:p w14:paraId="60ECBA6F" w14:textId="77777777" w:rsidR="00AF2D25" w:rsidRPr="0090059D" w:rsidRDefault="00AF2D25" w:rsidP="00DA4223">
            <w:pPr>
              <w:spacing w:line="276" w:lineRule="auto"/>
              <w:jc w:val="left"/>
              <w:rPr>
                <w:b/>
                <w:color w:val="auto"/>
                <w:sz w:val="24"/>
                <w:szCs w:val="24"/>
              </w:rPr>
            </w:pPr>
            <w:r w:rsidRPr="00AF2D25">
              <w:rPr>
                <w:b/>
                <w:color w:val="auto"/>
                <w:sz w:val="24"/>
                <w:szCs w:val="24"/>
              </w:rPr>
              <w:t>Adult type (22%)</w:t>
            </w:r>
          </w:p>
        </w:tc>
      </w:tr>
      <w:tr w:rsidR="00AF2D25" w:rsidRPr="0090059D" w14:paraId="17168183" w14:textId="77777777" w:rsidTr="00AF2D25">
        <w:trPr>
          <w:jc w:val="center"/>
        </w:trPr>
        <w:tc>
          <w:tcPr>
            <w:tcW w:w="2553" w:type="dxa"/>
          </w:tcPr>
          <w:p w14:paraId="7F017DA5" w14:textId="77777777" w:rsidR="00AF2D25" w:rsidRPr="0090059D" w:rsidRDefault="00AF2D25" w:rsidP="00DA4223">
            <w:pPr>
              <w:spacing w:line="276" w:lineRule="auto"/>
              <w:jc w:val="left"/>
              <w:rPr>
                <w:noProof/>
                <w:color w:val="auto"/>
                <w:sz w:val="24"/>
                <w:szCs w:val="24"/>
              </w:rPr>
            </w:pPr>
            <w:r>
              <w:rPr>
                <w:noProof/>
                <w:color w:val="auto"/>
                <w:sz w:val="24"/>
                <w:szCs w:val="24"/>
              </w:rPr>
              <w:t>Age at onset of symptoms</w:t>
            </w:r>
          </w:p>
        </w:tc>
        <w:tc>
          <w:tcPr>
            <w:tcW w:w="4099" w:type="dxa"/>
          </w:tcPr>
          <w:p w14:paraId="773E18F3" w14:textId="77777777" w:rsidR="00AF2D25" w:rsidRPr="0090059D" w:rsidRDefault="00AF2D25" w:rsidP="00DA4223">
            <w:pPr>
              <w:spacing w:line="276" w:lineRule="auto"/>
              <w:jc w:val="left"/>
              <w:rPr>
                <w:color w:val="auto"/>
                <w:sz w:val="24"/>
                <w:szCs w:val="24"/>
              </w:rPr>
            </w:pPr>
            <w:r w:rsidRPr="00AF2D25">
              <w:rPr>
                <w:color w:val="auto"/>
                <w:sz w:val="24"/>
                <w:szCs w:val="24"/>
              </w:rPr>
              <w:t>6 months – 2.5 years</w:t>
            </w:r>
          </w:p>
        </w:tc>
        <w:tc>
          <w:tcPr>
            <w:tcW w:w="4100" w:type="dxa"/>
          </w:tcPr>
          <w:p w14:paraId="245025C7" w14:textId="77777777" w:rsidR="00AF2D25" w:rsidRPr="0090059D" w:rsidRDefault="00AF2D25" w:rsidP="00DA4223">
            <w:pPr>
              <w:spacing w:line="276" w:lineRule="auto"/>
              <w:jc w:val="left"/>
              <w:rPr>
                <w:color w:val="auto"/>
                <w:sz w:val="24"/>
                <w:szCs w:val="24"/>
              </w:rPr>
            </w:pPr>
            <w:r w:rsidRPr="00AF2D25">
              <w:rPr>
                <w:color w:val="auto"/>
                <w:sz w:val="24"/>
                <w:szCs w:val="24"/>
              </w:rPr>
              <w:t>2.5 – 16 years</w:t>
            </w:r>
          </w:p>
        </w:tc>
        <w:tc>
          <w:tcPr>
            <w:tcW w:w="4100" w:type="dxa"/>
          </w:tcPr>
          <w:p w14:paraId="31C614BE" w14:textId="77777777" w:rsidR="00AF2D25" w:rsidRPr="0090059D" w:rsidRDefault="00AF2D25" w:rsidP="00DA4223">
            <w:pPr>
              <w:spacing w:line="276" w:lineRule="auto"/>
              <w:ind w:left="-54"/>
              <w:jc w:val="left"/>
              <w:rPr>
                <w:color w:val="auto"/>
                <w:sz w:val="24"/>
                <w:szCs w:val="24"/>
              </w:rPr>
            </w:pPr>
            <w:r w:rsidRPr="00AF2D25">
              <w:rPr>
                <w:color w:val="auto"/>
                <w:sz w:val="24"/>
                <w:szCs w:val="24"/>
              </w:rPr>
              <w:t>After 16 years</w:t>
            </w:r>
          </w:p>
        </w:tc>
      </w:tr>
      <w:tr w:rsidR="00AF2D25" w:rsidRPr="0090059D" w14:paraId="616D6F6A" w14:textId="77777777" w:rsidTr="00AF2D25">
        <w:trPr>
          <w:jc w:val="center"/>
        </w:trPr>
        <w:tc>
          <w:tcPr>
            <w:tcW w:w="2553" w:type="dxa"/>
          </w:tcPr>
          <w:p w14:paraId="557332D0" w14:textId="77777777" w:rsidR="00AF2D25" w:rsidRPr="0090059D" w:rsidRDefault="00AF2D25" w:rsidP="00DA4223">
            <w:pPr>
              <w:spacing w:line="276" w:lineRule="auto"/>
              <w:jc w:val="left"/>
              <w:rPr>
                <w:color w:val="auto"/>
                <w:sz w:val="24"/>
                <w:szCs w:val="24"/>
              </w:rPr>
            </w:pPr>
            <w:r>
              <w:rPr>
                <w:noProof/>
                <w:color w:val="auto"/>
                <w:sz w:val="24"/>
                <w:szCs w:val="24"/>
              </w:rPr>
              <w:t>Initial symptoms</w:t>
            </w:r>
          </w:p>
        </w:tc>
        <w:tc>
          <w:tcPr>
            <w:tcW w:w="4099" w:type="dxa"/>
          </w:tcPr>
          <w:p w14:paraId="3F71468E" w14:textId="77777777" w:rsidR="00AF2D25" w:rsidRPr="0090059D" w:rsidRDefault="00AF2D25" w:rsidP="00DA4223">
            <w:pPr>
              <w:spacing w:line="276" w:lineRule="auto"/>
              <w:jc w:val="left"/>
              <w:rPr>
                <w:color w:val="auto"/>
                <w:sz w:val="24"/>
                <w:szCs w:val="24"/>
              </w:rPr>
            </w:pPr>
            <w:r w:rsidRPr="00AF2D25">
              <w:rPr>
                <w:color w:val="auto"/>
                <w:sz w:val="24"/>
                <w:szCs w:val="24"/>
              </w:rPr>
              <w:t>Peripheral neuropathy with clumsiness, muscle weakness, sensory deficits and areflexia, motor regression, ataxia</w:t>
            </w:r>
          </w:p>
        </w:tc>
        <w:tc>
          <w:tcPr>
            <w:tcW w:w="4100" w:type="dxa"/>
          </w:tcPr>
          <w:p w14:paraId="77AC8C20" w14:textId="77777777" w:rsidR="00AF2D25" w:rsidRPr="0090059D" w:rsidRDefault="00AF2D25" w:rsidP="00DA4223">
            <w:pPr>
              <w:spacing w:line="276" w:lineRule="auto"/>
              <w:jc w:val="left"/>
              <w:rPr>
                <w:color w:val="auto"/>
                <w:sz w:val="24"/>
                <w:szCs w:val="24"/>
              </w:rPr>
            </w:pPr>
            <w:r w:rsidRPr="00AF2D25">
              <w:rPr>
                <w:color w:val="auto"/>
                <w:sz w:val="24"/>
                <w:szCs w:val="24"/>
              </w:rPr>
              <w:t xml:space="preserve">Deterioration of school performance, behavioral disturbances, </w:t>
            </w:r>
            <w:r>
              <w:rPr>
                <w:color w:val="auto"/>
                <w:sz w:val="24"/>
                <w:szCs w:val="24"/>
              </w:rPr>
              <w:t xml:space="preserve">less prominent </w:t>
            </w:r>
            <w:r w:rsidRPr="00AF2D25">
              <w:rPr>
                <w:color w:val="auto"/>
                <w:sz w:val="24"/>
                <w:szCs w:val="24"/>
              </w:rPr>
              <w:t xml:space="preserve">peripheral neuropathy </w:t>
            </w:r>
            <w:r>
              <w:rPr>
                <w:color w:val="auto"/>
                <w:sz w:val="24"/>
                <w:szCs w:val="24"/>
              </w:rPr>
              <w:t xml:space="preserve">and </w:t>
            </w:r>
            <w:r w:rsidRPr="00AF2D25">
              <w:rPr>
                <w:color w:val="auto"/>
                <w:sz w:val="24"/>
                <w:szCs w:val="24"/>
              </w:rPr>
              <w:t>often combined with a mild pyramidal syndrome and ataxia</w:t>
            </w:r>
          </w:p>
        </w:tc>
        <w:tc>
          <w:tcPr>
            <w:tcW w:w="4100" w:type="dxa"/>
          </w:tcPr>
          <w:p w14:paraId="31889FF6" w14:textId="77777777" w:rsidR="00AF2D25" w:rsidRPr="0090059D" w:rsidRDefault="00AF2D25" w:rsidP="00DA4223">
            <w:pPr>
              <w:spacing w:line="276" w:lineRule="auto"/>
              <w:jc w:val="left"/>
              <w:rPr>
                <w:color w:val="auto"/>
                <w:sz w:val="24"/>
                <w:szCs w:val="24"/>
              </w:rPr>
            </w:pPr>
            <w:r w:rsidRPr="00AF2D25">
              <w:rPr>
                <w:color w:val="auto"/>
                <w:sz w:val="24"/>
                <w:szCs w:val="24"/>
              </w:rPr>
              <w:t>Prominent intellectual and behavioral changes often accompanied by other psychiatric symptoms, such as delusions</w:t>
            </w:r>
            <w:r>
              <w:rPr>
                <w:color w:val="auto"/>
                <w:sz w:val="24"/>
                <w:szCs w:val="24"/>
              </w:rPr>
              <w:t>; p</w:t>
            </w:r>
            <w:r w:rsidRPr="00AF2D25">
              <w:rPr>
                <w:color w:val="auto"/>
                <w:sz w:val="24"/>
                <w:szCs w:val="24"/>
              </w:rPr>
              <w:t>resentation with peripheral neuropathy</w:t>
            </w:r>
            <w:r>
              <w:rPr>
                <w:color w:val="auto"/>
                <w:sz w:val="24"/>
                <w:szCs w:val="24"/>
              </w:rPr>
              <w:t xml:space="preserve"> also</w:t>
            </w:r>
            <w:r w:rsidRPr="00AF2D25">
              <w:rPr>
                <w:color w:val="auto"/>
                <w:sz w:val="24"/>
                <w:szCs w:val="24"/>
              </w:rPr>
              <w:t xml:space="preserve"> possible</w:t>
            </w:r>
          </w:p>
        </w:tc>
      </w:tr>
      <w:tr w:rsidR="00AF2D25" w:rsidRPr="0090059D" w14:paraId="40F5618B" w14:textId="77777777" w:rsidTr="00AF2D25">
        <w:trPr>
          <w:jc w:val="center"/>
        </w:trPr>
        <w:tc>
          <w:tcPr>
            <w:tcW w:w="2553" w:type="dxa"/>
          </w:tcPr>
          <w:p w14:paraId="3E58278D" w14:textId="77777777" w:rsidR="00AF2D25" w:rsidRPr="0090059D" w:rsidRDefault="00AF2D25" w:rsidP="00DA4223">
            <w:pPr>
              <w:spacing w:line="276" w:lineRule="auto"/>
              <w:jc w:val="left"/>
              <w:rPr>
                <w:color w:val="auto"/>
                <w:sz w:val="24"/>
                <w:szCs w:val="24"/>
              </w:rPr>
            </w:pPr>
            <w:r>
              <w:rPr>
                <w:color w:val="auto"/>
                <w:sz w:val="24"/>
                <w:szCs w:val="24"/>
              </w:rPr>
              <w:t>Subsequent symptoms</w:t>
            </w:r>
          </w:p>
        </w:tc>
        <w:tc>
          <w:tcPr>
            <w:tcW w:w="4099" w:type="dxa"/>
          </w:tcPr>
          <w:p w14:paraId="56F2113B" w14:textId="77777777" w:rsidR="00AF2D25" w:rsidRPr="0090059D" w:rsidRDefault="00AF2D25" w:rsidP="00DA4223">
            <w:pPr>
              <w:spacing w:line="276" w:lineRule="auto"/>
              <w:jc w:val="left"/>
              <w:rPr>
                <w:color w:val="auto"/>
                <w:sz w:val="24"/>
                <w:szCs w:val="24"/>
              </w:rPr>
            </w:pPr>
            <w:r w:rsidRPr="00AF2D25">
              <w:rPr>
                <w:color w:val="auto"/>
                <w:sz w:val="24"/>
                <w:szCs w:val="24"/>
              </w:rPr>
              <w:t>Mental regression, spastic tetraparesis, visual and auditory impairment, bulbar palsy, seizures (25 – 50% of the cases</w:t>
            </w:r>
            <w:r>
              <w:rPr>
                <w:color w:val="auto"/>
                <w:sz w:val="24"/>
                <w:szCs w:val="24"/>
              </w:rPr>
              <w:t xml:space="preserve">, </w:t>
            </w:r>
            <w:r w:rsidRPr="00AF2D25">
              <w:rPr>
                <w:color w:val="auto"/>
                <w:sz w:val="24"/>
                <w:szCs w:val="24"/>
              </w:rPr>
              <w:t>mostly grand mal seizures)</w:t>
            </w:r>
          </w:p>
        </w:tc>
        <w:tc>
          <w:tcPr>
            <w:tcW w:w="4100" w:type="dxa"/>
          </w:tcPr>
          <w:p w14:paraId="1F8BE970" w14:textId="77777777" w:rsidR="00AF2D25" w:rsidRPr="0090059D" w:rsidRDefault="00AF2D25" w:rsidP="00DA4223">
            <w:pPr>
              <w:spacing w:line="276" w:lineRule="auto"/>
              <w:jc w:val="left"/>
              <w:rPr>
                <w:color w:val="auto"/>
                <w:sz w:val="24"/>
                <w:szCs w:val="24"/>
              </w:rPr>
            </w:pPr>
            <w:r w:rsidRPr="00AF2D25">
              <w:rPr>
                <w:color w:val="auto"/>
                <w:sz w:val="24"/>
                <w:szCs w:val="24"/>
              </w:rPr>
              <w:t>Mental regression, spastic tetraparesis, incontinence, optic atrophy, bulbar palsy, seizures (50 – 60% of the cases</w:t>
            </w:r>
            <w:r>
              <w:rPr>
                <w:color w:val="auto"/>
                <w:sz w:val="24"/>
                <w:szCs w:val="24"/>
              </w:rPr>
              <w:t>, mostly</w:t>
            </w:r>
            <w:r w:rsidRPr="00AF2D25">
              <w:rPr>
                <w:color w:val="auto"/>
                <w:sz w:val="24"/>
                <w:szCs w:val="24"/>
              </w:rPr>
              <w:t xml:space="preserve"> complex partial seizures)</w:t>
            </w:r>
          </w:p>
        </w:tc>
        <w:tc>
          <w:tcPr>
            <w:tcW w:w="4100" w:type="dxa"/>
          </w:tcPr>
          <w:p w14:paraId="558741D5" w14:textId="77777777" w:rsidR="00AF2D25" w:rsidRPr="0090059D" w:rsidRDefault="00AF2D25" w:rsidP="00DA4223">
            <w:pPr>
              <w:spacing w:line="276" w:lineRule="auto"/>
              <w:jc w:val="left"/>
              <w:rPr>
                <w:color w:val="auto"/>
                <w:sz w:val="24"/>
                <w:szCs w:val="24"/>
              </w:rPr>
            </w:pPr>
            <w:r w:rsidRPr="00AF2D25">
              <w:rPr>
                <w:color w:val="auto"/>
                <w:sz w:val="24"/>
                <w:szCs w:val="24"/>
              </w:rPr>
              <w:t>Spastic tetraparesis, incontinence, choreiform movements, bulbar palsy, dementia, seizures (2 – 10% of the cases)</w:t>
            </w:r>
          </w:p>
        </w:tc>
      </w:tr>
      <w:tr w:rsidR="00AF2D25" w:rsidRPr="0090059D" w14:paraId="23238890" w14:textId="77777777" w:rsidTr="00AF2D25">
        <w:trPr>
          <w:jc w:val="center"/>
        </w:trPr>
        <w:tc>
          <w:tcPr>
            <w:tcW w:w="2553" w:type="dxa"/>
          </w:tcPr>
          <w:p w14:paraId="20ABF12F" w14:textId="77777777" w:rsidR="00AF2D25" w:rsidRPr="0090059D" w:rsidRDefault="00AF2D25" w:rsidP="00DA4223">
            <w:pPr>
              <w:spacing w:line="276" w:lineRule="auto"/>
              <w:jc w:val="left"/>
              <w:rPr>
                <w:color w:val="auto"/>
                <w:sz w:val="24"/>
                <w:szCs w:val="24"/>
              </w:rPr>
            </w:pPr>
            <w:r>
              <w:rPr>
                <w:noProof/>
                <w:color w:val="auto"/>
                <w:sz w:val="24"/>
                <w:szCs w:val="24"/>
              </w:rPr>
              <w:t>End stage</w:t>
            </w:r>
          </w:p>
        </w:tc>
        <w:tc>
          <w:tcPr>
            <w:tcW w:w="4099" w:type="dxa"/>
          </w:tcPr>
          <w:p w14:paraId="7F5049D3" w14:textId="77777777" w:rsidR="00AF2D25" w:rsidRPr="0090059D" w:rsidRDefault="00AF2D25" w:rsidP="00DA4223">
            <w:pPr>
              <w:spacing w:line="276" w:lineRule="auto"/>
              <w:jc w:val="left"/>
              <w:rPr>
                <w:color w:val="auto"/>
                <w:sz w:val="24"/>
                <w:szCs w:val="24"/>
              </w:rPr>
            </w:pPr>
            <w:r w:rsidRPr="00AF2D25">
              <w:rPr>
                <w:color w:val="auto"/>
                <w:sz w:val="24"/>
                <w:szCs w:val="24"/>
              </w:rPr>
              <w:t>Severely disabled state with loss of all motor functions and speech, and death within 1 – 7 years after onset</w:t>
            </w:r>
          </w:p>
        </w:tc>
        <w:tc>
          <w:tcPr>
            <w:tcW w:w="4100" w:type="dxa"/>
          </w:tcPr>
          <w:p w14:paraId="462D14DE" w14:textId="77777777" w:rsidR="00AF2D25" w:rsidRPr="0090059D" w:rsidRDefault="00AF2D25" w:rsidP="00DA4223">
            <w:pPr>
              <w:spacing w:line="276" w:lineRule="auto"/>
              <w:jc w:val="left"/>
              <w:rPr>
                <w:color w:val="auto"/>
                <w:sz w:val="24"/>
                <w:szCs w:val="24"/>
              </w:rPr>
            </w:pPr>
            <w:r w:rsidRPr="00AF2D25">
              <w:rPr>
                <w:color w:val="auto"/>
                <w:sz w:val="24"/>
                <w:szCs w:val="24"/>
              </w:rPr>
              <w:t>Severely disabled state with loss of all motor functions and speech, and death within 3 – 15 years after onset</w:t>
            </w:r>
          </w:p>
        </w:tc>
        <w:tc>
          <w:tcPr>
            <w:tcW w:w="4100" w:type="dxa"/>
          </w:tcPr>
          <w:p w14:paraId="4A86742C" w14:textId="77777777" w:rsidR="00AF2D25" w:rsidRPr="0090059D" w:rsidRDefault="00AF2D25" w:rsidP="00DA4223">
            <w:pPr>
              <w:spacing w:line="276" w:lineRule="auto"/>
              <w:jc w:val="left"/>
              <w:rPr>
                <w:color w:val="auto"/>
                <w:sz w:val="24"/>
                <w:szCs w:val="24"/>
              </w:rPr>
            </w:pPr>
            <w:r w:rsidRPr="00AF2D25">
              <w:rPr>
                <w:color w:val="auto"/>
                <w:sz w:val="24"/>
                <w:szCs w:val="24"/>
              </w:rPr>
              <w:t>Severely disabled state with loss of all motor functions and speech, and death within 5 – 35 years after onset</w:t>
            </w:r>
          </w:p>
        </w:tc>
      </w:tr>
    </w:tbl>
    <w:p w14:paraId="698037FB" w14:textId="77777777" w:rsidR="00DA4223" w:rsidRDefault="00DA4223">
      <w:pPr>
        <w:rPr>
          <w:color w:val="auto"/>
          <w:sz w:val="24"/>
          <w:szCs w:val="24"/>
        </w:rPr>
      </w:pPr>
    </w:p>
    <w:p w14:paraId="6A256DCF" w14:textId="6B62AD90" w:rsidR="00DA4223" w:rsidRDefault="00DA4223">
      <w:r>
        <w:rPr>
          <w:color w:val="auto"/>
          <w:sz w:val="24"/>
          <w:szCs w:val="24"/>
        </w:rPr>
        <w:t>P</w:t>
      </w:r>
      <w:r w:rsidRPr="00AF2D25">
        <w:rPr>
          <w:color w:val="auto"/>
          <w:sz w:val="24"/>
          <w:szCs w:val="24"/>
        </w:rPr>
        <w:t>er MLD type</w:t>
      </w:r>
      <w:r>
        <w:rPr>
          <w:color w:val="auto"/>
          <w:sz w:val="24"/>
          <w:szCs w:val="24"/>
        </w:rPr>
        <w:t>, the m</w:t>
      </w:r>
      <w:r w:rsidRPr="00AF2D25">
        <w:rPr>
          <w:color w:val="auto"/>
          <w:sz w:val="24"/>
          <w:szCs w:val="24"/>
        </w:rPr>
        <w:t>ost prominent symptoms during natural disease course are reported. The worldwide contribution of MLD types to all MLD cases is displayed between parentheses in the upper row but varies between different populations.</w:t>
      </w:r>
    </w:p>
    <w:p w14:paraId="78549CA5" w14:textId="77777777" w:rsidR="00F71C1D" w:rsidRDefault="000D49A8"/>
    <w:sectPr w:rsidR="00F71C1D" w:rsidSect="00432A4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10"/>
  </w:docVars>
  <w:rsids>
    <w:rsidRoot w:val="00432A41"/>
    <w:rsid w:val="000D49A8"/>
    <w:rsid w:val="00113A15"/>
    <w:rsid w:val="00432A41"/>
    <w:rsid w:val="004E28AA"/>
    <w:rsid w:val="006D2176"/>
    <w:rsid w:val="00731F4D"/>
    <w:rsid w:val="00AB51E0"/>
    <w:rsid w:val="00AF2D25"/>
    <w:rsid w:val="00B138A6"/>
    <w:rsid w:val="00BA43E1"/>
    <w:rsid w:val="00DA4223"/>
    <w:rsid w:val="00FF1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FE54"/>
  <w15:docId w15:val="{B4280133-DE4E-48F6-9B61-FE44659A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2A41"/>
    <w:pPr>
      <w:spacing w:after="200" w:line="360" w:lineRule="auto"/>
      <w:jc w:val="both"/>
    </w:pPr>
    <w:rPr>
      <w:rFonts w:eastAsiaTheme="minorEastAsia"/>
      <w:bCs/>
      <w:color w:val="538135" w:themeColor="accent6" w:themeShade="BF"/>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Lijsttabel3-Accent51">
    <w:name w:val="Lijsttabel 3 - Accent 51"/>
    <w:basedOn w:val="Standaardtabel"/>
    <w:uiPriority w:val="48"/>
    <w:rsid w:val="00432A41"/>
    <w:pPr>
      <w:spacing w:after="0" w:line="240" w:lineRule="auto"/>
      <w:jc w:val="both"/>
    </w:pPr>
    <w:rPr>
      <w:rFonts w:eastAsiaTheme="minorEastAsia"/>
      <w:sz w:val="20"/>
      <w:szCs w:val="20"/>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raster">
    <w:name w:val="Table Grid"/>
    <w:basedOn w:val="Standaardtabel"/>
    <w:uiPriority w:val="39"/>
    <w:rsid w:val="0043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32A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2A41"/>
    <w:rPr>
      <w:rFonts w:ascii="Segoe UI" w:eastAsiaTheme="minorEastAsia" w:hAnsi="Segoe UI" w:cs="Segoe UI"/>
      <w:bCs/>
      <w:color w:val="538135" w:themeColor="accent6" w:themeShade="B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899B6723</Template>
  <TotalTime>11</TotalTime>
  <Pages>1</Pages>
  <Words>258</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Beerepoot, S. (Shanice)</dc:creator>
  <cp:keywords/>
  <dc:description/>
  <cp:lastModifiedBy>Beerepoot, S. (Shanice)</cp:lastModifiedBy>
  <cp:revision>7</cp:revision>
  <dcterms:created xsi:type="dcterms:W3CDTF">2019-08-23T12:30:00Z</dcterms:created>
  <dcterms:modified xsi:type="dcterms:W3CDTF">2019-10-24T13:45:00Z</dcterms:modified>
</cp:coreProperties>
</file>