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EA" w:rsidRPr="00D13F9B" w:rsidRDefault="00C010EA" w:rsidP="00C010EA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lang w:val="en-GB"/>
        </w:rPr>
      </w:pPr>
    </w:p>
    <w:p w:rsidR="00C010EA" w:rsidRDefault="00C010EA" w:rsidP="00C010EA">
      <w:pPr>
        <w:pStyle w:val="Heading1"/>
        <w:spacing w:line="480" w:lineRule="auto"/>
        <w:rPr>
          <w:rFonts w:asciiTheme="minorHAnsi" w:hAnsiTheme="minorHAnsi" w:cstheme="minorHAnsi"/>
          <w:color w:val="000000" w:themeColor="text1"/>
          <w:sz w:val="36"/>
          <w:lang w:val="en-US"/>
        </w:rPr>
      </w:pPr>
      <w:r>
        <w:rPr>
          <w:rFonts w:asciiTheme="minorHAnsi" w:hAnsiTheme="minorHAnsi" w:cstheme="minorHAnsi"/>
          <w:color w:val="000000" w:themeColor="text1"/>
          <w:sz w:val="36"/>
          <w:lang w:val="en-US"/>
        </w:rPr>
        <w:t>Additional Material</w:t>
      </w:r>
    </w:p>
    <w:p w:rsidR="00C010EA" w:rsidRDefault="00C010EA" w:rsidP="00C010EA">
      <w:pPr>
        <w:spacing w:line="480" w:lineRule="auto"/>
        <w:jc w:val="both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Additional Table </w:t>
      </w:r>
      <w:r w:rsidRPr="00D00591">
        <w:rPr>
          <w:rFonts w:cstheme="minorHAnsi"/>
          <w:b/>
          <w:sz w:val="24"/>
          <w:lang w:val="en-US"/>
        </w:rPr>
        <w:t>1</w:t>
      </w:r>
      <w:r>
        <w:rPr>
          <w:rFonts w:cstheme="minorHAnsi"/>
          <w:b/>
          <w:sz w:val="24"/>
          <w:lang w:val="en-US"/>
        </w:rPr>
        <w:t>.</w:t>
      </w:r>
      <w:r w:rsidRPr="00D00591">
        <w:rPr>
          <w:rFonts w:cstheme="minorHAnsi"/>
          <w:b/>
          <w:sz w:val="24"/>
          <w:lang w:val="en-US"/>
        </w:rPr>
        <w:t xml:space="preserve"> </w:t>
      </w:r>
      <w:r>
        <w:rPr>
          <w:rFonts w:cstheme="minorHAnsi"/>
          <w:b/>
          <w:sz w:val="24"/>
          <w:lang w:val="en-US"/>
        </w:rPr>
        <w:t xml:space="preserve">Influence of pathologic genetic mutations on the occurrence of pulmonary findings </w:t>
      </w:r>
    </w:p>
    <w:p w:rsidR="00C010EA" w:rsidRPr="00D00591" w:rsidDel="00010A56" w:rsidRDefault="00C010EA" w:rsidP="00C010EA">
      <w:pPr>
        <w:spacing w:line="480" w:lineRule="auto"/>
        <w:jc w:val="both"/>
        <w:rPr>
          <w:rFonts w:cstheme="minorHAnsi"/>
          <w:b/>
          <w:sz w:val="24"/>
          <w:lang w:val="en-US"/>
        </w:rPr>
      </w:pPr>
      <w:r w:rsidRPr="00D00591" w:rsidDel="00010A56">
        <w:rPr>
          <w:rFonts w:cstheme="minorHAnsi"/>
          <w:b/>
          <w:sz w:val="24"/>
          <w:lang w:val="en-US"/>
        </w:rPr>
        <w:t xml:space="preserve"> </w:t>
      </w:r>
    </w:p>
    <w:tbl>
      <w:tblPr>
        <w:tblStyle w:val="TableGrid"/>
        <w:tblW w:w="96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91"/>
        <w:gridCol w:w="1927"/>
        <w:gridCol w:w="1927"/>
        <w:gridCol w:w="1927"/>
        <w:gridCol w:w="1418"/>
      </w:tblGrid>
      <w:tr w:rsidR="00C010EA" w:rsidTr="001D742A">
        <w:trPr>
          <w:trHeight w:val="1230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  <w:t>Large deletion of entire NF1 gene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  <w:t>n=8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  <w:t>Intragenic NF1 mutations *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  <w:lang w:val="en-US"/>
              </w:rPr>
              <w:t>n=31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No Mutation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n=13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P-</w:t>
            </w: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value</w:t>
            </w:r>
            <w:r w:rsidR="00517BBB" w:rsidRPr="00517BB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Female gender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 (50)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17 (55)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 (46)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0.86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Age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31</w:t>
            </w:r>
            <w:r>
              <w:rPr>
                <w:rFonts w:cstheme="minorHAnsi"/>
                <w:sz w:val="24"/>
                <w:szCs w:val="24"/>
              </w:rPr>
              <w:t>±12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34</w:t>
            </w:r>
            <w:r>
              <w:rPr>
                <w:rFonts w:cstheme="minorHAnsi"/>
                <w:sz w:val="24"/>
                <w:szCs w:val="24"/>
              </w:rPr>
              <w:t>±14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26</w:t>
            </w:r>
            <w:r>
              <w:rPr>
                <w:rFonts w:cstheme="minorHAnsi"/>
                <w:sz w:val="24"/>
                <w:szCs w:val="24"/>
              </w:rPr>
              <w:t>±10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0.20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Current Smokers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(3)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(38)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&lt;0.05</w:t>
            </w:r>
            <w:r w:rsidR="00517BBB" w:rsidRPr="00517BBB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MPNST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 (50)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 (19)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(31)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Reticulations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(38)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 (29)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(15)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0.50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Nodules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≤10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&gt;10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Max. diameter (mm)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 (25)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 (35)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 (32)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 (23)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(8)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 (15)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0.67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0.16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0.33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GGO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 (6)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0.85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Consolidation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 (10)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0.34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Emphysema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-centrilobular 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-paraseptal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 (50)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 (50)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 (29)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 (29)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(15)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(8)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(15)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0.24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0.65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0.24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Cysts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≤10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&gt;10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Max. Diameter (mm)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UL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ML</w:t>
            </w:r>
          </w:p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LL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 (42)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 (35)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 (6)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 (19)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 (19)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(23)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(15)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(8)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(15)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(0)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(8)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0.20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0.24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0.74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0.88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0.71</w:t>
            </w:r>
          </w:p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0.28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Thickened interlobular septa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 (13)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 (16)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0.31</w:t>
            </w:r>
          </w:p>
        </w:tc>
      </w:tr>
      <w:tr w:rsidR="00C010EA" w:rsidTr="001D742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Pleural effusion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 (6)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0EA" w:rsidRDefault="00C010EA" w:rsidP="001D742A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0.49</w:t>
            </w:r>
          </w:p>
        </w:tc>
      </w:tr>
    </w:tbl>
    <w:p w:rsidR="00C010EA" w:rsidRPr="00517BBB" w:rsidRDefault="00C010EA" w:rsidP="00C010EA">
      <w:pPr>
        <w:rPr>
          <w:color w:val="000000" w:themeColor="text1"/>
          <w:lang w:val="en-GB"/>
        </w:rPr>
      </w:pPr>
      <w:r>
        <w:rPr>
          <w:sz w:val="24"/>
          <w:szCs w:val="24"/>
          <w:lang w:val="en-GB"/>
        </w:rPr>
        <w:t xml:space="preserve">*5 Patients with mutations of uncertain significance were excluded. </w:t>
      </w:r>
      <w:r>
        <w:rPr>
          <w:rFonts w:cstheme="minorHAnsi"/>
          <w:sz w:val="24"/>
          <w:szCs w:val="24"/>
          <w:lang w:val="en-US"/>
        </w:rPr>
        <w:t xml:space="preserve">MPNST: </w:t>
      </w:r>
      <w:r>
        <w:rPr>
          <w:rFonts w:eastAsia="Times New Roman"/>
          <w:bCs/>
          <w:color w:val="000000" w:themeColor="text1"/>
          <w:sz w:val="24"/>
          <w:lang w:val="en-US"/>
        </w:rPr>
        <w:t xml:space="preserve">Malignant peripheral nerve sheath </w:t>
      </w:r>
      <w:bookmarkStart w:id="0" w:name="_GoBack"/>
      <w:bookmarkEnd w:id="0"/>
      <w:r>
        <w:rPr>
          <w:rFonts w:eastAsia="Times New Roman"/>
          <w:bCs/>
          <w:color w:val="000000" w:themeColor="text1"/>
          <w:sz w:val="24"/>
          <w:lang w:val="en-US"/>
        </w:rPr>
        <w:t xml:space="preserve">tumor; GGO: </w:t>
      </w:r>
      <w:r>
        <w:rPr>
          <w:sz w:val="24"/>
          <w:szCs w:val="24"/>
          <w:lang w:val="en-US"/>
        </w:rPr>
        <w:t xml:space="preserve">Ground glass opacity; UL: Upper lobe; ML: Middle lobe; LL: </w:t>
      </w:r>
      <w:r>
        <w:rPr>
          <w:sz w:val="24"/>
          <w:szCs w:val="24"/>
          <w:lang w:val="en-GB"/>
        </w:rPr>
        <w:t>Lower lobe</w:t>
      </w:r>
      <w:r w:rsidR="00517BBB">
        <w:rPr>
          <w:sz w:val="24"/>
          <w:szCs w:val="24"/>
          <w:lang w:val="en-GB"/>
        </w:rPr>
        <w:t xml:space="preserve">. </w:t>
      </w:r>
      <w:proofErr w:type="spellStart"/>
      <w:proofErr w:type="gramStart"/>
      <w:r w:rsidR="00517BBB" w:rsidRPr="00517BBB">
        <w:rPr>
          <w:sz w:val="24"/>
          <w:szCs w:val="24"/>
          <w:vertAlign w:val="superscript"/>
          <w:lang w:val="en-GB"/>
        </w:rPr>
        <w:t>a</w:t>
      </w:r>
      <w:r w:rsidR="00517BBB">
        <w:rPr>
          <w:sz w:val="24"/>
          <w:szCs w:val="24"/>
          <w:lang w:val="en-GB"/>
        </w:rPr>
        <w:t>Fisher</w:t>
      </w:r>
      <w:proofErr w:type="spellEnd"/>
      <w:proofErr w:type="gramEnd"/>
      <w:r w:rsidR="00517BBB">
        <w:rPr>
          <w:sz w:val="24"/>
          <w:szCs w:val="24"/>
          <w:lang w:val="en-GB"/>
        </w:rPr>
        <w:t xml:space="preserve"> exact test or </w:t>
      </w:r>
      <w:r w:rsidR="00517BBB">
        <w:rPr>
          <w:rFonts w:cstheme="minorHAnsi"/>
          <w:sz w:val="24"/>
          <w:lang w:val="en-US"/>
        </w:rPr>
        <w:t>ꭓ</w:t>
      </w:r>
      <w:r w:rsidR="00517BBB">
        <w:rPr>
          <w:sz w:val="24"/>
          <w:lang w:val="en-US"/>
        </w:rPr>
        <w:t>²</w:t>
      </w:r>
      <w:r w:rsidR="00384C2A">
        <w:rPr>
          <w:sz w:val="24"/>
          <w:lang w:val="en-US"/>
        </w:rPr>
        <w:t xml:space="preserve"> test;</w:t>
      </w:r>
      <w:r w:rsidR="00517BBB">
        <w:rPr>
          <w:sz w:val="24"/>
          <w:lang w:val="en-US"/>
        </w:rPr>
        <w:t xml:space="preserve"> </w:t>
      </w:r>
      <w:r w:rsidR="00517BBB" w:rsidRPr="00517BBB">
        <w:rPr>
          <w:sz w:val="24"/>
          <w:vertAlign w:val="superscript"/>
          <w:lang w:val="en-US"/>
        </w:rPr>
        <w:t>#</w:t>
      </w:r>
      <w:r w:rsidR="00517BBB">
        <w:rPr>
          <w:sz w:val="24"/>
          <w:lang w:val="en-US"/>
        </w:rPr>
        <w:t>p values &lt;0.05 (</w:t>
      </w:r>
      <w:r w:rsidR="00517BBB" w:rsidRPr="00FF0618">
        <w:rPr>
          <w:b/>
          <w:sz w:val="24"/>
          <w:lang w:val="en-US"/>
        </w:rPr>
        <w:t>bold</w:t>
      </w:r>
      <w:r w:rsidR="00517BBB">
        <w:rPr>
          <w:sz w:val="24"/>
          <w:lang w:val="en-US"/>
        </w:rPr>
        <w:t>) were considered to indicate statistical significance</w:t>
      </w:r>
    </w:p>
    <w:p w:rsidR="006F7CE6" w:rsidRDefault="006F7CE6"/>
    <w:sectPr w:rsidR="006F7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EA"/>
    <w:rsid w:val="00096CB2"/>
    <w:rsid w:val="00111944"/>
    <w:rsid w:val="001F6457"/>
    <w:rsid w:val="002C0A0A"/>
    <w:rsid w:val="0031145B"/>
    <w:rsid w:val="00384C2A"/>
    <w:rsid w:val="004E2A98"/>
    <w:rsid w:val="00517BBB"/>
    <w:rsid w:val="005335B6"/>
    <w:rsid w:val="006F7CE6"/>
    <w:rsid w:val="00955275"/>
    <w:rsid w:val="009E7399"/>
    <w:rsid w:val="00AD4BD7"/>
    <w:rsid w:val="00B91EED"/>
    <w:rsid w:val="00C010EA"/>
    <w:rsid w:val="00F33FDB"/>
    <w:rsid w:val="00FF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0E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0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paragraph" w:styleId="NoSpacing">
    <w:name w:val="No Spacing"/>
    <w:uiPriority w:val="1"/>
    <w:qFormat/>
    <w:rsid w:val="00C010EA"/>
    <w:pPr>
      <w:spacing w:after="0" w:line="240" w:lineRule="auto"/>
    </w:pPr>
    <w:rPr>
      <w:rFonts w:eastAsiaTheme="minorEastAsia"/>
      <w:lang w:val="de-DE" w:eastAsia="de-DE"/>
    </w:rPr>
  </w:style>
  <w:style w:type="table" w:styleId="TableGrid">
    <w:name w:val="Table Grid"/>
    <w:basedOn w:val="TableNormal"/>
    <w:uiPriority w:val="59"/>
    <w:rsid w:val="00C010EA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xeins1">
    <w:name w:val="oxeins_1"/>
    <w:basedOn w:val="DefaultParagraphFont"/>
    <w:rsid w:val="00517BBB"/>
  </w:style>
  <w:style w:type="character" w:styleId="Strong">
    <w:name w:val="Strong"/>
    <w:basedOn w:val="DefaultParagraphFont"/>
    <w:uiPriority w:val="22"/>
    <w:qFormat/>
    <w:rsid w:val="00517B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0E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0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paragraph" w:styleId="NoSpacing">
    <w:name w:val="No Spacing"/>
    <w:uiPriority w:val="1"/>
    <w:qFormat/>
    <w:rsid w:val="00C010EA"/>
    <w:pPr>
      <w:spacing w:after="0" w:line="240" w:lineRule="auto"/>
    </w:pPr>
    <w:rPr>
      <w:rFonts w:eastAsiaTheme="minorEastAsia"/>
      <w:lang w:val="de-DE" w:eastAsia="de-DE"/>
    </w:rPr>
  </w:style>
  <w:style w:type="table" w:styleId="TableGrid">
    <w:name w:val="Table Grid"/>
    <w:basedOn w:val="TableNormal"/>
    <w:uiPriority w:val="59"/>
    <w:rsid w:val="00C010EA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xeins1">
    <w:name w:val="oxeins_1"/>
    <w:basedOn w:val="DefaultParagraphFont"/>
    <w:rsid w:val="00517BBB"/>
  </w:style>
  <w:style w:type="character" w:styleId="Strong">
    <w:name w:val="Strong"/>
    <w:basedOn w:val="DefaultParagraphFont"/>
    <w:uiPriority w:val="22"/>
    <w:qFormat/>
    <w:rsid w:val="00517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Sathya S.</dc:creator>
  <cp:lastModifiedBy>Maxim</cp:lastModifiedBy>
  <cp:revision>2</cp:revision>
  <dcterms:created xsi:type="dcterms:W3CDTF">2021-01-10T19:24:00Z</dcterms:created>
  <dcterms:modified xsi:type="dcterms:W3CDTF">2021-01-10T19:24:00Z</dcterms:modified>
</cp:coreProperties>
</file>