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17E605" w14:textId="77777777" w:rsidR="001D03B1" w:rsidRDefault="001D03B1" w:rsidP="001D03B1">
      <w:pPr>
        <w:pStyle w:val="Heading1"/>
      </w:pPr>
      <w:bookmarkStart w:id="0" w:name="_Hlk36656398"/>
      <w:r>
        <w:t>Example recommendations</w:t>
      </w:r>
    </w:p>
    <w:p w14:paraId="35ADF543" w14:textId="1CFC9F4C" w:rsidR="00B7062A" w:rsidRPr="003D4F9A" w:rsidRDefault="00B7062A" w:rsidP="003D4F9A">
      <w:pPr>
        <w:spacing w:line="240" w:lineRule="auto"/>
        <w:jc w:val="both"/>
        <w:rPr>
          <w:sz w:val="24"/>
          <w:szCs w:val="24"/>
        </w:rPr>
      </w:pPr>
      <w:r w:rsidRPr="003D4F9A">
        <w:rPr>
          <w:rFonts w:cstheme="minorHAnsi"/>
          <w:sz w:val="24"/>
          <w:szCs w:val="24"/>
        </w:rPr>
        <w:t>Th</w:t>
      </w:r>
      <w:r w:rsidR="00503DE4" w:rsidRPr="003D4F9A">
        <w:rPr>
          <w:rFonts w:cstheme="minorHAnsi"/>
          <w:sz w:val="24"/>
          <w:szCs w:val="24"/>
        </w:rPr>
        <w:t>e</w:t>
      </w:r>
      <w:r w:rsidRPr="003D4F9A">
        <w:rPr>
          <w:rFonts w:cstheme="minorHAnsi"/>
          <w:sz w:val="24"/>
          <w:szCs w:val="24"/>
        </w:rPr>
        <w:t xml:space="preserve"> consensus-based recommendations </w:t>
      </w:r>
      <w:r w:rsidR="001D03B1">
        <w:rPr>
          <w:rFonts w:cstheme="minorHAnsi"/>
          <w:sz w:val="24"/>
          <w:szCs w:val="24"/>
        </w:rPr>
        <w:t xml:space="preserve">are </w:t>
      </w:r>
      <w:r w:rsidRPr="003D4F9A">
        <w:rPr>
          <w:rFonts w:cstheme="minorHAnsi"/>
          <w:sz w:val="24"/>
          <w:szCs w:val="24"/>
        </w:rPr>
        <w:t>for clinicians who diagnose and manage patients with mitochondrial disease</w:t>
      </w:r>
      <w:r w:rsidR="001D03B1">
        <w:rPr>
          <w:rFonts w:cstheme="minorHAnsi"/>
          <w:sz w:val="24"/>
          <w:szCs w:val="24"/>
        </w:rPr>
        <w:t>.</w:t>
      </w:r>
      <w:bookmarkStart w:id="1" w:name="_GoBack"/>
      <w:bookmarkEnd w:id="1"/>
      <w:r w:rsidR="001D03B1">
        <w:rPr>
          <w:rFonts w:cstheme="minorHAnsi"/>
          <w:sz w:val="24"/>
          <w:szCs w:val="24"/>
        </w:rPr>
        <w:t xml:space="preserve"> </w:t>
      </w:r>
      <w:r w:rsidR="00503DE4" w:rsidRPr="003D4F9A">
        <w:rPr>
          <w:sz w:val="24"/>
          <w:szCs w:val="24"/>
        </w:rPr>
        <w:t>As m</w:t>
      </w:r>
      <w:r w:rsidRPr="003D4F9A">
        <w:rPr>
          <w:sz w:val="24"/>
          <w:szCs w:val="24"/>
        </w:rPr>
        <w:t xml:space="preserve">itochondrial disorders can affect any part of the body, in </w:t>
      </w:r>
      <w:proofErr w:type="gramStart"/>
      <w:r w:rsidRPr="003D4F9A">
        <w:rPr>
          <w:sz w:val="24"/>
          <w:szCs w:val="24"/>
        </w:rPr>
        <w:t>many different ways</w:t>
      </w:r>
      <w:proofErr w:type="gramEnd"/>
      <w:r w:rsidR="00503DE4" w:rsidRPr="003D4F9A">
        <w:rPr>
          <w:sz w:val="24"/>
          <w:szCs w:val="24"/>
        </w:rPr>
        <w:t xml:space="preserve"> t</w:t>
      </w:r>
      <w:r w:rsidRPr="003D4F9A">
        <w:rPr>
          <w:sz w:val="24"/>
          <w:szCs w:val="24"/>
        </w:rPr>
        <w:t xml:space="preserve">he guidelines </w:t>
      </w:r>
      <w:r w:rsidR="002576E8" w:rsidRPr="003D4F9A">
        <w:rPr>
          <w:sz w:val="24"/>
          <w:szCs w:val="24"/>
        </w:rPr>
        <w:t xml:space="preserve">are </w:t>
      </w:r>
      <w:r w:rsidRPr="003D4F9A">
        <w:rPr>
          <w:sz w:val="24"/>
          <w:szCs w:val="24"/>
        </w:rPr>
        <w:t>divided into the sections:</w:t>
      </w:r>
    </w:p>
    <w:p w14:paraId="1AF38C77" w14:textId="3735F011" w:rsidR="003D4F9A" w:rsidRPr="003D4F9A" w:rsidRDefault="00B7062A" w:rsidP="003D4F9A">
      <w:pPr>
        <w:spacing w:line="240" w:lineRule="auto"/>
        <w:jc w:val="both"/>
        <w:rPr>
          <w:sz w:val="24"/>
          <w:szCs w:val="24"/>
        </w:rPr>
      </w:pPr>
      <w:r w:rsidRPr="003D4F9A">
        <w:rPr>
          <w:sz w:val="24"/>
          <w:szCs w:val="24"/>
        </w:rPr>
        <w:t>Audiology, cardiology, endocrinology, gastroenterology, haematology, immunology, nephrology, neurology, ophthalmology, orthopaedics, pregnancy, psychiatry, pulmonology. There are also general recommendations for paediatric patients, critical care, altitude, fatigue and exercise, supplements and nutrition and care coordination.</w:t>
      </w:r>
    </w:p>
    <w:bookmarkEnd w:id="0"/>
    <w:p w14:paraId="68D9275D" w14:textId="77777777" w:rsidR="003D4F9A" w:rsidRDefault="003D4F9A" w:rsidP="003D4F9A">
      <w:pPr>
        <w:pStyle w:val="Default"/>
        <w:spacing w:line="276" w:lineRule="auto"/>
        <w:ind w:left="360"/>
        <w:jc w:val="both"/>
        <w:rPr>
          <w:rFonts w:asciiTheme="minorHAnsi" w:hAnsiTheme="minorHAnsi" w:cstheme="minorHAnsi"/>
          <w:b/>
          <w:bCs/>
        </w:rPr>
      </w:pPr>
    </w:p>
    <w:p w14:paraId="7311C44E" w14:textId="2B4788FB" w:rsidR="00E93972" w:rsidRPr="003D4F9A" w:rsidRDefault="00E93972" w:rsidP="003D4F9A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  <w:bCs/>
        </w:rPr>
      </w:pPr>
      <w:r w:rsidRPr="003D4F9A">
        <w:rPr>
          <w:rFonts w:asciiTheme="minorHAnsi" w:hAnsiTheme="minorHAnsi" w:cstheme="minorHAnsi"/>
          <w:b/>
          <w:bCs/>
        </w:rPr>
        <w:t>C</w:t>
      </w:r>
      <w:r w:rsidR="002576E8" w:rsidRPr="003D4F9A">
        <w:rPr>
          <w:rFonts w:asciiTheme="minorHAnsi" w:hAnsiTheme="minorHAnsi" w:cstheme="minorHAnsi"/>
          <w:b/>
          <w:bCs/>
        </w:rPr>
        <w:t>ARDIOLOGY</w:t>
      </w:r>
    </w:p>
    <w:p w14:paraId="6F01C63C" w14:textId="77777777" w:rsidR="00805C9F" w:rsidRPr="003D4F9A" w:rsidRDefault="00805C9F" w:rsidP="003D4F9A">
      <w:pPr>
        <w:pStyle w:val="Default"/>
        <w:numPr>
          <w:ilvl w:val="1"/>
          <w:numId w:val="1"/>
        </w:numPr>
        <w:spacing w:line="276" w:lineRule="auto"/>
        <w:jc w:val="both"/>
        <w:rPr>
          <w:rFonts w:asciiTheme="minorHAnsi" w:hAnsiTheme="minorHAnsi" w:cstheme="minorHAnsi"/>
        </w:rPr>
      </w:pPr>
      <w:r w:rsidRPr="003D4F9A">
        <w:rPr>
          <w:rFonts w:asciiTheme="minorHAnsi" w:hAnsiTheme="minorHAnsi" w:cstheme="minorHAnsi"/>
        </w:rPr>
        <w:t xml:space="preserve">Perform baseline cardiology investigations in all patients with suspected or proven Mito Disease (MD). The following baseline assessments should be performed: </w:t>
      </w:r>
    </w:p>
    <w:p w14:paraId="7EFB99CB" w14:textId="77777777" w:rsidR="00805C9F" w:rsidRPr="003D4F9A" w:rsidRDefault="00805C9F" w:rsidP="003D4F9A">
      <w:pPr>
        <w:pStyle w:val="Default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3D4F9A">
        <w:rPr>
          <w:rFonts w:asciiTheme="minorHAnsi" w:hAnsiTheme="minorHAnsi" w:cstheme="minorHAnsi"/>
        </w:rPr>
        <w:t xml:space="preserve">Standard 12-lead electrocardiogram (ECG) </w:t>
      </w:r>
    </w:p>
    <w:p w14:paraId="6C20BEF4" w14:textId="77777777" w:rsidR="00805C9F" w:rsidRPr="003D4F9A" w:rsidRDefault="00805C9F" w:rsidP="003D4F9A">
      <w:pPr>
        <w:pStyle w:val="Default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3D4F9A">
        <w:rPr>
          <w:rFonts w:asciiTheme="minorHAnsi" w:hAnsiTheme="minorHAnsi" w:cstheme="minorHAnsi"/>
        </w:rPr>
        <w:t xml:space="preserve">24-hour ECG (Holter monitoring) (in adults) </w:t>
      </w:r>
    </w:p>
    <w:p w14:paraId="3F8DD903" w14:textId="4A7E58C8" w:rsidR="00805C9F" w:rsidRPr="003D4F9A" w:rsidRDefault="00805C9F" w:rsidP="003D4F9A">
      <w:pPr>
        <w:pStyle w:val="Default"/>
        <w:numPr>
          <w:ilvl w:val="0"/>
          <w:numId w:val="7"/>
        </w:numPr>
        <w:spacing w:line="276" w:lineRule="auto"/>
        <w:jc w:val="both"/>
        <w:rPr>
          <w:rFonts w:asciiTheme="minorHAnsi" w:hAnsiTheme="minorHAnsi" w:cstheme="minorHAnsi"/>
        </w:rPr>
      </w:pPr>
      <w:r w:rsidRPr="003D4F9A">
        <w:rPr>
          <w:rFonts w:asciiTheme="minorHAnsi" w:hAnsiTheme="minorHAnsi" w:cstheme="minorHAnsi"/>
        </w:rPr>
        <w:t xml:space="preserve">Echocardiogram (with a measure of left ventricular mass and systolic/diastolic function) </w:t>
      </w:r>
    </w:p>
    <w:p w14:paraId="2603186E" w14:textId="581F3054" w:rsidR="00805C9F" w:rsidRPr="003D4F9A" w:rsidRDefault="00E93972" w:rsidP="003D4F9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3D4F9A">
        <w:rPr>
          <w:rFonts w:cstheme="minorHAnsi"/>
          <w:color w:val="000000"/>
          <w:sz w:val="24"/>
          <w:szCs w:val="24"/>
        </w:rPr>
        <w:t xml:space="preserve">In paediatric patients, perform ECG and echocardiography every 1-2 years to identify subclinical cardiomyopathies. </w:t>
      </w:r>
    </w:p>
    <w:p w14:paraId="469910D8" w14:textId="77777777" w:rsidR="003D4F9A" w:rsidRPr="003D4F9A" w:rsidRDefault="00805C9F" w:rsidP="003D4F9A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sz w:val="24"/>
          <w:szCs w:val="24"/>
        </w:rPr>
      </w:pPr>
      <w:r w:rsidRPr="003D4F9A">
        <w:rPr>
          <w:rFonts w:cstheme="minorHAnsi"/>
          <w:color w:val="000000"/>
          <w:sz w:val="24"/>
          <w:szCs w:val="24"/>
        </w:rPr>
        <w:t xml:space="preserve">For patients with Leber’s hereditary optic neuropathy who have been assessed at no risk of cardiac complications, may not require Holter monitoring or echocardiogram. </w:t>
      </w:r>
    </w:p>
    <w:p w14:paraId="01F73BC8" w14:textId="093EBB03" w:rsidR="00805C9F" w:rsidRPr="003D4F9A" w:rsidRDefault="00805C9F" w:rsidP="003D4F9A">
      <w:pPr>
        <w:pStyle w:val="ListParagraph"/>
        <w:autoSpaceDE w:val="0"/>
        <w:autoSpaceDN w:val="0"/>
        <w:adjustRightInd w:val="0"/>
        <w:spacing w:after="0" w:line="276" w:lineRule="auto"/>
        <w:ind w:left="785"/>
        <w:jc w:val="both"/>
        <w:rPr>
          <w:rFonts w:cstheme="minorHAnsi"/>
          <w:sz w:val="24"/>
          <w:szCs w:val="24"/>
        </w:rPr>
      </w:pPr>
    </w:p>
    <w:p w14:paraId="11CD799D" w14:textId="0297737F" w:rsidR="003D4F9A" w:rsidRPr="003D4F9A" w:rsidRDefault="002576E8" w:rsidP="003D4F9A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3D4F9A">
        <w:rPr>
          <w:rFonts w:cstheme="minorHAnsi"/>
          <w:b/>
          <w:bCs/>
          <w:color w:val="000000"/>
          <w:sz w:val="24"/>
          <w:szCs w:val="24"/>
        </w:rPr>
        <w:t>FATIGUE</w:t>
      </w:r>
      <w:r w:rsidR="00592821" w:rsidRPr="003D4F9A">
        <w:rPr>
          <w:rFonts w:cstheme="minorHAnsi"/>
          <w:b/>
          <w:bCs/>
          <w:color w:val="000000"/>
          <w:sz w:val="24"/>
          <w:szCs w:val="24"/>
        </w:rPr>
        <w:t xml:space="preserve"> AND EXERCISE</w:t>
      </w:r>
    </w:p>
    <w:p w14:paraId="3624F94E" w14:textId="5BFA3325" w:rsidR="00154078" w:rsidRPr="003D4F9A" w:rsidRDefault="00154078" w:rsidP="003D4F9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3D4F9A">
        <w:rPr>
          <w:rFonts w:cstheme="minorHAnsi"/>
          <w:color w:val="000000"/>
          <w:sz w:val="24"/>
          <w:szCs w:val="24"/>
        </w:rPr>
        <w:t>Evaluate notable or worsening fatigue in MD patients, including for treatable aetiologies: cardiac insufficiency, anaemia, an endocrinopathy (specifically thyroid and adrenal disease), worsening myopathy, respiratory insufficiency, sleep disorder, nutritional and iron deficiencies, and deconditioning.</w:t>
      </w:r>
    </w:p>
    <w:p w14:paraId="437D01DF" w14:textId="77777777" w:rsidR="00154078" w:rsidRPr="003D4F9A" w:rsidRDefault="00154078" w:rsidP="003D4F9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3D4F9A">
        <w:rPr>
          <w:rFonts w:cstheme="minorHAnsi"/>
          <w:color w:val="000000"/>
          <w:sz w:val="24"/>
          <w:szCs w:val="24"/>
        </w:rPr>
        <w:t>Graded, regular physical activity can improve symptoms of exercise intolerance and fatigability over time.</w:t>
      </w:r>
    </w:p>
    <w:p w14:paraId="2F70A64C" w14:textId="77777777" w:rsidR="00154078" w:rsidRPr="003D4F9A" w:rsidRDefault="00154078" w:rsidP="003D4F9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  <w:sz w:val="24"/>
          <w:szCs w:val="24"/>
        </w:rPr>
      </w:pPr>
      <w:r w:rsidRPr="003D4F9A">
        <w:rPr>
          <w:rFonts w:cstheme="minorHAnsi"/>
          <w:color w:val="000000"/>
          <w:sz w:val="24"/>
          <w:szCs w:val="24"/>
        </w:rPr>
        <w:t>Except for patients with cardiac arrhythmia and/or cardiopulmonary involvement, moderate intensity aerobic exercise at 70% of the patient’s maximum heart rate to improve baseline levels of fitness is recommended.</w:t>
      </w:r>
    </w:p>
    <w:p w14:paraId="4210A396" w14:textId="285CC495" w:rsidR="00B7062A" w:rsidRPr="003D4F9A" w:rsidRDefault="00154078" w:rsidP="003D4F9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76" w:lineRule="auto"/>
        <w:jc w:val="both"/>
        <w:rPr>
          <w:sz w:val="24"/>
          <w:szCs w:val="24"/>
        </w:rPr>
      </w:pPr>
      <w:r w:rsidRPr="003D4F9A">
        <w:rPr>
          <w:rFonts w:cstheme="minorHAnsi"/>
          <w:color w:val="000000"/>
          <w:sz w:val="24"/>
          <w:szCs w:val="24"/>
        </w:rPr>
        <w:t>There is evidence that aerobic exercise in patients with MDs increases energy production.</w:t>
      </w:r>
    </w:p>
    <w:sectPr w:rsidR="00B7062A" w:rsidRPr="003D4F9A" w:rsidSect="002576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66B92F" w14:textId="77777777" w:rsidR="00A55985" w:rsidRDefault="00A55985" w:rsidP="00B7062A">
      <w:pPr>
        <w:spacing w:after="0" w:line="240" w:lineRule="auto"/>
      </w:pPr>
      <w:r>
        <w:separator/>
      </w:r>
    </w:p>
  </w:endnote>
  <w:endnote w:type="continuationSeparator" w:id="0">
    <w:p w14:paraId="17DF5C57" w14:textId="77777777" w:rsidR="00A55985" w:rsidRDefault="00A55985" w:rsidP="00B70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F4B031" w14:textId="77777777" w:rsidR="00A55985" w:rsidRDefault="00A55985" w:rsidP="00B7062A">
      <w:pPr>
        <w:spacing w:after="0" w:line="240" w:lineRule="auto"/>
      </w:pPr>
      <w:r>
        <w:separator/>
      </w:r>
    </w:p>
  </w:footnote>
  <w:footnote w:type="continuationSeparator" w:id="0">
    <w:p w14:paraId="21AD91D8" w14:textId="77777777" w:rsidR="00A55985" w:rsidRDefault="00A55985" w:rsidP="00B706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4482E"/>
    <w:multiLevelType w:val="hybridMultilevel"/>
    <w:tmpl w:val="930A683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F35B0"/>
    <w:multiLevelType w:val="hybridMultilevel"/>
    <w:tmpl w:val="C20282D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65DF3"/>
    <w:multiLevelType w:val="hybridMultilevel"/>
    <w:tmpl w:val="9B82602C"/>
    <w:lvl w:ilvl="0" w:tplc="896EADC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919" w:hanging="360"/>
      </w:pPr>
    </w:lvl>
    <w:lvl w:ilvl="2" w:tplc="FD7E95C6">
      <w:start w:val="1"/>
      <w:numFmt w:val="lowerLetter"/>
      <w:lvlText w:val="%3."/>
      <w:lvlJc w:val="left"/>
      <w:pPr>
        <w:ind w:left="1210" w:hanging="360"/>
      </w:pPr>
      <w:rPr>
        <w:rFonts w:asciiTheme="minorHAnsi" w:eastAsiaTheme="minorHAnsi" w:hAnsiTheme="minorHAnsi" w:cstheme="minorHAnsi"/>
      </w:r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D105DE4"/>
    <w:multiLevelType w:val="hybridMultilevel"/>
    <w:tmpl w:val="F66E955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896EADCA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C2B64B3"/>
    <w:multiLevelType w:val="hybridMultilevel"/>
    <w:tmpl w:val="D890C396"/>
    <w:lvl w:ilvl="0" w:tplc="0C09000B">
      <w:start w:val="1"/>
      <w:numFmt w:val="bullet"/>
      <w:lvlText w:val=""/>
      <w:lvlJc w:val="left"/>
      <w:pPr>
        <w:ind w:left="121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5" w15:restartNumberingAfterBreak="0">
    <w:nsid w:val="4E194F12"/>
    <w:multiLevelType w:val="hybridMultilevel"/>
    <w:tmpl w:val="464C2852"/>
    <w:lvl w:ilvl="0" w:tplc="0C090017">
      <w:start w:val="1"/>
      <w:numFmt w:val="lowerLetter"/>
      <w:lvlText w:val="%1)"/>
      <w:lvlJc w:val="left"/>
      <w:pPr>
        <w:ind w:left="1440" w:hanging="360"/>
      </w:pPr>
    </w:lvl>
    <w:lvl w:ilvl="1" w:tplc="0C090019">
      <w:start w:val="1"/>
      <w:numFmt w:val="lowerLetter"/>
      <w:lvlText w:val="%2."/>
      <w:lvlJc w:val="left"/>
      <w:pPr>
        <w:ind w:left="785" w:hanging="360"/>
      </w:pPr>
    </w:lvl>
    <w:lvl w:ilvl="2" w:tplc="0C09001B" w:tentative="1">
      <w:start w:val="1"/>
      <w:numFmt w:val="lowerRoman"/>
      <w:lvlText w:val="%3."/>
      <w:lvlJc w:val="right"/>
      <w:pPr>
        <w:ind w:left="2880" w:hanging="180"/>
      </w:pPr>
    </w:lvl>
    <w:lvl w:ilvl="3" w:tplc="0C09000F" w:tentative="1">
      <w:start w:val="1"/>
      <w:numFmt w:val="decimal"/>
      <w:lvlText w:val="%4."/>
      <w:lvlJc w:val="left"/>
      <w:pPr>
        <w:ind w:left="3600" w:hanging="360"/>
      </w:pPr>
    </w:lvl>
    <w:lvl w:ilvl="4" w:tplc="0C090019" w:tentative="1">
      <w:start w:val="1"/>
      <w:numFmt w:val="lowerLetter"/>
      <w:lvlText w:val="%5."/>
      <w:lvlJc w:val="left"/>
      <w:pPr>
        <w:ind w:left="4320" w:hanging="360"/>
      </w:pPr>
    </w:lvl>
    <w:lvl w:ilvl="5" w:tplc="0C09001B" w:tentative="1">
      <w:start w:val="1"/>
      <w:numFmt w:val="lowerRoman"/>
      <w:lvlText w:val="%6."/>
      <w:lvlJc w:val="right"/>
      <w:pPr>
        <w:ind w:left="5040" w:hanging="180"/>
      </w:pPr>
    </w:lvl>
    <w:lvl w:ilvl="6" w:tplc="0C09000F" w:tentative="1">
      <w:start w:val="1"/>
      <w:numFmt w:val="decimal"/>
      <w:lvlText w:val="%7."/>
      <w:lvlJc w:val="left"/>
      <w:pPr>
        <w:ind w:left="5760" w:hanging="360"/>
      </w:pPr>
    </w:lvl>
    <w:lvl w:ilvl="7" w:tplc="0C090019" w:tentative="1">
      <w:start w:val="1"/>
      <w:numFmt w:val="lowerLetter"/>
      <w:lvlText w:val="%8."/>
      <w:lvlJc w:val="left"/>
      <w:pPr>
        <w:ind w:left="6480" w:hanging="360"/>
      </w:pPr>
    </w:lvl>
    <w:lvl w:ilvl="8" w:tplc="0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07A7E2C"/>
    <w:multiLevelType w:val="hybridMultilevel"/>
    <w:tmpl w:val="51104FA8"/>
    <w:lvl w:ilvl="0" w:tplc="4D565DC8">
      <w:start w:val="1"/>
      <w:numFmt w:val="lowerLetter"/>
      <w:lvlText w:val="%1."/>
      <w:lvlJc w:val="left"/>
      <w:pPr>
        <w:ind w:left="1068" w:hanging="360"/>
      </w:pPr>
      <w:rPr>
        <w:rFonts w:asciiTheme="minorHAnsi" w:eastAsiaTheme="minorHAnsi" w:hAnsiTheme="minorHAnsi" w:cstheme="minorHAnsi"/>
      </w:rPr>
    </w:lvl>
    <w:lvl w:ilvl="1" w:tplc="0C090019" w:tentative="1">
      <w:start w:val="1"/>
      <w:numFmt w:val="lowerLetter"/>
      <w:lvlText w:val="%2."/>
      <w:lvlJc w:val="left"/>
      <w:pPr>
        <w:ind w:left="1788" w:hanging="360"/>
      </w:pPr>
    </w:lvl>
    <w:lvl w:ilvl="2" w:tplc="0C09001B" w:tentative="1">
      <w:start w:val="1"/>
      <w:numFmt w:val="lowerRoman"/>
      <w:lvlText w:val="%3."/>
      <w:lvlJc w:val="right"/>
      <w:pPr>
        <w:ind w:left="2508" w:hanging="180"/>
      </w:pPr>
    </w:lvl>
    <w:lvl w:ilvl="3" w:tplc="0C09000F" w:tentative="1">
      <w:start w:val="1"/>
      <w:numFmt w:val="decimal"/>
      <w:lvlText w:val="%4."/>
      <w:lvlJc w:val="left"/>
      <w:pPr>
        <w:ind w:left="3228" w:hanging="360"/>
      </w:pPr>
    </w:lvl>
    <w:lvl w:ilvl="4" w:tplc="0C090019" w:tentative="1">
      <w:start w:val="1"/>
      <w:numFmt w:val="lowerLetter"/>
      <w:lvlText w:val="%5."/>
      <w:lvlJc w:val="left"/>
      <w:pPr>
        <w:ind w:left="3948" w:hanging="360"/>
      </w:pPr>
    </w:lvl>
    <w:lvl w:ilvl="5" w:tplc="0C09001B" w:tentative="1">
      <w:start w:val="1"/>
      <w:numFmt w:val="lowerRoman"/>
      <w:lvlText w:val="%6."/>
      <w:lvlJc w:val="right"/>
      <w:pPr>
        <w:ind w:left="4668" w:hanging="180"/>
      </w:pPr>
    </w:lvl>
    <w:lvl w:ilvl="6" w:tplc="0C09000F" w:tentative="1">
      <w:start w:val="1"/>
      <w:numFmt w:val="decimal"/>
      <w:lvlText w:val="%7."/>
      <w:lvlJc w:val="left"/>
      <w:pPr>
        <w:ind w:left="5388" w:hanging="360"/>
      </w:pPr>
    </w:lvl>
    <w:lvl w:ilvl="7" w:tplc="0C090019" w:tentative="1">
      <w:start w:val="1"/>
      <w:numFmt w:val="lowerLetter"/>
      <w:lvlText w:val="%8."/>
      <w:lvlJc w:val="left"/>
      <w:pPr>
        <w:ind w:left="6108" w:hanging="360"/>
      </w:pPr>
    </w:lvl>
    <w:lvl w:ilvl="8" w:tplc="0C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19704EB"/>
    <w:multiLevelType w:val="hybridMultilevel"/>
    <w:tmpl w:val="FA6A6D6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62A"/>
    <w:rsid w:val="00154078"/>
    <w:rsid w:val="001D03B1"/>
    <w:rsid w:val="0025717F"/>
    <w:rsid w:val="002576E8"/>
    <w:rsid w:val="002B06B8"/>
    <w:rsid w:val="0039769F"/>
    <w:rsid w:val="003D4F9A"/>
    <w:rsid w:val="004B42D2"/>
    <w:rsid w:val="004C4E85"/>
    <w:rsid w:val="00503DE4"/>
    <w:rsid w:val="005638E6"/>
    <w:rsid w:val="00592821"/>
    <w:rsid w:val="00805C9F"/>
    <w:rsid w:val="0096423E"/>
    <w:rsid w:val="00A55985"/>
    <w:rsid w:val="00B7062A"/>
    <w:rsid w:val="00C518CC"/>
    <w:rsid w:val="00CB46DF"/>
    <w:rsid w:val="00DD109B"/>
    <w:rsid w:val="00E93972"/>
    <w:rsid w:val="00F4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60551F"/>
  <w15:chartTrackingRefBased/>
  <w15:docId w15:val="{C1CFBE8C-9E35-417B-924C-768236658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06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397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06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B706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062A"/>
  </w:style>
  <w:style w:type="paragraph" w:styleId="Footer">
    <w:name w:val="footer"/>
    <w:basedOn w:val="Normal"/>
    <w:link w:val="FooterChar"/>
    <w:uiPriority w:val="99"/>
    <w:unhideWhenUsed/>
    <w:rsid w:val="00B706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062A"/>
  </w:style>
  <w:style w:type="character" w:customStyle="1" w:styleId="Heading2Char">
    <w:name w:val="Heading 2 Char"/>
    <w:basedOn w:val="DefaultParagraphFont"/>
    <w:link w:val="Heading2"/>
    <w:uiPriority w:val="9"/>
    <w:rsid w:val="00E9397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rsid w:val="00E939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9397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03DE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03DE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03DE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3D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3DE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3D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DE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3D4F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7B712D53B36D48BCE32BDB4FA9A016" ma:contentTypeVersion="13" ma:contentTypeDescription="Create a new document." ma:contentTypeScope="" ma:versionID="4ceed883e4f745fe8c61b00ff95cdcde">
  <xsd:schema xmlns:xsd="http://www.w3.org/2001/XMLSchema" xmlns:xs="http://www.w3.org/2001/XMLSchema" xmlns:p="http://schemas.microsoft.com/office/2006/metadata/properties" xmlns:ns3="a9bd224f-2ae5-48f0-a826-c434c4c214e9" xmlns:ns4="260a9b64-8bb2-4976-963a-800b916f6b65" targetNamespace="http://schemas.microsoft.com/office/2006/metadata/properties" ma:root="true" ma:fieldsID="2a48d4c28c73994c442f09e71c2717d8" ns3:_="" ns4:_="">
    <xsd:import namespace="a9bd224f-2ae5-48f0-a826-c434c4c214e9"/>
    <xsd:import namespace="260a9b64-8bb2-4976-963a-800b916f6b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d224f-2ae5-48f0-a826-c434c4c21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a9b64-8bb2-4976-963a-800b916f6b6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32F9840-3709-41EF-8AB1-F011C4EA51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bd224f-2ae5-48f0-a826-c434c4c214e9"/>
    <ds:schemaRef ds:uri="260a9b64-8bb2-4976-963a-800b916f6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FFB710-F5AE-4D94-A31A-0DF5B60882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384C65-047B-4582-847F-D3925E85CA7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Hatem</dc:creator>
  <cp:keywords/>
  <dc:description/>
  <cp:lastModifiedBy>Janet Long</cp:lastModifiedBy>
  <cp:revision>2</cp:revision>
  <dcterms:created xsi:type="dcterms:W3CDTF">2021-03-25T23:53:00Z</dcterms:created>
  <dcterms:modified xsi:type="dcterms:W3CDTF">2021-03-25T23:53:00Z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0x0101000B7B712D53B36D48BCE32BDB4FA9A016</vt:lpwstr>
  </property>
</Properties>
</file>