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016BF" w14:textId="77777777" w:rsidR="00730FF0" w:rsidRPr="00730FF0" w:rsidRDefault="00730FF0" w:rsidP="00A8290E">
      <w:pPr>
        <w:spacing w:after="0" w:line="240" w:lineRule="auto"/>
        <w:rPr>
          <w:rFonts w:ascii="Century Gothic" w:eastAsiaTheme="minorEastAsia" w:hAnsi="Century Gothic" w:cs="Century Gothic"/>
          <w:b/>
          <w:bCs/>
          <w:color w:val="1F497D"/>
          <w:sz w:val="28"/>
          <w:szCs w:val="28"/>
          <w:lang w:val="en-GB" w:eastAsia="en-GB"/>
        </w:rPr>
      </w:pPr>
      <w:r w:rsidRPr="00730FF0">
        <w:rPr>
          <w:rFonts w:ascii="Century Gothic" w:eastAsiaTheme="minorEastAsia" w:hAnsi="Century Gothic" w:cs="Century Gothic"/>
          <w:b/>
          <w:bCs/>
          <w:color w:val="1F497D"/>
          <w:sz w:val="28"/>
          <w:szCs w:val="28"/>
          <w:lang w:val="en-GB" w:eastAsia="en-GB"/>
        </w:rPr>
        <w:t>Standardized Assessments and Outcome Measures</w:t>
      </w: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4644"/>
        <w:gridCol w:w="2430"/>
      </w:tblGrid>
      <w:tr w:rsidR="00730FF0" w:rsidRPr="00FB6ECB" w14:paraId="489C7A70" w14:textId="77777777" w:rsidTr="00730FF0">
        <w:trPr>
          <w:trHeight w:val="290"/>
        </w:trPr>
        <w:tc>
          <w:tcPr>
            <w:tcW w:w="9229" w:type="dxa"/>
            <w:gridSpan w:val="3"/>
            <w:shd w:val="clear" w:color="000000" w:fill="BDD7EE"/>
            <w:noWrap/>
            <w:vAlign w:val="center"/>
            <w:hideMark/>
          </w:tcPr>
          <w:p w14:paraId="0F158BAF" w14:textId="77777777" w:rsidR="00730FF0" w:rsidRPr="00FB6ECB" w:rsidRDefault="00730FF0" w:rsidP="00C069F5">
            <w:pPr>
              <w:spacing w:after="0" w:line="240" w:lineRule="auto"/>
              <w:jc w:val="center"/>
              <w:rPr>
                <w:rFonts w:ascii="Calibri" w:eastAsia="Times New Roman" w:hAnsi="Calibri" w:cs="Calibri"/>
                <w:color w:val="000000"/>
              </w:rPr>
            </w:pPr>
            <w:r w:rsidRPr="00FB6ECB">
              <w:rPr>
                <w:rFonts w:ascii="Calibri" w:eastAsia="Times New Roman" w:hAnsi="Calibri" w:cs="Calibri"/>
                <w:color w:val="000000"/>
              </w:rPr>
              <w:t>Standardized Assessments and Outcome Measures</w:t>
            </w:r>
          </w:p>
        </w:tc>
      </w:tr>
      <w:tr w:rsidR="00730FF0" w:rsidRPr="00FB6ECB" w14:paraId="10434729" w14:textId="77777777" w:rsidTr="00730FF0">
        <w:trPr>
          <w:trHeight w:val="290"/>
        </w:trPr>
        <w:tc>
          <w:tcPr>
            <w:tcW w:w="2155" w:type="dxa"/>
            <w:shd w:val="clear" w:color="000000" w:fill="D9D9D9"/>
            <w:noWrap/>
            <w:vAlign w:val="center"/>
            <w:hideMark/>
          </w:tcPr>
          <w:p w14:paraId="3611E791" w14:textId="77777777" w:rsidR="00730FF0" w:rsidRPr="00FB6ECB" w:rsidRDefault="00730FF0" w:rsidP="00C069F5">
            <w:pPr>
              <w:spacing w:after="0" w:line="240" w:lineRule="auto"/>
              <w:jc w:val="center"/>
              <w:rPr>
                <w:rFonts w:ascii="Calibri" w:eastAsia="Times New Roman" w:hAnsi="Calibri" w:cs="Calibri"/>
                <w:color w:val="000000"/>
              </w:rPr>
            </w:pPr>
            <w:r w:rsidRPr="00FB6ECB">
              <w:rPr>
                <w:rFonts w:ascii="Calibri" w:eastAsia="Times New Roman" w:hAnsi="Calibri" w:cs="Calibri"/>
                <w:color w:val="000000"/>
              </w:rPr>
              <w:t xml:space="preserve">Name </w:t>
            </w:r>
          </w:p>
        </w:tc>
        <w:tc>
          <w:tcPr>
            <w:tcW w:w="4644" w:type="dxa"/>
            <w:shd w:val="clear" w:color="000000" w:fill="D9D9D9"/>
            <w:noWrap/>
            <w:vAlign w:val="center"/>
            <w:hideMark/>
          </w:tcPr>
          <w:p w14:paraId="67ED6716" w14:textId="77777777" w:rsidR="00730FF0" w:rsidRPr="00FB6ECB" w:rsidRDefault="00730FF0" w:rsidP="00C069F5">
            <w:pPr>
              <w:spacing w:after="0" w:line="240" w:lineRule="auto"/>
              <w:jc w:val="center"/>
              <w:rPr>
                <w:rFonts w:ascii="Calibri" w:eastAsia="Times New Roman" w:hAnsi="Calibri" w:cs="Calibri"/>
                <w:color w:val="000000"/>
              </w:rPr>
            </w:pPr>
            <w:r w:rsidRPr="00FB6ECB">
              <w:rPr>
                <w:rFonts w:ascii="Calibri" w:eastAsia="Times New Roman" w:hAnsi="Calibri" w:cs="Calibri"/>
                <w:color w:val="000000"/>
              </w:rPr>
              <w:t xml:space="preserve">Description </w:t>
            </w:r>
          </w:p>
        </w:tc>
        <w:tc>
          <w:tcPr>
            <w:tcW w:w="2430" w:type="dxa"/>
            <w:shd w:val="clear" w:color="000000" w:fill="D9D9D9"/>
            <w:noWrap/>
            <w:vAlign w:val="center"/>
            <w:hideMark/>
          </w:tcPr>
          <w:p w14:paraId="1998A6CA" w14:textId="77777777" w:rsidR="00730FF0" w:rsidRPr="00FB6ECB" w:rsidRDefault="00730FF0" w:rsidP="00C069F5">
            <w:pPr>
              <w:spacing w:after="0" w:line="240" w:lineRule="auto"/>
              <w:jc w:val="center"/>
              <w:rPr>
                <w:rFonts w:ascii="Calibri" w:eastAsia="Times New Roman" w:hAnsi="Calibri" w:cs="Calibri"/>
                <w:color w:val="000000"/>
              </w:rPr>
            </w:pPr>
            <w:r w:rsidRPr="00FB6ECB">
              <w:rPr>
                <w:rFonts w:ascii="Calibri" w:eastAsia="Times New Roman" w:hAnsi="Calibri" w:cs="Calibri"/>
                <w:color w:val="000000"/>
              </w:rPr>
              <w:t xml:space="preserve">Age Range </w:t>
            </w:r>
          </w:p>
        </w:tc>
      </w:tr>
      <w:tr w:rsidR="00730FF0" w:rsidRPr="004935F2" w14:paraId="7CC7176B" w14:textId="77777777" w:rsidTr="00730FF0">
        <w:trPr>
          <w:trHeight w:val="2030"/>
        </w:trPr>
        <w:tc>
          <w:tcPr>
            <w:tcW w:w="2155" w:type="dxa"/>
            <w:shd w:val="clear" w:color="auto" w:fill="auto"/>
            <w:noWrap/>
            <w:vAlign w:val="center"/>
            <w:hideMark/>
          </w:tcPr>
          <w:p w14:paraId="000DB715" w14:textId="77777777" w:rsidR="00730FF0" w:rsidRPr="00374D67" w:rsidRDefault="00730FF0" w:rsidP="00C069F5">
            <w:pPr>
              <w:spacing w:after="0" w:line="240" w:lineRule="auto"/>
              <w:rPr>
                <w:rFonts w:eastAsia="Times New Roman" w:cstheme="minorHAnsi"/>
                <w:b/>
                <w:bCs/>
                <w:color w:val="000000"/>
              </w:rPr>
            </w:pPr>
            <w:r w:rsidRPr="00374D67">
              <w:rPr>
                <w:rFonts w:eastAsia="Times New Roman" w:cstheme="minorHAnsi"/>
                <w:b/>
                <w:bCs/>
                <w:color w:val="000000"/>
              </w:rPr>
              <w:t>The Alberta Infant Motor Scale (AIMS)</w:t>
            </w:r>
          </w:p>
        </w:tc>
        <w:tc>
          <w:tcPr>
            <w:tcW w:w="4644" w:type="dxa"/>
            <w:shd w:val="clear" w:color="auto" w:fill="auto"/>
            <w:hideMark/>
          </w:tcPr>
          <w:p w14:paraId="2935432C" w14:textId="591E3A45"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 xml:space="preserve">Observational assessment scale constructed to measure gross motor maturation in infants from birth through independent walking. Motor skills are tested by observing the infant as they move into and out of four positions. Each item describes three aspects of motor performance: weight-bearing, posture, and antigravity movements. The AIMS </w:t>
            </w:r>
            <w:proofErr w:type="gramStart"/>
            <w:r w:rsidRPr="00374D67">
              <w:rPr>
                <w:rFonts w:eastAsia="Times New Roman" w:cstheme="minorHAnsi"/>
                <w:color w:val="000000"/>
              </w:rPr>
              <w:t>provides</w:t>
            </w:r>
            <w:proofErr w:type="gramEnd"/>
            <w:r w:rsidRPr="00374D67">
              <w:rPr>
                <w:rFonts w:eastAsia="Times New Roman" w:cstheme="minorHAnsi"/>
                <w:color w:val="000000"/>
              </w:rPr>
              <w:t xml:space="preserve"> information about the infant’s current motor function and may assist in identifying missing components of motor tasks and formulating intervention strategies</w:t>
            </w:r>
            <w:r>
              <w:rPr>
                <w:rFonts w:eastAsia="Times New Roman" w:cstheme="minorHAnsi"/>
                <w:color w:val="000000"/>
              </w:rPr>
              <w:t xml:space="preserve"> [2</w:t>
            </w:r>
            <w:r w:rsidR="00F8156A">
              <w:rPr>
                <w:rFonts w:eastAsia="Times New Roman" w:cstheme="minorHAnsi"/>
                <w:color w:val="000000"/>
              </w:rPr>
              <w:t>7</w:t>
            </w:r>
            <w:r>
              <w:rPr>
                <w:rFonts w:eastAsia="Times New Roman" w:cstheme="minorHAnsi"/>
                <w:color w:val="000000"/>
              </w:rPr>
              <w:t>-2</w:t>
            </w:r>
            <w:r w:rsidR="00F8156A">
              <w:rPr>
                <w:rFonts w:eastAsia="Times New Roman" w:cstheme="minorHAnsi"/>
                <w:color w:val="000000"/>
              </w:rPr>
              <w:t>8</w:t>
            </w:r>
            <w:r>
              <w:rPr>
                <w:rFonts w:eastAsia="Times New Roman" w:cstheme="minorHAnsi"/>
                <w:color w:val="000000"/>
              </w:rPr>
              <w:t>].</w:t>
            </w:r>
          </w:p>
        </w:tc>
        <w:tc>
          <w:tcPr>
            <w:tcW w:w="2430" w:type="dxa"/>
            <w:shd w:val="clear" w:color="auto" w:fill="auto"/>
            <w:noWrap/>
            <w:hideMark/>
          </w:tcPr>
          <w:p w14:paraId="7B5EBEB5" w14:textId="77777777"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0 -18 months</w:t>
            </w:r>
          </w:p>
        </w:tc>
      </w:tr>
      <w:tr w:rsidR="00730FF0" w:rsidRPr="004935F2" w14:paraId="3C024319" w14:textId="77777777" w:rsidTr="00730FF0">
        <w:trPr>
          <w:trHeight w:val="2030"/>
        </w:trPr>
        <w:tc>
          <w:tcPr>
            <w:tcW w:w="2155" w:type="dxa"/>
            <w:shd w:val="clear" w:color="auto" w:fill="auto"/>
            <w:vAlign w:val="center"/>
            <w:hideMark/>
          </w:tcPr>
          <w:p w14:paraId="7CDA52D6" w14:textId="77777777" w:rsidR="00730FF0" w:rsidRPr="00374D67" w:rsidRDefault="00730FF0" w:rsidP="00C069F5">
            <w:pPr>
              <w:spacing w:after="0" w:line="240" w:lineRule="auto"/>
              <w:rPr>
                <w:rFonts w:eastAsia="Times New Roman" w:cstheme="minorHAnsi"/>
                <w:b/>
                <w:bCs/>
                <w:color w:val="000000"/>
              </w:rPr>
            </w:pPr>
            <w:r w:rsidRPr="00374D67">
              <w:rPr>
                <w:rFonts w:eastAsia="Times New Roman" w:cstheme="minorHAnsi"/>
                <w:b/>
                <w:bCs/>
                <w:color w:val="000000"/>
              </w:rPr>
              <w:t>Peabody Developmental Motor Scale- 2 (PDMS-2)</w:t>
            </w:r>
            <w:r w:rsidRPr="00374D67">
              <w:rPr>
                <w:rFonts w:eastAsia="Times New Roman" w:cstheme="minorHAnsi"/>
                <w:color w:val="000000"/>
              </w:rPr>
              <w:t xml:space="preserve"> </w:t>
            </w:r>
          </w:p>
        </w:tc>
        <w:tc>
          <w:tcPr>
            <w:tcW w:w="4644" w:type="dxa"/>
            <w:shd w:val="clear" w:color="auto" w:fill="auto"/>
            <w:hideMark/>
          </w:tcPr>
          <w:p w14:paraId="5EA8DC64" w14:textId="733290FC"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The PDMS-2 measures interrelated motor abilities that develop early in life and is designed to assess the motor skills of children from birth through 5 years of age. The Gross Motor Quotient (GMQ) is a numeric representation of a child’s overall performance on three of four subtests (reflexes, stationary, locomotion, and object manipulation) that measure the use of the larger muscle systems. The following subtests form this composite score: Reflexes, Stationary, Locomotion and Object Manipulation</w:t>
            </w:r>
            <w:r>
              <w:rPr>
                <w:rFonts w:eastAsia="Times New Roman" w:cstheme="minorHAnsi"/>
                <w:color w:val="000000"/>
              </w:rPr>
              <w:t xml:space="preserve"> [2</w:t>
            </w:r>
            <w:r w:rsidR="00F8156A">
              <w:rPr>
                <w:rFonts w:eastAsia="Times New Roman" w:cstheme="minorHAnsi"/>
                <w:color w:val="000000"/>
              </w:rPr>
              <w:t>9</w:t>
            </w:r>
            <w:r>
              <w:rPr>
                <w:rFonts w:eastAsia="Times New Roman" w:cstheme="minorHAnsi"/>
                <w:color w:val="000000"/>
              </w:rPr>
              <w:t>].</w:t>
            </w:r>
          </w:p>
        </w:tc>
        <w:tc>
          <w:tcPr>
            <w:tcW w:w="2430" w:type="dxa"/>
            <w:shd w:val="clear" w:color="auto" w:fill="auto"/>
            <w:hideMark/>
          </w:tcPr>
          <w:p w14:paraId="0F1BE3E3" w14:textId="77777777"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Birth - 5 years old</w:t>
            </w:r>
          </w:p>
        </w:tc>
      </w:tr>
      <w:tr w:rsidR="00730FF0" w:rsidRPr="004935F2" w14:paraId="64A1E6B6" w14:textId="77777777" w:rsidTr="00730FF0">
        <w:trPr>
          <w:trHeight w:val="1450"/>
        </w:trPr>
        <w:tc>
          <w:tcPr>
            <w:tcW w:w="2155" w:type="dxa"/>
            <w:shd w:val="clear" w:color="auto" w:fill="auto"/>
            <w:vAlign w:val="center"/>
            <w:hideMark/>
          </w:tcPr>
          <w:p w14:paraId="3DD4E26F" w14:textId="77777777" w:rsidR="00730FF0" w:rsidRPr="00374D67" w:rsidRDefault="00730FF0" w:rsidP="00C069F5">
            <w:pPr>
              <w:spacing w:after="0" w:line="240" w:lineRule="auto"/>
              <w:rPr>
                <w:rFonts w:eastAsia="Times New Roman" w:cstheme="minorHAnsi"/>
                <w:b/>
                <w:bCs/>
                <w:color w:val="000000"/>
              </w:rPr>
            </w:pPr>
            <w:proofErr w:type="spellStart"/>
            <w:r w:rsidRPr="00374D67">
              <w:rPr>
                <w:rFonts w:eastAsia="Times New Roman" w:cstheme="minorHAnsi"/>
                <w:b/>
                <w:bCs/>
                <w:color w:val="000000"/>
              </w:rPr>
              <w:t>Bruininks-Oseretsky</w:t>
            </w:r>
            <w:proofErr w:type="spellEnd"/>
            <w:r w:rsidRPr="00374D67">
              <w:rPr>
                <w:rFonts w:eastAsia="Times New Roman" w:cstheme="minorHAnsi"/>
                <w:b/>
                <w:bCs/>
                <w:color w:val="000000"/>
              </w:rPr>
              <w:t xml:space="preserve"> Test of Motor Proficiency (BOT-2) </w:t>
            </w:r>
          </w:p>
        </w:tc>
        <w:tc>
          <w:tcPr>
            <w:tcW w:w="4644" w:type="dxa"/>
            <w:shd w:val="clear" w:color="auto" w:fill="auto"/>
            <w:hideMark/>
          </w:tcPr>
          <w:p w14:paraId="2AFF99B0" w14:textId="3BB50853"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The BOT-2 is a standardized, norm-referenced measure of fine and gross motor skills of children and youth, 4 through 21 years of age. For gross motor skills, only two sections are administered including body coordination with subsections of bilateral coordination and balance, and strength and agility with subsections of running speed and agility and strength</w:t>
            </w:r>
            <w:r>
              <w:rPr>
                <w:rFonts w:eastAsia="Times New Roman" w:cstheme="minorHAnsi"/>
                <w:color w:val="000000"/>
              </w:rPr>
              <w:t xml:space="preserve"> [2</w:t>
            </w:r>
            <w:r w:rsidR="00F8156A">
              <w:rPr>
                <w:rFonts w:eastAsia="Times New Roman" w:cstheme="minorHAnsi"/>
                <w:color w:val="000000"/>
              </w:rPr>
              <w:t>9</w:t>
            </w:r>
            <w:r>
              <w:rPr>
                <w:rFonts w:eastAsia="Times New Roman" w:cstheme="minorHAnsi"/>
                <w:color w:val="000000"/>
              </w:rPr>
              <w:t>].</w:t>
            </w:r>
          </w:p>
        </w:tc>
        <w:tc>
          <w:tcPr>
            <w:tcW w:w="2430" w:type="dxa"/>
            <w:shd w:val="clear" w:color="auto" w:fill="auto"/>
            <w:noWrap/>
            <w:hideMark/>
          </w:tcPr>
          <w:p w14:paraId="2AB7B4DA" w14:textId="77777777"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4 years to 21 years old</w:t>
            </w:r>
          </w:p>
        </w:tc>
      </w:tr>
      <w:tr w:rsidR="00730FF0" w:rsidRPr="004935F2" w14:paraId="1D6C199C" w14:textId="77777777" w:rsidTr="00730FF0">
        <w:trPr>
          <w:trHeight w:val="1160"/>
        </w:trPr>
        <w:tc>
          <w:tcPr>
            <w:tcW w:w="2155" w:type="dxa"/>
            <w:shd w:val="clear" w:color="auto" w:fill="auto"/>
            <w:noWrap/>
            <w:vAlign w:val="center"/>
            <w:hideMark/>
          </w:tcPr>
          <w:p w14:paraId="321CB3F4" w14:textId="77777777" w:rsidR="00730FF0" w:rsidRPr="00374D67" w:rsidRDefault="00730FF0" w:rsidP="00C069F5">
            <w:pPr>
              <w:spacing w:after="0" w:line="240" w:lineRule="auto"/>
              <w:rPr>
                <w:rFonts w:eastAsia="Times New Roman" w:cstheme="minorHAnsi"/>
                <w:b/>
                <w:bCs/>
                <w:color w:val="000000"/>
              </w:rPr>
            </w:pPr>
            <w:r w:rsidRPr="00374D67">
              <w:rPr>
                <w:rFonts w:eastAsia="Times New Roman" w:cstheme="minorHAnsi"/>
                <w:b/>
                <w:bCs/>
                <w:color w:val="000000"/>
              </w:rPr>
              <w:t>Dynamic Gait Index (DGI)</w:t>
            </w:r>
          </w:p>
        </w:tc>
        <w:tc>
          <w:tcPr>
            <w:tcW w:w="4644" w:type="dxa"/>
            <w:shd w:val="clear" w:color="auto" w:fill="auto"/>
            <w:hideMark/>
          </w:tcPr>
          <w:p w14:paraId="12305755" w14:textId="501D8870"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Developed as a clinical tool to assess gait, balance and fall risk. It evaluates not only usual steady-state walking, but also walking during more challenging tasks. It assesses the individual</w:t>
            </w:r>
            <w:r>
              <w:rPr>
                <w:rFonts w:eastAsia="Times New Roman" w:cstheme="minorHAnsi"/>
                <w:color w:val="000000"/>
              </w:rPr>
              <w:t>’</w:t>
            </w:r>
            <w:r w:rsidRPr="00374D67">
              <w:rPr>
                <w:rFonts w:eastAsia="Times New Roman" w:cstheme="minorHAnsi"/>
                <w:color w:val="000000"/>
              </w:rPr>
              <w:t>s ability to modify balance while walking in presence of external demands</w:t>
            </w:r>
            <w:r>
              <w:rPr>
                <w:rFonts w:eastAsia="Times New Roman" w:cstheme="minorHAnsi"/>
                <w:color w:val="000000"/>
              </w:rPr>
              <w:t xml:space="preserve"> [</w:t>
            </w:r>
            <w:r w:rsidR="00F8156A">
              <w:rPr>
                <w:rFonts w:eastAsia="Times New Roman" w:cstheme="minorHAnsi"/>
                <w:color w:val="000000"/>
              </w:rPr>
              <w:t>30</w:t>
            </w:r>
            <w:r>
              <w:rPr>
                <w:rFonts w:eastAsia="Times New Roman" w:cstheme="minorHAnsi"/>
                <w:color w:val="000000"/>
              </w:rPr>
              <w:t>]</w:t>
            </w:r>
            <w:r w:rsidRPr="00374D67">
              <w:rPr>
                <w:rFonts w:eastAsia="Times New Roman" w:cstheme="minorHAnsi"/>
                <w:color w:val="000000"/>
              </w:rPr>
              <w:t>.</w:t>
            </w:r>
          </w:p>
        </w:tc>
        <w:tc>
          <w:tcPr>
            <w:tcW w:w="2430" w:type="dxa"/>
            <w:shd w:val="clear" w:color="auto" w:fill="auto"/>
            <w:noWrap/>
            <w:hideMark/>
          </w:tcPr>
          <w:p w14:paraId="63931A7D" w14:textId="77777777"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All</w:t>
            </w:r>
          </w:p>
        </w:tc>
      </w:tr>
      <w:tr w:rsidR="00730FF0" w:rsidRPr="004935F2" w14:paraId="7C5F1759" w14:textId="77777777" w:rsidTr="00730FF0">
        <w:trPr>
          <w:trHeight w:val="1160"/>
        </w:trPr>
        <w:tc>
          <w:tcPr>
            <w:tcW w:w="2155" w:type="dxa"/>
            <w:shd w:val="clear" w:color="auto" w:fill="auto"/>
            <w:noWrap/>
            <w:vAlign w:val="center"/>
            <w:hideMark/>
          </w:tcPr>
          <w:p w14:paraId="571F343C" w14:textId="77777777" w:rsidR="00730FF0" w:rsidRPr="00374D67" w:rsidRDefault="00730FF0" w:rsidP="00C069F5">
            <w:pPr>
              <w:spacing w:after="0" w:line="240" w:lineRule="auto"/>
              <w:rPr>
                <w:rFonts w:eastAsia="Times New Roman" w:cstheme="minorHAnsi"/>
                <w:b/>
                <w:bCs/>
                <w:color w:val="000000"/>
              </w:rPr>
            </w:pPr>
            <w:r w:rsidRPr="00374D67">
              <w:rPr>
                <w:rFonts w:eastAsia="Times New Roman" w:cstheme="minorHAnsi"/>
                <w:b/>
                <w:bCs/>
                <w:color w:val="000000"/>
              </w:rPr>
              <w:t xml:space="preserve">Pediatric Balance Scale </w:t>
            </w:r>
          </w:p>
        </w:tc>
        <w:tc>
          <w:tcPr>
            <w:tcW w:w="4644" w:type="dxa"/>
            <w:shd w:val="clear" w:color="auto" w:fill="auto"/>
            <w:hideMark/>
          </w:tcPr>
          <w:p w14:paraId="6323D556" w14:textId="06A2B911"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Modified version of the Berg Balance Scale that is used to assess functional balance skills in school-aged children. The scale consists of 14 items that are scored from 0 points (lowest function) to 4 points (highest function) with a maximum score of 56 points</w:t>
            </w:r>
            <w:r>
              <w:rPr>
                <w:rFonts w:eastAsia="Times New Roman" w:cstheme="minorHAnsi"/>
                <w:color w:val="000000"/>
              </w:rPr>
              <w:t xml:space="preserve"> [3</w:t>
            </w:r>
            <w:r w:rsidR="00F8156A">
              <w:rPr>
                <w:rFonts w:eastAsia="Times New Roman" w:cstheme="minorHAnsi"/>
                <w:color w:val="000000"/>
              </w:rPr>
              <w:t>1</w:t>
            </w:r>
            <w:r>
              <w:rPr>
                <w:rFonts w:eastAsia="Times New Roman" w:cstheme="minorHAnsi"/>
                <w:color w:val="000000"/>
              </w:rPr>
              <w:t>]</w:t>
            </w:r>
            <w:r w:rsidRPr="00374D67">
              <w:rPr>
                <w:rFonts w:eastAsia="Times New Roman" w:cstheme="minorHAnsi"/>
                <w:color w:val="000000"/>
              </w:rPr>
              <w:t>.</w:t>
            </w:r>
          </w:p>
        </w:tc>
        <w:tc>
          <w:tcPr>
            <w:tcW w:w="2430" w:type="dxa"/>
            <w:shd w:val="clear" w:color="auto" w:fill="auto"/>
            <w:hideMark/>
          </w:tcPr>
          <w:p w14:paraId="70BC2186" w14:textId="77777777" w:rsidR="00730FF0" w:rsidRPr="00374D67" w:rsidRDefault="00730FF0" w:rsidP="00C069F5">
            <w:pPr>
              <w:spacing w:after="0" w:line="240" w:lineRule="auto"/>
              <w:rPr>
                <w:rFonts w:eastAsia="Times New Roman" w:cstheme="minorHAnsi"/>
                <w:color w:val="000000"/>
              </w:rPr>
            </w:pPr>
            <w:r w:rsidRPr="00374D67">
              <w:rPr>
                <w:rFonts w:eastAsia="Times New Roman" w:cstheme="minorHAnsi"/>
                <w:color w:val="000000"/>
              </w:rPr>
              <w:t>School Aged Children</w:t>
            </w:r>
          </w:p>
        </w:tc>
      </w:tr>
    </w:tbl>
    <w:p w14:paraId="670FB355" w14:textId="253DEA65" w:rsidR="008D63F8" w:rsidRDefault="00730FF0" w:rsidP="00A8290E">
      <w:pPr>
        <w:spacing w:after="0" w:line="240" w:lineRule="auto"/>
        <w:jc w:val="both"/>
      </w:pPr>
      <w:r w:rsidRPr="00A8290E">
        <w:rPr>
          <w:rFonts w:cstheme="minorHAnsi"/>
          <w:b/>
          <w:sz w:val="16"/>
          <w:szCs w:val="16"/>
        </w:rPr>
        <w:t>References for this section</w:t>
      </w:r>
      <w:r w:rsidR="00A8290E">
        <w:rPr>
          <w:rFonts w:cstheme="minorHAnsi"/>
          <w:b/>
          <w:sz w:val="16"/>
          <w:szCs w:val="16"/>
        </w:rPr>
        <w:t xml:space="preserve">: </w:t>
      </w:r>
      <w:r w:rsidRPr="00A8290E">
        <w:rPr>
          <w:rFonts w:ascii="Calibri" w:hAnsi="Calibri" w:cs="Calibri"/>
          <w:color w:val="131413"/>
          <w:sz w:val="16"/>
          <w:szCs w:val="16"/>
        </w:rPr>
        <w:t>2</w:t>
      </w:r>
      <w:r w:rsidR="00F8156A">
        <w:rPr>
          <w:rFonts w:ascii="Calibri" w:hAnsi="Calibri" w:cs="Calibri"/>
          <w:color w:val="131413"/>
          <w:sz w:val="16"/>
          <w:szCs w:val="16"/>
        </w:rPr>
        <w:t>7</w:t>
      </w:r>
      <w:r w:rsidRPr="00A8290E">
        <w:rPr>
          <w:rFonts w:ascii="Calibri" w:hAnsi="Calibri" w:cs="Calibri"/>
          <w:color w:val="131413"/>
          <w:sz w:val="16"/>
          <w:szCs w:val="16"/>
        </w:rPr>
        <w:t xml:space="preserve">. </w:t>
      </w:r>
      <w:r w:rsidRPr="00A8290E">
        <w:rPr>
          <w:rFonts w:ascii="Calibri" w:hAnsi="Calibri" w:cs="Calibri"/>
          <w:sz w:val="16"/>
          <w:szCs w:val="16"/>
        </w:rPr>
        <w:t>Darrah J, Piper M, Watt M-J. Assessment of gross motor skills of at-risk infants: predictive validity of the Alberta Infant Motor Scale. Dev Med Child Neurol. 1998; 40:485-491.</w:t>
      </w:r>
      <w:r w:rsidR="00A8290E">
        <w:rPr>
          <w:rFonts w:ascii="Calibri" w:hAnsi="Calibri" w:cs="Calibri"/>
          <w:sz w:val="16"/>
          <w:szCs w:val="16"/>
        </w:rPr>
        <w:t xml:space="preserve"> </w:t>
      </w:r>
      <w:r w:rsidRPr="00A8290E">
        <w:rPr>
          <w:rFonts w:ascii="Calibri" w:hAnsi="Calibri" w:cs="Calibri"/>
          <w:color w:val="131413"/>
          <w:sz w:val="16"/>
          <w:szCs w:val="16"/>
        </w:rPr>
        <w:t>2</w:t>
      </w:r>
      <w:r w:rsidR="00F8156A">
        <w:rPr>
          <w:rFonts w:ascii="Calibri" w:hAnsi="Calibri" w:cs="Calibri"/>
          <w:color w:val="131413"/>
          <w:sz w:val="16"/>
          <w:szCs w:val="16"/>
        </w:rPr>
        <w:t>8</w:t>
      </w:r>
      <w:r w:rsidRPr="00A8290E">
        <w:rPr>
          <w:rFonts w:ascii="Calibri" w:hAnsi="Calibri" w:cs="Calibri"/>
          <w:color w:val="131413"/>
          <w:sz w:val="16"/>
          <w:szCs w:val="16"/>
        </w:rPr>
        <w:t xml:space="preserve">. </w:t>
      </w:r>
      <w:r w:rsidRPr="00A8290E">
        <w:rPr>
          <w:rFonts w:ascii="Calibri" w:hAnsi="Calibri" w:cs="Calibri"/>
          <w:sz w:val="16"/>
          <w:szCs w:val="16"/>
        </w:rPr>
        <w:t xml:space="preserve">Song YH, Chang HJ, Shin YB, Park YS, Park YH, Cho ES. The validity of two neuromotor assessments for predicting motor performance at 12 months in preterm infants. Ann </w:t>
      </w:r>
      <w:proofErr w:type="spellStart"/>
      <w:r w:rsidRPr="00A8290E">
        <w:rPr>
          <w:rFonts w:ascii="Calibri" w:hAnsi="Calibri" w:cs="Calibri"/>
          <w:sz w:val="16"/>
          <w:szCs w:val="16"/>
        </w:rPr>
        <w:t>Rehabil</w:t>
      </w:r>
      <w:proofErr w:type="spellEnd"/>
      <w:r w:rsidRPr="00A8290E">
        <w:rPr>
          <w:rFonts w:ascii="Calibri" w:hAnsi="Calibri" w:cs="Calibri"/>
          <w:sz w:val="16"/>
          <w:szCs w:val="16"/>
        </w:rPr>
        <w:t xml:space="preserve"> Med. 2018; 42: 296-304.</w:t>
      </w:r>
      <w:r w:rsidR="00A8290E">
        <w:rPr>
          <w:rFonts w:ascii="Calibri" w:hAnsi="Calibri" w:cs="Calibri"/>
          <w:sz w:val="16"/>
          <w:szCs w:val="16"/>
        </w:rPr>
        <w:t xml:space="preserve"> </w:t>
      </w:r>
      <w:r w:rsidRPr="00A8290E">
        <w:rPr>
          <w:rFonts w:ascii="Calibri" w:hAnsi="Calibri" w:cs="Calibri"/>
          <w:sz w:val="16"/>
          <w:szCs w:val="16"/>
        </w:rPr>
        <w:t>2</w:t>
      </w:r>
      <w:r w:rsidR="00F8156A">
        <w:rPr>
          <w:rFonts w:ascii="Calibri" w:hAnsi="Calibri" w:cs="Calibri"/>
          <w:sz w:val="16"/>
          <w:szCs w:val="16"/>
        </w:rPr>
        <w:t>9</w:t>
      </w:r>
      <w:r w:rsidRPr="00A8290E">
        <w:rPr>
          <w:rFonts w:ascii="Calibri" w:hAnsi="Calibri" w:cs="Calibri"/>
          <w:sz w:val="16"/>
          <w:szCs w:val="16"/>
        </w:rPr>
        <w:t xml:space="preserve">. Griffiths A, </w:t>
      </w:r>
      <w:proofErr w:type="spellStart"/>
      <w:r w:rsidRPr="00A8290E">
        <w:rPr>
          <w:rFonts w:ascii="Calibri" w:hAnsi="Calibri" w:cs="Calibri"/>
          <w:sz w:val="16"/>
          <w:szCs w:val="16"/>
        </w:rPr>
        <w:t>Toovey</w:t>
      </w:r>
      <w:proofErr w:type="spellEnd"/>
      <w:r w:rsidRPr="00A8290E">
        <w:rPr>
          <w:rFonts w:ascii="Calibri" w:hAnsi="Calibri" w:cs="Calibri"/>
          <w:sz w:val="16"/>
          <w:szCs w:val="16"/>
        </w:rPr>
        <w:t xml:space="preserve"> R, Morgan PE, et al. Psychometric properties of gross motor assessment tools for children: a systematic review BMJ Open. 2018;8.</w:t>
      </w:r>
      <w:r w:rsidR="00A8290E">
        <w:rPr>
          <w:rFonts w:ascii="Calibri" w:hAnsi="Calibri" w:cs="Calibri"/>
          <w:sz w:val="16"/>
          <w:szCs w:val="16"/>
        </w:rPr>
        <w:t xml:space="preserve"> </w:t>
      </w:r>
      <w:r w:rsidR="00F8156A">
        <w:rPr>
          <w:rFonts w:ascii="Calibri" w:hAnsi="Calibri" w:cs="Calibri"/>
          <w:sz w:val="16"/>
          <w:szCs w:val="16"/>
        </w:rPr>
        <w:t>30</w:t>
      </w:r>
      <w:r w:rsidRPr="00A8290E">
        <w:rPr>
          <w:rFonts w:ascii="Calibri" w:hAnsi="Calibri" w:cs="Calibri"/>
          <w:sz w:val="16"/>
          <w:szCs w:val="16"/>
        </w:rPr>
        <w:t xml:space="preserve">. Anne Shumway-Cook, Catherine S. Taylor, Patricia Noritake Matsuda, Michael T. Studer, Brady K. Whetten, Expanding the Scoring System for the Dynamic Gait Index, </w:t>
      </w:r>
      <w:r w:rsidRPr="00A8290E">
        <w:rPr>
          <w:rFonts w:ascii="Calibri" w:hAnsi="Calibri" w:cs="Calibri"/>
          <w:i/>
          <w:iCs/>
          <w:sz w:val="16"/>
          <w:szCs w:val="16"/>
        </w:rPr>
        <w:t>Physical Therapy</w:t>
      </w:r>
      <w:r w:rsidRPr="00A8290E">
        <w:rPr>
          <w:rFonts w:ascii="Calibri" w:hAnsi="Calibri" w:cs="Calibri"/>
          <w:sz w:val="16"/>
          <w:szCs w:val="16"/>
        </w:rPr>
        <w:t>. 2013; 93,1493–1506.</w:t>
      </w:r>
      <w:r w:rsidR="00A8290E">
        <w:rPr>
          <w:rFonts w:ascii="Calibri" w:hAnsi="Calibri" w:cs="Calibri"/>
          <w:sz w:val="16"/>
          <w:szCs w:val="16"/>
        </w:rPr>
        <w:t xml:space="preserve"> </w:t>
      </w:r>
      <w:r w:rsidRPr="00A8290E">
        <w:rPr>
          <w:rFonts w:ascii="Calibri" w:hAnsi="Calibri" w:cs="Calibri"/>
          <w:sz w:val="16"/>
          <w:szCs w:val="16"/>
        </w:rPr>
        <w:t>3</w:t>
      </w:r>
      <w:r w:rsidR="00F8156A">
        <w:rPr>
          <w:rFonts w:ascii="Calibri" w:hAnsi="Calibri" w:cs="Calibri"/>
          <w:sz w:val="16"/>
          <w:szCs w:val="16"/>
        </w:rPr>
        <w:t>1</w:t>
      </w:r>
      <w:r w:rsidRPr="00A8290E">
        <w:rPr>
          <w:rFonts w:ascii="Calibri" w:hAnsi="Calibri" w:cs="Calibri"/>
          <w:sz w:val="16"/>
          <w:szCs w:val="16"/>
        </w:rPr>
        <w:t xml:space="preserve">. </w:t>
      </w:r>
      <w:proofErr w:type="spellStart"/>
      <w:r w:rsidRPr="00A8290E">
        <w:rPr>
          <w:rFonts w:ascii="Calibri" w:hAnsi="Calibri" w:cs="Calibri"/>
          <w:sz w:val="16"/>
          <w:szCs w:val="16"/>
        </w:rPr>
        <w:t>Franjoine</w:t>
      </w:r>
      <w:proofErr w:type="spellEnd"/>
      <w:r w:rsidRPr="00A8290E">
        <w:rPr>
          <w:rFonts w:ascii="Calibri" w:hAnsi="Calibri" w:cs="Calibri"/>
          <w:sz w:val="16"/>
          <w:szCs w:val="16"/>
        </w:rPr>
        <w:t>, Mary, Rose PT, DPT, MS, PCS, et al. The Performance of Children Developing Typically on the Pediatric Balance Scale. PEDIATR. PHYS. THER.2010;22:350-359.</w:t>
      </w:r>
    </w:p>
    <w:sectPr w:rsidR="008D63F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9909F7" w14:textId="77777777" w:rsidR="00583B83" w:rsidRDefault="00583B83" w:rsidP="00730FF0">
      <w:pPr>
        <w:spacing w:after="0" w:line="240" w:lineRule="auto"/>
      </w:pPr>
      <w:r>
        <w:separator/>
      </w:r>
    </w:p>
  </w:endnote>
  <w:endnote w:type="continuationSeparator" w:id="0">
    <w:p w14:paraId="600FFAF4" w14:textId="77777777" w:rsidR="00583B83" w:rsidRDefault="00583B83" w:rsidP="00730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5FA369" w14:textId="77777777" w:rsidR="00583B83" w:rsidRDefault="00583B83" w:rsidP="00730FF0">
      <w:pPr>
        <w:spacing w:after="0" w:line="240" w:lineRule="auto"/>
      </w:pPr>
      <w:r>
        <w:separator/>
      </w:r>
    </w:p>
  </w:footnote>
  <w:footnote w:type="continuationSeparator" w:id="0">
    <w:p w14:paraId="1987AA09" w14:textId="77777777" w:rsidR="00583B83" w:rsidRDefault="00583B83" w:rsidP="00730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C6DC8" w14:textId="77777777" w:rsidR="00730FF0" w:rsidRDefault="00730FF0">
    <w:pPr>
      <w:pStyle w:val="Header"/>
    </w:pPr>
    <w:r>
      <w:ptab w:relativeTo="margin" w:alignment="center" w:leader="none"/>
    </w:r>
    <w:r w:rsidR="009263A8">
      <w:t>Additional file</w:t>
    </w:r>
    <w:r>
      <w:t xml:space="preserve"> 3</w:t>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FF0"/>
    <w:rsid w:val="001C0CC8"/>
    <w:rsid w:val="00495A1E"/>
    <w:rsid w:val="004A37FB"/>
    <w:rsid w:val="00583B83"/>
    <w:rsid w:val="006813C8"/>
    <w:rsid w:val="00730FF0"/>
    <w:rsid w:val="009263A8"/>
    <w:rsid w:val="00A8290E"/>
    <w:rsid w:val="00E30C7A"/>
    <w:rsid w:val="00F81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266E8"/>
  <w15:chartTrackingRefBased/>
  <w15:docId w15:val="{62A6A050-266C-4D0C-8B98-D89178C8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FF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F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FF0"/>
    <w:rPr>
      <w:lang w:val="en-US"/>
    </w:rPr>
  </w:style>
  <w:style w:type="paragraph" w:styleId="Footer">
    <w:name w:val="footer"/>
    <w:basedOn w:val="Normal"/>
    <w:link w:val="FooterChar"/>
    <w:uiPriority w:val="99"/>
    <w:unhideWhenUsed/>
    <w:rsid w:val="00730F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FF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Kattya Mayre-Chilton</dc:creator>
  <cp:keywords/>
  <dc:description/>
  <cp:lastModifiedBy>Weisman, Amy</cp:lastModifiedBy>
  <cp:revision>4</cp:revision>
  <dcterms:created xsi:type="dcterms:W3CDTF">2021-07-04T19:02:00Z</dcterms:created>
  <dcterms:modified xsi:type="dcterms:W3CDTF">2021-07-09T06:12:00Z</dcterms:modified>
</cp:coreProperties>
</file>