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78" w:rsidRPr="00230C78" w:rsidRDefault="00230C78" w:rsidP="00230C78">
      <w:pPr>
        <w:spacing w:line="480" w:lineRule="auto"/>
        <w:jc w:val="both"/>
        <w:rPr>
          <w:b/>
        </w:rPr>
      </w:pPr>
      <w:r w:rsidRPr="009E6C33">
        <w:rPr>
          <w:rFonts w:cs="Calibri"/>
          <w:b/>
          <w:bCs/>
        </w:rPr>
        <w:t xml:space="preserve">Table </w:t>
      </w:r>
      <w:r w:rsidR="00F8676D">
        <w:rPr>
          <w:rFonts w:cs="Calibri"/>
          <w:b/>
          <w:bCs/>
        </w:rPr>
        <w:t>S</w:t>
      </w:r>
      <w:bookmarkStart w:id="0" w:name="_GoBack"/>
      <w:bookmarkEnd w:id="0"/>
      <w:r w:rsidRPr="009E6C33">
        <w:rPr>
          <w:rFonts w:cs="Calibri"/>
          <w:b/>
          <w:bCs/>
        </w:rPr>
        <w:t>3.</w:t>
      </w:r>
      <w:r w:rsidRPr="009E6C33">
        <w:rPr>
          <w:rFonts w:cs="Calibri"/>
          <w:b/>
        </w:rPr>
        <w:t xml:space="preserve"> Treatment modalities in 2019 or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6"/>
        <w:gridCol w:w="1657"/>
        <w:gridCol w:w="1673"/>
      </w:tblGrid>
      <w:tr w:rsidR="00230C78" w:rsidRPr="009E6C33" w:rsidTr="002A01AC">
        <w:trPr>
          <w:trHeight w:val="751"/>
        </w:trPr>
        <w:tc>
          <w:tcPr>
            <w:tcW w:w="5953" w:type="dxa"/>
            <w:tcBorders>
              <w:left w:val="nil"/>
              <w:bottom w:val="single" w:sz="4" w:space="0" w:color="auto"/>
              <w:right w:val="nil"/>
            </w:tcBorders>
            <w:shd w:val="clear" w:color="auto" w:fill="auto"/>
            <w:vAlign w:val="center"/>
          </w:tcPr>
          <w:p w:rsidR="00230C78" w:rsidRPr="009E6C33" w:rsidRDefault="00230C78" w:rsidP="002A01AC">
            <w:pPr>
              <w:tabs>
                <w:tab w:val="left" w:pos="4020"/>
              </w:tabs>
              <w:spacing w:after="0" w:line="360" w:lineRule="auto"/>
              <w:rPr>
                <w:rFonts w:cs="Calibri"/>
                <w:b/>
                <w:bCs/>
              </w:rPr>
            </w:pPr>
            <w:r w:rsidRPr="009E6C33">
              <w:rPr>
                <w:rFonts w:cs="Calibri"/>
                <w:b/>
                <w:bCs/>
              </w:rPr>
              <w:t>Treatment modality</w:t>
            </w:r>
          </w:p>
        </w:tc>
        <w:tc>
          <w:tcPr>
            <w:tcW w:w="1701" w:type="dxa"/>
            <w:tcBorders>
              <w:left w:val="nil"/>
              <w:bottom w:val="single" w:sz="4" w:space="0" w:color="auto"/>
              <w:right w:val="nil"/>
            </w:tcBorders>
            <w:shd w:val="clear" w:color="auto" w:fill="auto"/>
            <w:vAlign w:val="center"/>
          </w:tcPr>
          <w:p w:rsidR="00230C78" w:rsidRPr="009E6C33" w:rsidRDefault="00230C78" w:rsidP="002A01AC">
            <w:pPr>
              <w:tabs>
                <w:tab w:val="left" w:pos="4020"/>
              </w:tabs>
              <w:spacing w:after="0" w:line="360" w:lineRule="auto"/>
              <w:jc w:val="center"/>
              <w:rPr>
                <w:rFonts w:cs="Calibri"/>
                <w:b/>
                <w:bCs/>
              </w:rPr>
            </w:pPr>
            <w:r w:rsidRPr="009E6C33">
              <w:rPr>
                <w:rFonts w:cs="Calibri"/>
                <w:b/>
                <w:bCs/>
              </w:rPr>
              <w:t>Number of patients</w:t>
            </w:r>
          </w:p>
        </w:tc>
        <w:tc>
          <w:tcPr>
            <w:tcW w:w="1701" w:type="dxa"/>
            <w:tcBorders>
              <w:left w:val="nil"/>
              <w:bottom w:val="single" w:sz="4" w:space="0" w:color="auto"/>
              <w:right w:val="nil"/>
            </w:tcBorders>
            <w:shd w:val="clear" w:color="auto" w:fill="auto"/>
            <w:vAlign w:val="center"/>
          </w:tcPr>
          <w:p w:rsidR="00230C78" w:rsidRPr="009E6C33" w:rsidRDefault="00230C78" w:rsidP="002A01AC">
            <w:pPr>
              <w:tabs>
                <w:tab w:val="left" w:pos="4020"/>
              </w:tabs>
              <w:spacing w:after="0" w:line="360" w:lineRule="auto"/>
              <w:jc w:val="center"/>
              <w:rPr>
                <w:rFonts w:cs="Calibri"/>
                <w:b/>
                <w:bCs/>
              </w:rPr>
            </w:pPr>
            <w:r w:rsidRPr="009E6C33">
              <w:rPr>
                <w:rFonts w:cs="Calibri"/>
                <w:b/>
                <w:bCs/>
              </w:rPr>
              <w:t>Percentage of patients (%)</w:t>
            </w:r>
          </w:p>
        </w:tc>
      </w:tr>
      <w:tr w:rsidR="00230C78" w:rsidRPr="00EA1C1C" w:rsidTr="002A01AC">
        <w:tc>
          <w:tcPr>
            <w:tcW w:w="9355" w:type="dxa"/>
            <w:gridSpan w:val="3"/>
            <w:tcBorders>
              <w:left w:val="nil"/>
              <w:bottom w:val="single" w:sz="4" w:space="0" w:color="auto"/>
              <w:right w:val="nil"/>
            </w:tcBorders>
            <w:shd w:val="clear" w:color="auto" w:fill="auto"/>
          </w:tcPr>
          <w:p w:rsidR="00230C78" w:rsidRPr="00EA1C1C" w:rsidRDefault="00230C78" w:rsidP="002A01AC">
            <w:pPr>
              <w:tabs>
                <w:tab w:val="left" w:pos="4020"/>
              </w:tabs>
              <w:spacing w:after="0" w:line="360" w:lineRule="auto"/>
              <w:rPr>
                <w:rFonts w:cs="Calibri"/>
                <w:b/>
                <w:bCs/>
                <w:i/>
                <w:iCs/>
              </w:rPr>
            </w:pPr>
            <w:r w:rsidRPr="00EA1C1C">
              <w:rPr>
                <w:rFonts w:cs="Calibri"/>
                <w:b/>
                <w:bCs/>
                <w:i/>
                <w:iCs/>
                <w:color w:val="000000"/>
              </w:rPr>
              <w:t>Respiratory</w:t>
            </w:r>
          </w:p>
        </w:tc>
      </w:tr>
      <w:tr w:rsidR="00230C78" w:rsidRPr="009E6C33" w:rsidTr="002A01AC">
        <w:tc>
          <w:tcPr>
            <w:tcW w:w="5953" w:type="dxa"/>
            <w:tcBorders>
              <w:left w:val="nil"/>
              <w:bottom w:val="nil"/>
              <w:right w:val="nil"/>
            </w:tcBorders>
            <w:shd w:val="clear" w:color="auto" w:fill="auto"/>
          </w:tcPr>
          <w:p w:rsidR="00230C78" w:rsidRPr="009E6C33" w:rsidRDefault="00230C78" w:rsidP="002A01AC">
            <w:pPr>
              <w:spacing w:after="0" w:line="480" w:lineRule="auto"/>
              <w:rPr>
                <w:rFonts w:cs="Calibri"/>
                <w:b/>
                <w:bCs/>
                <w:color w:val="000000"/>
              </w:rPr>
            </w:pPr>
            <w:r w:rsidRPr="009E6C33">
              <w:rPr>
                <w:rFonts w:cs="Calibri"/>
                <w:color w:val="000000"/>
              </w:rPr>
              <w:t xml:space="preserve">Continuous inhaled hypertonic </w:t>
            </w:r>
            <w:r>
              <w:rPr>
                <w:rFonts w:cs="Calibri"/>
                <w:color w:val="000000"/>
              </w:rPr>
              <w:t>saline</w:t>
            </w:r>
          </w:p>
        </w:tc>
        <w:tc>
          <w:tcPr>
            <w:tcW w:w="1701" w:type="dxa"/>
            <w:tcBorders>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5</w:t>
            </w:r>
          </w:p>
        </w:tc>
        <w:tc>
          <w:tcPr>
            <w:tcW w:w="1701" w:type="dxa"/>
            <w:tcBorders>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16.7</w:t>
            </w:r>
          </w:p>
        </w:tc>
      </w:tr>
      <w:tr w:rsidR="00230C78" w:rsidRPr="009E6C33" w:rsidTr="002A01AC">
        <w:tc>
          <w:tcPr>
            <w:tcW w:w="5953" w:type="dxa"/>
            <w:tcBorders>
              <w:top w:val="nil"/>
              <w:left w:val="nil"/>
              <w:bottom w:val="nil"/>
              <w:right w:val="nil"/>
            </w:tcBorders>
            <w:shd w:val="clear" w:color="auto" w:fill="auto"/>
          </w:tcPr>
          <w:p w:rsidR="00230C78" w:rsidRPr="009E6C33" w:rsidRDefault="00230C78" w:rsidP="002A01AC">
            <w:pPr>
              <w:spacing w:after="0" w:line="480" w:lineRule="auto"/>
              <w:rPr>
                <w:rFonts w:cs="Calibri"/>
                <w:b/>
                <w:bCs/>
              </w:rPr>
            </w:pPr>
            <w:r w:rsidRPr="009E6C33">
              <w:rPr>
                <w:rFonts w:cs="Calibri"/>
                <w:color w:val="000000"/>
              </w:rPr>
              <w:t>Continuous inhaled mannitol</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0</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0</w:t>
            </w:r>
          </w:p>
        </w:tc>
      </w:tr>
      <w:tr w:rsidR="00230C78" w:rsidRPr="009E6C33" w:rsidTr="002A01AC">
        <w:tc>
          <w:tcPr>
            <w:tcW w:w="5953" w:type="dxa"/>
            <w:tcBorders>
              <w:top w:val="nil"/>
              <w:left w:val="nil"/>
              <w:bottom w:val="nil"/>
              <w:right w:val="nil"/>
            </w:tcBorders>
            <w:shd w:val="clear" w:color="auto" w:fill="auto"/>
          </w:tcPr>
          <w:p w:rsidR="00230C78" w:rsidRPr="009E6C33" w:rsidRDefault="00230C78" w:rsidP="002A01AC">
            <w:pPr>
              <w:spacing w:after="0" w:line="480" w:lineRule="auto"/>
              <w:rPr>
                <w:rFonts w:cs="Calibri"/>
                <w:b/>
                <w:bCs/>
                <w:color w:val="000000"/>
              </w:rPr>
            </w:pPr>
            <w:r w:rsidRPr="009E6C33">
              <w:rPr>
                <w:rFonts w:cs="Calibri"/>
                <w:color w:val="000000"/>
              </w:rPr>
              <w:t>Continuous inhaled antibiotics</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9</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30</w:t>
            </w:r>
          </w:p>
        </w:tc>
      </w:tr>
      <w:tr w:rsidR="00230C78" w:rsidRPr="009E6C33" w:rsidTr="002A01AC">
        <w:tc>
          <w:tcPr>
            <w:tcW w:w="5953" w:type="dxa"/>
            <w:tcBorders>
              <w:top w:val="nil"/>
              <w:left w:val="nil"/>
              <w:bottom w:val="nil"/>
              <w:right w:val="nil"/>
            </w:tcBorders>
            <w:shd w:val="clear" w:color="auto" w:fill="auto"/>
          </w:tcPr>
          <w:p w:rsidR="00230C78" w:rsidRPr="009E6C33" w:rsidRDefault="00230C78" w:rsidP="002A01AC">
            <w:pPr>
              <w:spacing w:after="0" w:line="480" w:lineRule="auto"/>
              <w:rPr>
                <w:rFonts w:cs="Calibri"/>
                <w:b/>
                <w:bCs/>
                <w:color w:val="000000"/>
              </w:rPr>
            </w:pPr>
            <w:r w:rsidRPr="009E6C33">
              <w:rPr>
                <w:rFonts w:cs="Calibri"/>
                <w:color w:val="000000"/>
              </w:rPr>
              <w:t>Continuous inhaled bronchodilators</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13</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43.3</w:t>
            </w:r>
          </w:p>
        </w:tc>
      </w:tr>
      <w:tr w:rsidR="00230C78" w:rsidRPr="009E6C33" w:rsidTr="002A01AC">
        <w:tc>
          <w:tcPr>
            <w:tcW w:w="5953" w:type="dxa"/>
            <w:tcBorders>
              <w:top w:val="nil"/>
              <w:left w:val="nil"/>
              <w:bottom w:val="nil"/>
              <w:right w:val="nil"/>
            </w:tcBorders>
            <w:shd w:val="clear" w:color="auto" w:fill="auto"/>
          </w:tcPr>
          <w:p w:rsidR="00230C78" w:rsidRPr="009E6C33" w:rsidRDefault="00230C78" w:rsidP="002A01AC">
            <w:pPr>
              <w:spacing w:after="0" w:line="480" w:lineRule="auto"/>
              <w:rPr>
                <w:rFonts w:cs="Calibri"/>
                <w:b/>
                <w:bCs/>
              </w:rPr>
            </w:pPr>
            <w:r w:rsidRPr="009E6C33">
              <w:rPr>
                <w:rFonts w:cs="Calibri"/>
                <w:color w:val="000000"/>
              </w:rPr>
              <w:t>Oxygen therapy</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0</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0</w:t>
            </w:r>
          </w:p>
        </w:tc>
      </w:tr>
      <w:tr w:rsidR="00230C78" w:rsidRPr="009E6C33" w:rsidTr="002A01AC">
        <w:tc>
          <w:tcPr>
            <w:tcW w:w="5953" w:type="dxa"/>
            <w:tcBorders>
              <w:top w:val="nil"/>
              <w:left w:val="nil"/>
              <w:bottom w:val="nil"/>
              <w:right w:val="nil"/>
            </w:tcBorders>
            <w:shd w:val="clear" w:color="auto" w:fill="auto"/>
          </w:tcPr>
          <w:p w:rsidR="00230C78" w:rsidRPr="009E6C33" w:rsidRDefault="00230C78" w:rsidP="002A01AC">
            <w:pPr>
              <w:spacing w:after="0" w:line="480" w:lineRule="auto"/>
              <w:rPr>
                <w:rFonts w:cs="Calibri"/>
                <w:b/>
                <w:bCs/>
                <w:color w:val="000000"/>
              </w:rPr>
            </w:pPr>
            <w:r w:rsidRPr="009E6C33">
              <w:rPr>
                <w:rFonts w:cs="Calibri"/>
                <w:color w:val="000000"/>
              </w:rPr>
              <w:t>Continuous NIPPV</w:t>
            </w:r>
            <w:r>
              <w:rPr>
                <w:rFonts w:cs="Calibri"/>
                <w:color w:val="000000"/>
              </w:rPr>
              <w:t>*</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0</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0</w:t>
            </w:r>
          </w:p>
        </w:tc>
      </w:tr>
      <w:tr w:rsidR="00230C78" w:rsidRPr="00275ACC" w:rsidTr="002A01AC">
        <w:tc>
          <w:tcPr>
            <w:tcW w:w="5953" w:type="dxa"/>
            <w:tcBorders>
              <w:top w:val="nil"/>
              <w:left w:val="nil"/>
              <w:bottom w:val="nil"/>
              <w:right w:val="nil"/>
            </w:tcBorders>
            <w:shd w:val="clear" w:color="auto" w:fill="auto"/>
          </w:tcPr>
          <w:p w:rsidR="00230C78" w:rsidRPr="009E6C33" w:rsidRDefault="00230C78" w:rsidP="002A01AC">
            <w:pPr>
              <w:spacing w:after="0" w:line="480" w:lineRule="auto"/>
              <w:rPr>
                <w:rFonts w:cs="Calibri"/>
                <w:b/>
                <w:bCs/>
              </w:rPr>
            </w:pPr>
            <w:r w:rsidRPr="009E6C33">
              <w:rPr>
                <w:rFonts w:cs="Calibri"/>
                <w:color w:val="000000"/>
              </w:rPr>
              <w:t xml:space="preserve">Recombinant human </w:t>
            </w:r>
            <w:proofErr w:type="spellStart"/>
            <w:r w:rsidRPr="009E6C33">
              <w:rPr>
                <w:rFonts w:cs="Calibri"/>
                <w:color w:val="000000"/>
              </w:rPr>
              <w:t>DN</w:t>
            </w:r>
            <w:r>
              <w:rPr>
                <w:rFonts w:cs="Calibri"/>
                <w:color w:val="000000"/>
              </w:rPr>
              <w:t>A</w:t>
            </w:r>
            <w:r w:rsidRPr="009E6C33">
              <w:rPr>
                <w:rFonts w:cs="Calibri"/>
                <w:color w:val="000000"/>
              </w:rPr>
              <w:t>se</w:t>
            </w:r>
            <w:proofErr w:type="spellEnd"/>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19</w:t>
            </w:r>
          </w:p>
        </w:tc>
        <w:tc>
          <w:tcPr>
            <w:tcW w:w="1701" w:type="dxa"/>
            <w:tcBorders>
              <w:top w:val="nil"/>
              <w:left w:val="nil"/>
              <w:bottom w:val="nil"/>
              <w:right w:val="nil"/>
            </w:tcBorders>
            <w:shd w:val="clear" w:color="auto" w:fill="auto"/>
          </w:tcPr>
          <w:p w:rsidR="00230C78" w:rsidRPr="009E6C33" w:rsidRDefault="00230C78" w:rsidP="002A01AC">
            <w:pPr>
              <w:tabs>
                <w:tab w:val="left" w:pos="4020"/>
              </w:tabs>
              <w:spacing w:after="0" w:line="480" w:lineRule="auto"/>
              <w:jc w:val="center"/>
              <w:rPr>
                <w:rFonts w:cs="Calibri"/>
              </w:rPr>
            </w:pPr>
            <w:r w:rsidRPr="009E6C33">
              <w:rPr>
                <w:rFonts w:cs="Calibri"/>
              </w:rPr>
              <w:t>63.3</w:t>
            </w:r>
          </w:p>
        </w:tc>
      </w:tr>
      <w:tr w:rsidR="00230C78" w:rsidRPr="00275ACC" w:rsidTr="002A01AC">
        <w:tc>
          <w:tcPr>
            <w:tcW w:w="5953" w:type="dxa"/>
            <w:tcBorders>
              <w:top w:val="nil"/>
              <w:left w:val="nil"/>
              <w:bottom w:val="nil"/>
              <w:right w:val="nil"/>
            </w:tcBorders>
            <w:shd w:val="clear" w:color="auto" w:fill="auto"/>
          </w:tcPr>
          <w:p w:rsidR="00230C78" w:rsidRPr="00275ACC" w:rsidRDefault="00230C78" w:rsidP="002A01AC">
            <w:pPr>
              <w:spacing w:after="0" w:line="480" w:lineRule="auto"/>
              <w:rPr>
                <w:rFonts w:cs="Calibri"/>
                <w:b/>
                <w:bCs/>
                <w:color w:val="000000"/>
              </w:rPr>
            </w:pPr>
            <w:r w:rsidRPr="00275ACC">
              <w:rPr>
                <w:rFonts w:cs="Calibri"/>
                <w:color w:val="000000"/>
              </w:rPr>
              <w:t>Continuous inhaled steroids</w:t>
            </w:r>
          </w:p>
        </w:tc>
        <w:tc>
          <w:tcPr>
            <w:tcW w:w="1701" w:type="dxa"/>
            <w:tcBorders>
              <w:top w:val="nil"/>
              <w:left w:val="nil"/>
              <w:bottom w:val="nil"/>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11</w:t>
            </w:r>
          </w:p>
        </w:tc>
        <w:tc>
          <w:tcPr>
            <w:tcW w:w="1701" w:type="dxa"/>
            <w:tcBorders>
              <w:top w:val="nil"/>
              <w:left w:val="nil"/>
              <w:bottom w:val="nil"/>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36.7</w:t>
            </w:r>
          </w:p>
        </w:tc>
      </w:tr>
      <w:tr w:rsidR="00230C78" w:rsidRPr="00275ACC" w:rsidTr="002A01AC">
        <w:tc>
          <w:tcPr>
            <w:tcW w:w="5953" w:type="dxa"/>
            <w:tcBorders>
              <w:top w:val="nil"/>
              <w:left w:val="nil"/>
              <w:bottom w:val="nil"/>
              <w:right w:val="nil"/>
            </w:tcBorders>
            <w:shd w:val="clear" w:color="auto" w:fill="auto"/>
          </w:tcPr>
          <w:p w:rsidR="00230C78" w:rsidRPr="00275ACC" w:rsidRDefault="00230C78" w:rsidP="002A01AC">
            <w:pPr>
              <w:spacing w:after="0" w:line="480" w:lineRule="auto"/>
              <w:rPr>
                <w:rFonts w:cs="Calibri"/>
                <w:b/>
                <w:bCs/>
                <w:color w:val="000000"/>
              </w:rPr>
            </w:pPr>
            <w:r w:rsidRPr="00275ACC">
              <w:rPr>
                <w:rFonts w:cs="Calibri"/>
                <w:color w:val="000000"/>
              </w:rPr>
              <w:t>Continuous oral steroids</w:t>
            </w:r>
          </w:p>
        </w:tc>
        <w:tc>
          <w:tcPr>
            <w:tcW w:w="1701" w:type="dxa"/>
            <w:tcBorders>
              <w:top w:val="nil"/>
              <w:left w:val="nil"/>
              <w:bottom w:val="nil"/>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0</w:t>
            </w:r>
          </w:p>
        </w:tc>
        <w:tc>
          <w:tcPr>
            <w:tcW w:w="1701" w:type="dxa"/>
            <w:tcBorders>
              <w:top w:val="nil"/>
              <w:left w:val="nil"/>
              <w:bottom w:val="nil"/>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0</w:t>
            </w:r>
          </w:p>
        </w:tc>
      </w:tr>
      <w:tr w:rsidR="00230C78" w:rsidRPr="00275ACC" w:rsidTr="002A01AC">
        <w:tc>
          <w:tcPr>
            <w:tcW w:w="5953" w:type="dxa"/>
            <w:tcBorders>
              <w:top w:val="nil"/>
              <w:left w:val="nil"/>
              <w:bottom w:val="nil"/>
              <w:right w:val="nil"/>
            </w:tcBorders>
            <w:shd w:val="clear" w:color="auto" w:fill="auto"/>
          </w:tcPr>
          <w:p w:rsidR="00230C78" w:rsidRPr="00275ACC" w:rsidRDefault="00230C78" w:rsidP="002A01AC">
            <w:pPr>
              <w:spacing w:after="0" w:line="480" w:lineRule="auto"/>
              <w:rPr>
                <w:rFonts w:cs="Calibri"/>
                <w:b/>
                <w:bCs/>
                <w:color w:val="000000"/>
              </w:rPr>
            </w:pPr>
            <w:r w:rsidRPr="00275ACC">
              <w:rPr>
                <w:rFonts w:cs="Calibri"/>
                <w:color w:val="000000"/>
              </w:rPr>
              <w:t>Continuous azithromycin or other macrolides</w:t>
            </w:r>
          </w:p>
        </w:tc>
        <w:tc>
          <w:tcPr>
            <w:tcW w:w="1701" w:type="dxa"/>
            <w:tcBorders>
              <w:top w:val="nil"/>
              <w:left w:val="nil"/>
              <w:bottom w:val="nil"/>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12</w:t>
            </w:r>
          </w:p>
        </w:tc>
        <w:tc>
          <w:tcPr>
            <w:tcW w:w="1701" w:type="dxa"/>
            <w:tcBorders>
              <w:top w:val="nil"/>
              <w:left w:val="nil"/>
              <w:bottom w:val="nil"/>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40</w:t>
            </w:r>
          </w:p>
        </w:tc>
      </w:tr>
      <w:tr w:rsidR="00230C78" w:rsidRPr="00275ACC" w:rsidTr="002A01AC">
        <w:tc>
          <w:tcPr>
            <w:tcW w:w="5953" w:type="dxa"/>
            <w:tcBorders>
              <w:top w:val="nil"/>
              <w:left w:val="nil"/>
              <w:bottom w:val="single" w:sz="4" w:space="0" w:color="auto"/>
              <w:right w:val="nil"/>
            </w:tcBorders>
            <w:shd w:val="clear" w:color="auto" w:fill="auto"/>
          </w:tcPr>
          <w:p w:rsidR="00230C78" w:rsidRPr="00275ACC" w:rsidRDefault="00230C78" w:rsidP="002A01AC">
            <w:pPr>
              <w:spacing w:after="0" w:line="480" w:lineRule="auto"/>
              <w:rPr>
                <w:rFonts w:cs="Calibri"/>
                <w:b/>
                <w:bCs/>
                <w:color w:val="000000"/>
              </w:rPr>
            </w:pPr>
            <w:r w:rsidRPr="00275ACC">
              <w:rPr>
                <w:rFonts w:cs="Calibri"/>
                <w:color w:val="000000"/>
              </w:rPr>
              <w:t>Chest physiotherapy</w:t>
            </w:r>
          </w:p>
        </w:tc>
        <w:tc>
          <w:tcPr>
            <w:tcW w:w="1701" w:type="dxa"/>
            <w:tcBorders>
              <w:top w:val="nil"/>
              <w:left w:val="nil"/>
              <w:bottom w:val="single" w:sz="4" w:space="0" w:color="auto"/>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16</w:t>
            </w:r>
          </w:p>
        </w:tc>
        <w:tc>
          <w:tcPr>
            <w:tcW w:w="1701" w:type="dxa"/>
            <w:tcBorders>
              <w:top w:val="nil"/>
              <w:left w:val="nil"/>
              <w:bottom w:val="single" w:sz="4" w:space="0" w:color="auto"/>
              <w:right w:val="nil"/>
            </w:tcBorders>
            <w:shd w:val="clear" w:color="auto" w:fill="auto"/>
          </w:tcPr>
          <w:p w:rsidR="00230C78" w:rsidRPr="00275ACC" w:rsidRDefault="00230C78" w:rsidP="002A01AC">
            <w:pPr>
              <w:tabs>
                <w:tab w:val="left" w:pos="4020"/>
              </w:tabs>
              <w:spacing w:after="0" w:line="480" w:lineRule="auto"/>
              <w:jc w:val="center"/>
              <w:rPr>
                <w:rFonts w:cs="Calibri"/>
              </w:rPr>
            </w:pPr>
            <w:r w:rsidRPr="00275ACC">
              <w:rPr>
                <w:rFonts w:cs="Calibri"/>
              </w:rPr>
              <w:t>53.3</w:t>
            </w:r>
          </w:p>
        </w:tc>
      </w:tr>
      <w:tr w:rsidR="00230C78" w:rsidRPr="00EA1C1C" w:rsidTr="002A01AC">
        <w:tc>
          <w:tcPr>
            <w:tcW w:w="9355" w:type="dxa"/>
            <w:gridSpan w:val="3"/>
            <w:tcBorders>
              <w:left w:val="nil"/>
              <w:bottom w:val="single" w:sz="4" w:space="0" w:color="auto"/>
              <w:right w:val="nil"/>
            </w:tcBorders>
            <w:shd w:val="clear" w:color="auto" w:fill="auto"/>
          </w:tcPr>
          <w:p w:rsidR="00230C78" w:rsidRPr="00EA1C1C" w:rsidRDefault="00230C78" w:rsidP="002A01AC">
            <w:pPr>
              <w:tabs>
                <w:tab w:val="left" w:pos="4020"/>
              </w:tabs>
              <w:spacing w:after="0" w:line="360" w:lineRule="auto"/>
              <w:rPr>
                <w:rFonts w:cs="Calibri"/>
                <w:b/>
                <w:bCs/>
                <w:i/>
              </w:rPr>
            </w:pPr>
            <w:r w:rsidRPr="00EA1C1C">
              <w:rPr>
                <w:rFonts w:cs="Calibri"/>
                <w:b/>
                <w:bCs/>
                <w:i/>
                <w:color w:val="000000"/>
              </w:rPr>
              <w:t>Gastrointestinal, hepatobiliary and pancreatic substitution</w:t>
            </w:r>
          </w:p>
        </w:tc>
      </w:tr>
      <w:tr w:rsidR="00230C78" w:rsidRPr="00E347D5" w:rsidTr="002A01AC">
        <w:tc>
          <w:tcPr>
            <w:tcW w:w="5953" w:type="dxa"/>
            <w:tcBorders>
              <w:left w:val="nil"/>
              <w:bottom w:val="nil"/>
              <w:right w:val="nil"/>
            </w:tcBorders>
            <w:shd w:val="clear" w:color="auto" w:fill="auto"/>
          </w:tcPr>
          <w:p w:rsidR="00230C78" w:rsidRPr="00E347D5" w:rsidRDefault="00230C78" w:rsidP="002A01AC">
            <w:pPr>
              <w:spacing w:after="0" w:line="480" w:lineRule="auto"/>
              <w:rPr>
                <w:rFonts w:cs="Calibri"/>
                <w:b/>
                <w:bCs/>
                <w:color w:val="000000"/>
              </w:rPr>
            </w:pPr>
            <w:proofErr w:type="spellStart"/>
            <w:r w:rsidRPr="00E347D5">
              <w:rPr>
                <w:rFonts w:cs="Calibri"/>
                <w:color w:val="000000"/>
              </w:rPr>
              <w:t>Ursodeoxycholic</w:t>
            </w:r>
            <w:proofErr w:type="spellEnd"/>
            <w:r w:rsidRPr="00E347D5">
              <w:rPr>
                <w:rFonts w:cs="Calibri"/>
                <w:color w:val="000000"/>
              </w:rPr>
              <w:t xml:space="preserve"> acid</w:t>
            </w:r>
          </w:p>
        </w:tc>
        <w:tc>
          <w:tcPr>
            <w:tcW w:w="1701" w:type="dxa"/>
            <w:tcBorders>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2</w:t>
            </w:r>
          </w:p>
        </w:tc>
        <w:tc>
          <w:tcPr>
            <w:tcW w:w="1701" w:type="dxa"/>
            <w:tcBorders>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6.7</w:t>
            </w:r>
          </w:p>
        </w:tc>
      </w:tr>
      <w:tr w:rsidR="00230C78" w:rsidRPr="00E347D5" w:rsidTr="002A01AC">
        <w:tc>
          <w:tcPr>
            <w:tcW w:w="5953" w:type="dxa"/>
            <w:tcBorders>
              <w:top w:val="nil"/>
              <w:left w:val="nil"/>
              <w:bottom w:val="nil"/>
              <w:right w:val="nil"/>
            </w:tcBorders>
            <w:shd w:val="clear" w:color="auto" w:fill="auto"/>
          </w:tcPr>
          <w:p w:rsidR="00230C78" w:rsidRPr="00E347D5" w:rsidRDefault="00230C78" w:rsidP="002A01AC">
            <w:pPr>
              <w:spacing w:after="0" w:line="480" w:lineRule="auto"/>
              <w:rPr>
                <w:rFonts w:cs="Calibri"/>
                <w:b/>
                <w:bCs/>
                <w:color w:val="000000"/>
              </w:rPr>
            </w:pPr>
            <w:r w:rsidRPr="00E347D5">
              <w:rPr>
                <w:rFonts w:cs="Calibri"/>
                <w:color w:val="000000"/>
              </w:rPr>
              <w:t>Pancreatic enzymes</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20</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66.7</w:t>
            </w:r>
          </w:p>
        </w:tc>
      </w:tr>
      <w:tr w:rsidR="00230C78" w:rsidRPr="00E347D5" w:rsidTr="002A01AC">
        <w:tc>
          <w:tcPr>
            <w:tcW w:w="5953" w:type="dxa"/>
            <w:tcBorders>
              <w:top w:val="nil"/>
              <w:left w:val="nil"/>
              <w:bottom w:val="nil"/>
              <w:right w:val="nil"/>
            </w:tcBorders>
            <w:shd w:val="clear" w:color="auto" w:fill="auto"/>
          </w:tcPr>
          <w:p w:rsidR="00230C78" w:rsidRPr="00E347D5" w:rsidRDefault="00230C78" w:rsidP="002A01AC">
            <w:pPr>
              <w:spacing w:after="0" w:line="480" w:lineRule="auto"/>
              <w:rPr>
                <w:rFonts w:cs="Calibri"/>
                <w:b/>
                <w:bCs/>
                <w:color w:val="000000"/>
              </w:rPr>
            </w:pPr>
            <w:r w:rsidRPr="00E347D5">
              <w:rPr>
                <w:rFonts w:cs="Calibri"/>
                <w:color w:val="000000"/>
              </w:rPr>
              <w:t>Proton pump inhibitors</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2</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6.7</w:t>
            </w:r>
          </w:p>
        </w:tc>
      </w:tr>
      <w:tr w:rsidR="00230C78" w:rsidRPr="00E347D5" w:rsidTr="002A01AC">
        <w:tc>
          <w:tcPr>
            <w:tcW w:w="5953" w:type="dxa"/>
            <w:tcBorders>
              <w:top w:val="nil"/>
              <w:left w:val="nil"/>
              <w:bottom w:val="nil"/>
              <w:right w:val="nil"/>
            </w:tcBorders>
            <w:shd w:val="clear" w:color="auto" w:fill="auto"/>
          </w:tcPr>
          <w:p w:rsidR="00230C78" w:rsidRPr="00E347D5" w:rsidRDefault="00230C78" w:rsidP="002A01AC">
            <w:pPr>
              <w:spacing w:after="0" w:line="480" w:lineRule="auto"/>
              <w:rPr>
                <w:rFonts w:cs="Calibri"/>
                <w:b/>
                <w:bCs/>
                <w:color w:val="000000"/>
              </w:rPr>
            </w:pPr>
            <w:r w:rsidRPr="00E347D5">
              <w:rPr>
                <w:rFonts w:cs="Calibri"/>
                <w:color w:val="000000"/>
              </w:rPr>
              <w:t>Caloric fortification</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6</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23.3</w:t>
            </w:r>
          </w:p>
        </w:tc>
      </w:tr>
      <w:tr w:rsidR="00230C78" w:rsidRPr="00E347D5" w:rsidTr="002A01AC">
        <w:tc>
          <w:tcPr>
            <w:tcW w:w="5953" w:type="dxa"/>
            <w:tcBorders>
              <w:top w:val="nil"/>
              <w:left w:val="nil"/>
              <w:bottom w:val="nil"/>
              <w:right w:val="nil"/>
            </w:tcBorders>
            <w:shd w:val="clear" w:color="auto" w:fill="auto"/>
          </w:tcPr>
          <w:p w:rsidR="00230C78" w:rsidRPr="00E347D5" w:rsidRDefault="00230C78" w:rsidP="002A01AC">
            <w:pPr>
              <w:spacing w:after="0" w:line="480" w:lineRule="auto"/>
              <w:rPr>
                <w:rFonts w:cs="Calibri"/>
                <w:b/>
                <w:bCs/>
                <w:color w:val="000000"/>
              </w:rPr>
            </w:pPr>
            <w:r w:rsidRPr="00E347D5">
              <w:rPr>
                <w:rFonts w:cs="Calibri"/>
                <w:color w:val="000000"/>
              </w:rPr>
              <w:t>Multivitamins</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23</w:t>
            </w:r>
          </w:p>
        </w:tc>
        <w:tc>
          <w:tcPr>
            <w:tcW w:w="1701" w:type="dxa"/>
            <w:tcBorders>
              <w:top w:val="nil"/>
              <w:left w:val="nil"/>
              <w:bottom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76.7</w:t>
            </w:r>
          </w:p>
        </w:tc>
      </w:tr>
      <w:tr w:rsidR="00230C78" w:rsidRPr="00E347D5" w:rsidTr="002A01AC">
        <w:tc>
          <w:tcPr>
            <w:tcW w:w="5953" w:type="dxa"/>
            <w:tcBorders>
              <w:top w:val="nil"/>
              <w:left w:val="nil"/>
              <w:bottom w:val="single" w:sz="4" w:space="0" w:color="auto"/>
              <w:right w:val="nil"/>
            </w:tcBorders>
            <w:shd w:val="clear" w:color="auto" w:fill="auto"/>
          </w:tcPr>
          <w:p w:rsidR="00230C78" w:rsidRPr="00E347D5" w:rsidRDefault="00230C78" w:rsidP="002A01AC">
            <w:pPr>
              <w:spacing w:after="0" w:line="480" w:lineRule="auto"/>
              <w:rPr>
                <w:rFonts w:cs="Calibri"/>
                <w:b/>
                <w:bCs/>
                <w:color w:val="000000"/>
              </w:rPr>
            </w:pPr>
            <w:r w:rsidRPr="00E347D5">
              <w:rPr>
                <w:rFonts w:cs="Calibri"/>
                <w:color w:val="000000"/>
              </w:rPr>
              <w:t>Electrolyte solutions</w:t>
            </w:r>
          </w:p>
        </w:tc>
        <w:tc>
          <w:tcPr>
            <w:tcW w:w="1701" w:type="dxa"/>
            <w:tcBorders>
              <w:top w:val="nil"/>
              <w:left w:val="nil"/>
              <w:bottom w:val="single" w:sz="4" w:space="0" w:color="auto"/>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2</w:t>
            </w:r>
          </w:p>
        </w:tc>
        <w:tc>
          <w:tcPr>
            <w:tcW w:w="1701" w:type="dxa"/>
            <w:tcBorders>
              <w:top w:val="nil"/>
              <w:left w:val="nil"/>
              <w:bottom w:val="single" w:sz="4" w:space="0" w:color="auto"/>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6.7</w:t>
            </w:r>
          </w:p>
        </w:tc>
      </w:tr>
      <w:tr w:rsidR="00230C78" w:rsidRPr="00EA1C1C" w:rsidTr="002A01AC">
        <w:tc>
          <w:tcPr>
            <w:tcW w:w="9355" w:type="dxa"/>
            <w:gridSpan w:val="3"/>
            <w:tcBorders>
              <w:left w:val="nil"/>
              <w:right w:val="nil"/>
            </w:tcBorders>
            <w:shd w:val="clear" w:color="auto" w:fill="auto"/>
          </w:tcPr>
          <w:p w:rsidR="00230C78" w:rsidRPr="00EA1C1C" w:rsidRDefault="00230C78" w:rsidP="002A01AC">
            <w:pPr>
              <w:tabs>
                <w:tab w:val="left" w:pos="4020"/>
              </w:tabs>
              <w:spacing w:after="0" w:line="360" w:lineRule="auto"/>
              <w:rPr>
                <w:rFonts w:cs="Calibri"/>
                <w:b/>
                <w:bCs/>
                <w:i/>
              </w:rPr>
            </w:pPr>
            <w:r w:rsidRPr="00EA1C1C">
              <w:rPr>
                <w:rFonts w:cs="Calibri"/>
                <w:b/>
                <w:bCs/>
                <w:i/>
                <w:color w:val="000000"/>
              </w:rPr>
              <w:t>Targeted therapy</w:t>
            </w:r>
          </w:p>
        </w:tc>
      </w:tr>
      <w:tr w:rsidR="00230C78" w:rsidRPr="00E347D5" w:rsidTr="002A01AC">
        <w:tc>
          <w:tcPr>
            <w:tcW w:w="5953" w:type="dxa"/>
            <w:tcBorders>
              <w:left w:val="nil"/>
              <w:right w:val="nil"/>
            </w:tcBorders>
            <w:shd w:val="clear" w:color="auto" w:fill="auto"/>
          </w:tcPr>
          <w:p w:rsidR="00230C78" w:rsidRPr="00E347D5" w:rsidRDefault="00230C78" w:rsidP="002A01AC">
            <w:pPr>
              <w:spacing w:after="0" w:line="480" w:lineRule="auto"/>
              <w:rPr>
                <w:rFonts w:cs="Calibri"/>
                <w:b/>
                <w:bCs/>
                <w:color w:val="000000"/>
              </w:rPr>
            </w:pPr>
            <w:r w:rsidRPr="00E347D5">
              <w:rPr>
                <w:rFonts w:cs="Calibri"/>
                <w:color w:val="000000"/>
              </w:rPr>
              <w:t>CFTR modulators</w:t>
            </w:r>
          </w:p>
        </w:tc>
        <w:tc>
          <w:tcPr>
            <w:tcW w:w="1701" w:type="dxa"/>
            <w:tcBorders>
              <w:left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3</w:t>
            </w:r>
          </w:p>
        </w:tc>
        <w:tc>
          <w:tcPr>
            <w:tcW w:w="1701" w:type="dxa"/>
            <w:tcBorders>
              <w:left w:val="nil"/>
              <w:right w:val="nil"/>
            </w:tcBorders>
            <w:shd w:val="clear" w:color="auto" w:fill="auto"/>
          </w:tcPr>
          <w:p w:rsidR="00230C78" w:rsidRPr="00E347D5" w:rsidRDefault="00230C78" w:rsidP="002A01AC">
            <w:pPr>
              <w:tabs>
                <w:tab w:val="left" w:pos="4020"/>
              </w:tabs>
              <w:spacing w:after="0" w:line="480" w:lineRule="auto"/>
              <w:jc w:val="right"/>
              <w:rPr>
                <w:rFonts w:cs="Calibri"/>
              </w:rPr>
            </w:pPr>
            <w:r w:rsidRPr="00E347D5">
              <w:rPr>
                <w:rFonts w:cs="Calibri"/>
              </w:rPr>
              <w:t>10</w:t>
            </w:r>
          </w:p>
        </w:tc>
      </w:tr>
    </w:tbl>
    <w:p w:rsidR="00230C78" w:rsidRPr="001D24BE" w:rsidRDefault="00230C78" w:rsidP="00230C78">
      <w:pPr>
        <w:spacing w:after="120" w:line="240" w:lineRule="auto"/>
        <w:jc w:val="both"/>
        <w:rPr>
          <w:rFonts w:cs="Calibri"/>
          <w:sz w:val="20"/>
          <w:szCs w:val="20"/>
        </w:rPr>
      </w:pPr>
      <w:r w:rsidRPr="001D24BE">
        <w:rPr>
          <w:rFonts w:cs="Calibri"/>
          <w:b/>
          <w:sz w:val="20"/>
          <w:szCs w:val="20"/>
        </w:rPr>
        <w:t>Legend</w:t>
      </w:r>
      <w:r w:rsidRPr="001D24BE">
        <w:rPr>
          <w:rFonts w:cs="Calibri"/>
          <w:b/>
          <w:bCs/>
          <w:sz w:val="20"/>
          <w:szCs w:val="20"/>
        </w:rPr>
        <w:t>:</w:t>
      </w:r>
      <w:r w:rsidRPr="001D24BE">
        <w:rPr>
          <w:rFonts w:cs="Calibri"/>
          <w:sz w:val="20"/>
          <w:szCs w:val="20"/>
        </w:rPr>
        <w:t xml:space="preserve"> 2018 data were used in cases which did not attend the CF centre during 2019; *NIPPV: Non-invasive positive pressure ventilation.</w:t>
      </w:r>
    </w:p>
    <w:p w:rsidR="00230C78" w:rsidRDefault="00230C78" w:rsidP="00E22057">
      <w:pPr>
        <w:spacing w:line="480" w:lineRule="auto"/>
        <w:jc w:val="both"/>
        <w:rPr>
          <w:b/>
        </w:rPr>
      </w:pPr>
    </w:p>
    <w:p w:rsidR="00E22057" w:rsidRDefault="00E22057" w:rsidP="00E22057">
      <w:pPr>
        <w:spacing w:line="480" w:lineRule="auto"/>
        <w:jc w:val="both"/>
        <w:rPr>
          <w:b/>
        </w:rPr>
      </w:pPr>
      <w:r>
        <w:rPr>
          <w:b/>
        </w:rPr>
        <w:lastRenderedPageBreak/>
        <w:t>Detailed presentation of notable</w:t>
      </w:r>
      <w:r w:rsidRPr="00E22057">
        <w:rPr>
          <w:b/>
        </w:rPr>
        <w:t xml:space="preserve"> rare or unique cases </w:t>
      </w:r>
      <w:proofErr w:type="spellStart"/>
      <w:r>
        <w:rPr>
          <w:b/>
        </w:rPr>
        <w:t>cases</w:t>
      </w:r>
      <w:proofErr w:type="spellEnd"/>
      <w:r w:rsidR="00EB082A">
        <w:rPr>
          <w:b/>
        </w:rPr>
        <w:t xml:space="preserve"> from the Cyprus National CF registry</w:t>
      </w:r>
    </w:p>
    <w:p w:rsidR="00E22057" w:rsidRPr="00E22057" w:rsidRDefault="00E22057" w:rsidP="00E22057">
      <w:pPr>
        <w:spacing w:line="480" w:lineRule="auto"/>
        <w:jc w:val="both"/>
        <w:rPr>
          <w:b/>
        </w:rPr>
      </w:pPr>
      <w:r w:rsidRPr="00E22057">
        <w:rPr>
          <w:b/>
        </w:rPr>
        <w:t>Cases with the p.Leu346Pro (L346P) mutation in compound heterozygosity</w:t>
      </w:r>
    </w:p>
    <w:p w:rsidR="00E22057" w:rsidRDefault="00E22057" w:rsidP="00E22057">
      <w:pPr>
        <w:spacing w:line="480" w:lineRule="auto"/>
        <w:jc w:val="both"/>
      </w:pPr>
      <w:r>
        <w:t xml:space="preserve">The p.Leu346Pro (L346P) mutation has been reported only in patients of Cypriot descent. It was identified in compound heterozygosity in seven patients, usually presenting in childhood with dehydration or electrolyte imbalance, followed by late-onset lung disease and bronchiectasis in adolescence and early adulthood. A 48-year female patient, who also has Huntington’s disease (MIM: 143100), demonstrated severe lung disease. The patient had chronic Pseudomonas aeruginosa airway colonization, very low lung function z-scores (FEV1=-4.7 and FVC=-3.3), and diffuse severe bronchiectasis in the right lung, </w:t>
      </w:r>
      <w:proofErr w:type="spellStart"/>
      <w:r>
        <w:t>atelectatic</w:t>
      </w:r>
      <w:proofErr w:type="spellEnd"/>
      <w:r>
        <w:t xml:space="preserve"> left lung with multiple bullae and ipsilateral mediastinal shift.</w:t>
      </w:r>
    </w:p>
    <w:p w:rsidR="00E22057" w:rsidRPr="00E22057" w:rsidRDefault="00E22057" w:rsidP="00E22057">
      <w:pPr>
        <w:spacing w:line="480" w:lineRule="auto"/>
        <w:jc w:val="both"/>
        <w:rPr>
          <w:b/>
        </w:rPr>
      </w:pPr>
      <w:r w:rsidRPr="00E22057">
        <w:rPr>
          <w:b/>
        </w:rPr>
        <w:t>Cases with the complex allele p.Cys1400X with c.489+3A&gt;G in cis</w:t>
      </w:r>
    </w:p>
    <w:p w:rsidR="00E22057" w:rsidRDefault="00E22057" w:rsidP="00E22057">
      <w:pPr>
        <w:spacing w:line="480" w:lineRule="auto"/>
        <w:jc w:val="both"/>
      </w:pPr>
      <w:r>
        <w:t>Three young patients, a 1-year female and two 9- and 18-year males, were identified with the known p.Cys1400X (4326delTC) in compound heterozygosity with another known CFTR mutation. In all three cases, as shown by parental genetic testing, p.Cys1400Ter co-segregates with the rare splicing mutation c.489+3A&gt;G (621+3A&gt;G), which was originally detected in Greece and previously reported as having varying clinical consequence [1]. According to the CFTR2 database data, it is more likely to be associated with pancreatic sufficiency (</w:t>
      </w:r>
      <w:hyperlink r:id="rId5" w:history="1">
        <w:r w:rsidRPr="008D54B0">
          <w:rPr>
            <w:rStyle w:val="Hyperlink"/>
          </w:rPr>
          <w:t>www.cftr2.org/mutation/general/621%252B3A-%253EG/</w:t>
        </w:r>
      </w:hyperlink>
      <w:r>
        <w:t xml:space="preserve">). The first case was diagnosed through neonatal screening when the index case´s family lived in the United Kingdom, while the other two cases presented in early childhood with respiratory symptoms and electrolyte imbalance. Spirometry in these two patients showed a mean best FEV1 z-score of -1.8 and a mean FVC z-score of -0.9, while chest imaging revealed extensive </w:t>
      </w:r>
      <w:proofErr w:type="spellStart"/>
      <w:r>
        <w:t>bronchiectatic</w:t>
      </w:r>
      <w:proofErr w:type="spellEnd"/>
      <w:r>
        <w:t xml:space="preserve"> changes. The mutations in the other CFTR allele in these three cases are a large rearrangement c.54-5940_273+10250del21kb (CFTRdele2,3), the novel p.Gly178TrpfsX5 (c.531dupT), and the common p.Asn1303Lys (N1303K), respectively. In addition, one of the cases was found to have a benign </w:t>
      </w:r>
      <w:proofErr w:type="spellStart"/>
      <w:r>
        <w:t>intronic</w:t>
      </w:r>
      <w:proofErr w:type="spellEnd"/>
      <w:r>
        <w:t xml:space="preserve"> </w:t>
      </w:r>
      <w:r>
        <w:lastRenderedPageBreak/>
        <w:t>CFTR variant c.3469-65C&gt;A (3601-65C/A), found previously in disseminated bronchiectasis, which is co-segregating with N1303K in cis.</w:t>
      </w:r>
    </w:p>
    <w:p w:rsidR="00E22057" w:rsidRPr="00E22057" w:rsidRDefault="00E22057" w:rsidP="00E22057">
      <w:pPr>
        <w:spacing w:line="480" w:lineRule="auto"/>
        <w:jc w:val="both"/>
        <w:rPr>
          <w:b/>
        </w:rPr>
      </w:pPr>
      <w:r w:rsidRPr="00E22057">
        <w:rPr>
          <w:b/>
        </w:rPr>
        <w:t>Cases with homozygosity of the CFTR-dup2 intra-CFTR rearrangement</w:t>
      </w:r>
    </w:p>
    <w:p w:rsidR="00E22057" w:rsidRDefault="00E22057" w:rsidP="00E22057">
      <w:pPr>
        <w:spacing w:line="480" w:lineRule="auto"/>
        <w:jc w:val="both"/>
      </w:pPr>
      <w:r>
        <w:t xml:space="preserve">Two adult male siblings of Greek-Cypriot origin were found to bear a novel duplication of exon 2 on both parental CFTR alleles detected by massively parallel sequencing and confirmed independently by the MLPA technique. Although patients’ parents come from the same small village, we could not ascertain parental consanguinity. The first case presented with persistent respiratory symptoms, pancreatic insufficiency and malnutrition at the age of 41 years and was diagnosed by two positive sweat chloride tests (75 and 117 </w:t>
      </w:r>
      <w:proofErr w:type="spellStart"/>
      <w:r>
        <w:t>mmol</w:t>
      </w:r>
      <w:proofErr w:type="spellEnd"/>
      <w:r>
        <w:t xml:space="preserve">/L) and subsequent massively parallel sequencing revealed CFTR-dup2 in homozygosity. Patient had chronic Pseudomonas aeruginosa pulmonary colonization and mild </w:t>
      </w:r>
      <w:proofErr w:type="spellStart"/>
      <w:r>
        <w:t>bronchiectatic</w:t>
      </w:r>
      <w:proofErr w:type="spellEnd"/>
      <w:r>
        <w:t xml:space="preserve"> changes on chest HRCT scan. In 2019, his best FEV1 and FVC z-scores were -0.7 and 0.1, respectively, with a BMI z-score of -0.1. However, the patient developed severe hepatic involvement with biliary cirrhosis and eventually hepatic failure that led to his death at the age of 47 years.</w:t>
      </w:r>
    </w:p>
    <w:p w:rsidR="00E22057" w:rsidRDefault="00E22057" w:rsidP="00E22057">
      <w:pPr>
        <w:spacing w:line="480" w:lineRule="auto"/>
        <w:jc w:val="both"/>
      </w:pPr>
      <w:r>
        <w:t xml:space="preserve">The second case was diagnosed by a positive sweat chloride test (85 </w:t>
      </w:r>
      <w:proofErr w:type="spellStart"/>
      <w:r>
        <w:t>mmol</w:t>
      </w:r>
      <w:proofErr w:type="spellEnd"/>
      <w:r>
        <w:t xml:space="preserve">/L) and identification of CFTR-dup2 mutation in homozygosity on massively parallel sequencing at the age of 49 years. The patient reported persistent respiratory and gastrointestinal symptoms since childhood. He was chronically colonized with Pseudomonas </w:t>
      </w:r>
      <w:proofErr w:type="spellStart"/>
      <w:r>
        <w:t>aeruginosa</w:t>
      </w:r>
      <w:proofErr w:type="spellEnd"/>
      <w:r>
        <w:t xml:space="preserve"> with moderate </w:t>
      </w:r>
      <w:proofErr w:type="spellStart"/>
      <w:r>
        <w:t>bronchiectatic</w:t>
      </w:r>
      <w:proofErr w:type="spellEnd"/>
      <w:r>
        <w:t xml:space="preserve"> changes and lung emphysema on chest CT scan in the presence of digital clubbing. He was a tobacco smoker for years in the past and his </w:t>
      </w:r>
      <w:proofErr w:type="spellStart"/>
      <w:r>
        <w:t>spirometric</w:t>
      </w:r>
      <w:proofErr w:type="spellEnd"/>
      <w:r>
        <w:t xml:space="preserve"> indices were extremely low with best FEV1 z-score of -5.2, FVC z-score of -0.5, and BMI z-score of 0.3. Abdominal ultrasonography showed an enlarged and diffusely </w:t>
      </w:r>
      <w:proofErr w:type="spellStart"/>
      <w:r>
        <w:t>hyperechogenic</w:t>
      </w:r>
      <w:proofErr w:type="spellEnd"/>
      <w:r>
        <w:t xml:space="preserve"> liver, although liver function tests are to date within normal range. Increased plasma amylase and fasting glucose levels on serial measurements were indicative for chronic pancreatitis and CF-related diabetes mellitus, respectively.</w:t>
      </w:r>
    </w:p>
    <w:p w:rsidR="00E22057" w:rsidRPr="00E22057" w:rsidRDefault="00E22057" w:rsidP="00E22057">
      <w:pPr>
        <w:spacing w:line="480" w:lineRule="auto"/>
        <w:jc w:val="both"/>
        <w:rPr>
          <w:b/>
        </w:rPr>
      </w:pPr>
      <w:r w:rsidRPr="00E22057">
        <w:rPr>
          <w:b/>
        </w:rPr>
        <w:t>Cases with compound heterozygosity of the novel p.Ser877Ala variant</w:t>
      </w:r>
    </w:p>
    <w:p w:rsidR="006D1AAE" w:rsidRDefault="00E22057" w:rsidP="00E22057">
      <w:pPr>
        <w:spacing w:line="480" w:lineRule="auto"/>
        <w:jc w:val="both"/>
      </w:pPr>
      <w:r>
        <w:lastRenderedPageBreak/>
        <w:t xml:space="preserve">A 16-year old male was diagnosed at the age of 14 years after presenting with persistent respiratory symptoms. He is compound heterozygous for the common p.Gly542X (G542X) mutation and the novel CFTR variant p.Ser877Ala and had two negative sweat chloride tests (24 and 21 </w:t>
      </w:r>
      <w:proofErr w:type="spellStart"/>
      <w:r>
        <w:t>mmol</w:t>
      </w:r>
      <w:proofErr w:type="spellEnd"/>
      <w:r>
        <w:t xml:space="preserve">/L). According to the ACMG.net classification this variant is Class 3 – variant of unknown significance (Harrison et al., 2019). His best FEV1 z-score was 0.2, and FVC z-score -0.8, and he is a high-performing athlete. Although several sputum cultures were positive for Pseudomonas aeruginosa, the modified Leeds criteria for chronic colonization were not fulfilled. Chest HRCT scan revealed localized mild </w:t>
      </w:r>
      <w:proofErr w:type="spellStart"/>
      <w:r>
        <w:t>bronchiectatic</w:t>
      </w:r>
      <w:proofErr w:type="spellEnd"/>
      <w:r>
        <w:t xml:space="preserve"> changes. Therefore, this case is classified as a CFTR-related [2] disorder and the patient will be continuously monitored for the eventual development of CF symptoms in adulthood.</w:t>
      </w:r>
    </w:p>
    <w:p w:rsidR="00E22057" w:rsidRDefault="00E22057" w:rsidP="00E22057"/>
    <w:p w:rsidR="00E22057" w:rsidRPr="00E22057" w:rsidRDefault="00E22057" w:rsidP="00E22057">
      <w:pPr>
        <w:rPr>
          <w:b/>
        </w:rPr>
      </w:pPr>
      <w:r w:rsidRPr="00E22057">
        <w:rPr>
          <w:b/>
        </w:rPr>
        <w:t>References</w:t>
      </w:r>
    </w:p>
    <w:p w:rsidR="00E22057" w:rsidRDefault="00E22057" w:rsidP="00E22057">
      <w:pPr>
        <w:pStyle w:val="ListParagraph"/>
        <w:numPr>
          <w:ilvl w:val="0"/>
          <w:numId w:val="1"/>
        </w:numPr>
      </w:pPr>
      <w:proofErr w:type="spellStart"/>
      <w:r w:rsidRPr="00E22057">
        <w:t>Forzan</w:t>
      </w:r>
      <w:proofErr w:type="spellEnd"/>
      <w:r w:rsidRPr="00E22057">
        <w:t xml:space="preserve"> M, </w:t>
      </w:r>
      <w:proofErr w:type="spellStart"/>
      <w:r w:rsidRPr="00E22057">
        <w:t>Salviati</w:t>
      </w:r>
      <w:proofErr w:type="spellEnd"/>
      <w:r w:rsidRPr="00E22057">
        <w:t xml:space="preserve"> L, </w:t>
      </w:r>
      <w:proofErr w:type="spellStart"/>
      <w:r w:rsidRPr="00E22057">
        <w:t>Pertegato</w:t>
      </w:r>
      <w:proofErr w:type="spellEnd"/>
      <w:r w:rsidRPr="00E22057">
        <w:t xml:space="preserve"> V, </w:t>
      </w:r>
      <w:proofErr w:type="spellStart"/>
      <w:r w:rsidRPr="00E22057">
        <w:t>Casarin</w:t>
      </w:r>
      <w:proofErr w:type="spellEnd"/>
      <w:r w:rsidRPr="00E22057">
        <w:t xml:space="preserve"> A, </w:t>
      </w:r>
      <w:proofErr w:type="spellStart"/>
      <w:r w:rsidRPr="00E22057">
        <w:t>Bruson</w:t>
      </w:r>
      <w:proofErr w:type="spellEnd"/>
      <w:r w:rsidRPr="00E22057">
        <w:t xml:space="preserve"> A, </w:t>
      </w:r>
      <w:proofErr w:type="spellStart"/>
      <w:r w:rsidRPr="00E22057">
        <w:t>Trevisson</w:t>
      </w:r>
      <w:proofErr w:type="spellEnd"/>
      <w:r w:rsidRPr="00E22057">
        <w:t xml:space="preserve"> E, Di </w:t>
      </w:r>
      <w:proofErr w:type="spellStart"/>
      <w:r w:rsidRPr="00E22057">
        <w:t>Gianantonio</w:t>
      </w:r>
      <w:proofErr w:type="spellEnd"/>
      <w:r w:rsidRPr="00E22057">
        <w:t xml:space="preserve"> E, </w:t>
      </w:r>
      <w:proofErr w:type="spellStart"/>
      <w:r w:rsidRPr="00E22057">
        <w:t>Clementi</w:t>
      </w:r>
      <w:proofErr w:type="spellEnd"/>
      <w:r w:rsidRPr="00E22057">
        <w:t xml:space="preserve"> M: Is CFTR 621 3 A&gt; G a cystic fibrosis causing mutation? J Hum Genet 2010, 55(1):23-26.</w:t>
      </w:r>
    </w:p>
    <w:p w:rsidR="00E22057" w:rsidRDefault="00E22057" w:rsidP="00E22057">
      <w:pPr>
        <w:pStyle w:val="ListParagraph"/>
        <w:numPr>
          <w:ilvl w:val="0"/>
          <w:numId w:val="1"/>
        </w:numPr>
      </w:pPr>
      <w:proofErr w:type="spellStart"/>
      <w:r w:rsidRPr="00E22057">
        <w:t>Bombieri</w:t>
      </w:r>
      <w:proofErr w:type="spellEnd"/>
      <w:r w:rsidRPr="00E22057">
        <w:t xml:space="preserve"> C, </w:t>
      </w:r>
      <w:proofErr w:type="spellStart"/>
      <w:r w:rsidRPr="00E22057">
        <w:t>Claustres</w:t>
      </w:r>
      <w:proofErr w:type="spellEnd"/>
      <w:r w:rsidRPr="00E22057">
        <w:t xml:space="preserve"> M, De </w:t>
      </w:r>
      <w:proofErr w:type="spellStart"/>
      <w:r w:rsidRPr="00E22057">
        <w:t>Boeck</w:t>
      </w:r>
      <w:proofErr w:type="spellEnd"/>
      <w:r w:rsidRPr="00E22057">
        <w:t xml:space="preserve"> K, </w:t>
      </w:r>
      <w:proofErr w:type="spellStart"/>
      <w:r w:rsidRPr="00E22057">
        <w:t>Derichs</w:t>
      </w:r>
      <w:proofErr w:type="spellEnd"/>
      <w:r w:rsidRPr="00E22057">
        <w:t xml:space="preserve"> N, Dodge J, </w:t>
      </w:r>
      <w:proofErr w:type="spellStart"/>
      <w:r w:rsidRPr="00E22057">
        <w:t>Girodon</w:t>
      </w:r>
      <w:proofErr w:type="spellEnd"/>
      <w:r w:rsidRPr="00E22057">
        <w:t xml:space="preserve"> E, </w:t>
      </w:r>
      <w:proofErr w:type="spellStart"/>
      <w:r w:rsidRPr="00E22057">
        <w:t>Sermet</w:t>
      </w:r>
      <w:proofErr w:type="spellEnd"/>
      <w:r w:rsidRPr="00E22057">
        <w:t xml:space="preserve"> I, Schwarz M, </w:t>
      </w:r>
      <w:proofErr w:type="spellStart"/>
      <w:r w:rsidRPr="00E22057">
        <w:t>Tzetis</w:t>
      </w:r>
      <w:proofErr w:type="spellEnd"/>
      <w:r w:rsidRPr="00E22057">
        <w:t xml:space="preserve"> M, </w:t>
      </w:r>
      <w:proofErr w:type="spellStart"/>
      <w:r w:rsidRPr="00E22057">
        <w:t>Wilschanski</w:t>
      </w:r>
      <w:proofErr w:type="spellEnd"/>
      <w:r w:rsidRPr="00E22057">
        <w:t xml:space="preserve"> M: Recommendations for the classification of diseases as CFTR-related disorders. Journal of Cystic Fibrosis 2011, 10:S86-S102.</w:t>
      </w:r>
    </w:p>
    <w:sectPr w:rsidR="00E220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75FCB"/>
    <w:multiLevelType w:val="hybridMultilevel"/>
    <w:tmpl w:val="3D845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DD9"/>
    <w:rsid w:val="0000351B"/>
    <w:rsid w:val="00004E60"/>
    <w:rsid w:val="00010F33"/>
    <w:rsid w:val="000121D2"/>
    <w:rsid w:val="0001330F"/>
    <w:rsid w:val="00022D58"/>
    <w:rsid w:val="00025851"/>
    <w:rsid w:val="00036E2F"/>
    <w:rsid w:val="00037DCD"/>
    <w:rsid w:val="00037FAE"/>
    <w:rsid w:val="00040E5B"/>
    <w:rsid w:val="00041BA8"/>
    <w:rsid w:val="00042235"/>
    <w:rsid w:val="0005781F"/>
    <w:rsid w:val="00057F78"/>
    <w:rsid w:val="000671FC"/>
    <w:rsid w:val="00067386"/>
    <w:rsid w:val="00076BAD"/>
    <w:rsid w:val="0009295D"/>
    <w:rsid w:val="00094DF1"/>
    <w:rsid w:val="000A4658"/>
    <w:rsid w:val="000B581A"/>
    <w:rsid w:val="000C279B"/>
    <w:rsid w:val="000C68C5"/>
    <w:rsid w:val="000C6CBE"/>
    <w:rsid w:val="000D1ABE"/>
    <w:rsid w:val="000D635D"/>
    <w:rsid w:val="000E6284"/>
    <w:rsid w:val="000F3E05"/>
    <w:rsid w:val="000F52F8"/>
    <w:rsid w:val="000F60E2"/>
    <w:rsid w:val="001039FD"/>
    <w:rsid w:val="001067E2"/>
    <w:rsid w:val="00112896"/>
    <w:rsid w:val="001178F0"/>
    <w:rsid w:val="00121DB2"/>
    <w:rsid w:val="00125D6F"/>
    <w:rsid w:val="00130952"/>
    <w:rsid w:val="00141681"/>
    <w:rsid w:val="0014253C"/>
    <w:rsid w:val="00147EBC"/>
    <w:rsid w:val="00155FE8"/>
    <w:rsid w:val="00164150"/>
    <w:rsid w:val="001668DB"/>
    <w:rsid w:val="00166A66"/>
    <w:rsid w:val="001862E9"/>
    <w:rsid w:val="00190D89"/>
    <w:rsid w:val="001A0CB0"/>
    <w:rsid w:val="001A4E21"/>
    <w:rsid w:val="001A7706"/>
    <w:rsid w:val="001B6FE7"/>
    <w:rsid w:val="001C3ACA"/>
    <w:rsid w:val="001C4DDF"/>
    <w:rsid w:val="001C7405"/>
    <w:rsid w:val="001C7DD9"/>
    <w:rsid w:val="001E2FA8"/>
    <w:rsid w:val="001E6B5A"/>
    <w:rsid w:val="001E6DAA"/>
    <w:rsid w:val="001E7CF0"/>
    <w:rsid w:val="001F5DE0"/>
    <w:rsid w:val="001F7969"/>
    <w:rsid w:val="00200460"/>
    <w:rsid w:val="002101CB"/>
    <w:rsid w:val="00210805"/>
    <w:rsid w:val="002119DC"/>
    <w:rsid w:val="00212C22"/>
    <w:rsid w:val="00215B68"/>
    <w:rsid w:val="00220D1E"/>
    <w:rsid w:val="002215B1"/>
    <w:rsid w:val="00230029"/>
    <w:rsid w:val="00230C78"/>
    <w:rsid w:val="00231C6A"/>
    <w:rsid w:val="00233B6E"/>
    <w:rsid w:val="00235145"/>
    <w:rsid w:val="002377E8"/>
    <w:rsid w:val="00237A1C"/>
    <w:rsid w:val="002411EC"/>
    <w:rsid w:val="00241ACD"/>
    <w:rsid w:val="00242048"/>
    <w:rsid w:val="00244B7B"/>
    <w:rsid w:val="00245118"/>
    <w:rsid w:val="00252A30"/>
    <w:rsid w:val="00252C61"/>
    <w:rsid w:val="002626E0"/>
    <w:rsid w:val="00262DBF"/>
    <w:rsid w:val="00267666"/>
    <w:rsid w:val="002706D8"/>
    <w:rsid w:val="00270770"/>
    <w:rsid w:val="002730CD"/>
    <w:rsid w:val="00275513"/>
    <w:rsid w:val="00275876"/>
    <w:rsid w:val="00284988"/>
    <w:rsid w:val="002927F4"/>
    <w:rsid w:val="002958FA"/>
    <w:rsid w:val="00296C91"/>
    <w:rsid w:val="002A3124"/>
    <w:rsid w:val="002B42FF"/>
    <w:rsid w:val="002B578F"/>
    <w:rsid w:val="002B7596"/>
    <w:rsid w:val="002C123E"/>
    <w:rsid w:val="002C2C6B"/>
    <w:rsid w:val="002D2062"/>
    <w:rsid w:val="002D4753"/>
    <w:rsid w:val="002E0058"/>
    <w:rsid w:val="002E0069"/>
    <w:rsid w:val="002E4D23"/>
    <w:rsid w:val="002E77CB"/>
    <w:rsid w:val="002F270F"/>
    <w:rsid w:val="002F2F2B"/>
    <w:rsid w:val="002F34EE"/>
    <w:rsid w:val="002F6038"/>
    <w:rsid w:val="002F6EB9"/>
    <w:rsid w:val="0030083B"/>
    <w:rsid w:val="00303E9C"/>
    <w:rsid w:val="003043E0"/>
    <w:rsid w:val="00311C68"/>
    <w:rsid w:val="00312984"/>
    <w:rsid w:val="00313AD5"/>
    <w:rsid w:val="00322E09"/>
    <w:rsid w:val="00323E4C"/>
    <w:rsid w:val="0033106E"/>
    <w:rsid w:val="00340D15"/>
    <w:rsid w:val="003502D9"/>
    <w:rsid w:val="0035408B"/>
    <w:rsid w:val="003612DB"/>
    <w:rsid w:val="00371659"/>
    <w:rsid w:val="00372802"/>
    <w:rsid w:val="00376C54"/>
    <w:rsid w:val="00381A59"/>
    <w:rsid w:val="003917D2"/>
    <w:rsid w:val="003919DF"/>
    <w:rsid w:val="00394145"/>
    <w:rsid w:val="00395AC4"/>
    <w:rsid w:val="003A045C"/>
    <w:rsid w:val="003A1D3A"/>
    <w:rsid w:val="003A2FA0"/>
    <w:rsid w:val="003B17E1"/>
    <w:rsid w:val="003B35AE"/>
    <w:rsid w:val="003B52A5"/>
    <w:rsid w:val="003B631D"/>
    <w:rsid w:val="003C12F0"/>
    <w:rsid w:val="003C137F"/>
    <w:rsid w:val="003C406A"/>
    <w:rsid w:val="003C47E8"/>
    <w:rsid w:val="003E01B9"/>
    <w:rsid w:val="003E1AAA"/>
    <w:rsid w:val="003E50F6"/>
    <w:rsid w:val="003F1AEB"/>
    <w:rsid w:val="003F5500"/>
    <w:rsid w:val="00400E7F"/>
    <w:rsid w:val="00402A8E"/>
    <w:rsid w:val="00427B3E"/>
    <w:rsid w:val="0043072F"/>
    <w:rsid w:val="00437019"/>
    <w:rsid w:val="004473BC"/>
    <w:rsid w:val="00447515"/>
    <w:rsid w:val="00453B3E"/>
    <w:rsid w:val="00467B57"/>
    <w:rsid w:val="00480AAE"/>
    <w:rsid w:val="004901F2"/>
    <w:rsid w:val="004A03D4"/>
    <w:rsid w:val="004A0517"/>
    <w:rsid w:val="004B18D2"/>
    <w:rsid w:val="004B2110"/>
    <w:rsid w:val="004B242B"/>
    <w:rsid w:val="004B4548"/>
    <w:rsid w:val="004B55C8"/>
    <w:rsid w:val="004C7110"/>
    <w:rsid w:val="004D13B3"/>
    <w:rsid w:val="004E55DD"/>
    <w:rsid w:val="004F0FC9"/>
    <w:rsid w:val="004F6A2D"/>
    <w:rsid w:val="0050087F"/>
    <w:rsid w:val="00512A4D"/>
    <w:rsid w:val="00516981"/>
    <w:rsid w:val="00517D53"/>
    <w:rsid w:val="00521625"/>
    <w:rsid w:val="00546958"/>
    <w:rsid w:val="00563A0E"/>
    <w:rsid w:val="00564153"/>
    <w:rsid w:val="0057694D"/>
    <w:rsid w:val="00577B94"/>
    <w:rsid w:val="005823BA"/>
    <w:rsid w:val="00585C89"/>
    <w:rsid w:val="0059338A"/>
    <w:rsid w:val="00594629"/>
    <w:rsid w:val="005A18C6"/>
    <w:rsid w:val="005B2E54"/>
    <w:rsid w:val="005B5291"/>
    <w:rsid w:val="005C31DD"/>
    <w:rsid w:val="0060487F"/>
    <w:rsid w:val="00606F74"/>
    <w:rsid w:val="00616D0E"/>
    <w:rsid w:val="00627001"/>
    <w:rsid w:val="00627226"/>
    <w:rsid w:val="00630805"/>
    <w:rsid w:val="0063185E"/>
    <w:rsid w:val="006324FE"/>
    <w:rsid w:val="006374D5"/>
    <w:rsid w:val="00637EE6"/>
    <w:rsid w:val="006431B4"/>
    <w:rsid w:val="006448CF"/>
    <w:rsid w:val="00652C1B"/>
    <w:rsid w:val="00657729"/>
    <w:rsid w:val="006678FE"/>
    <w:rsid w:val="006747F3"/>
    <w:rsid w:val="00680C26"/>
    <w:rsid w:val="00685916"/>
    <w:rsid w:val="00686F31"/>
    <w:rsid w:val="006939C4"/>
    <w:rsid w:val="006956F3"/>
    <w:rsid w:val="006A1048"/>
    <w:rsid w:val="006B4238"/>
    <w:rsid w:val="006B5530"/>
    <w:rsid w:val="006B7BDF"/>
    <w:rsid w:val="006C501B"/>
    <w:rsid w:val="006D1AAE"/>
    <w:rsid w:val="006D566E"/>
    <w:rsid w:val="006E211E"/>
    <w:rsid w:val="006E3853"/>
    <w:rsid w:val="006F497B"/>
    <w:rsid w:val="00700907"/>
    <w:rsid w:val="00713AC2"/>
    <w:rsid w:val="0072300D"/>
    <w:rsid w:val="00732902"/>
    <w:rsid w:val="00744D00"/>
    <w:rsid w:val="007604E2"/>
    <w:rsid w:val="0077532E"/>
    <w:rsid w:val="00775C5A"/>
    <w:rsid w:val="00792049"/>
    <w:rsid w:val="0079620D"/>
    <w:rsid w:val="007A21E0"/>
    <w:rsid w:val="007B56CC"/>
    <w:rsid w:val="007C2012"/>
    <w:rsid w:val="007C7A99"/>
    <w:rsid w:val="007D7D87"/>
    <w:rsid w:val="007E51FC"/>
    <w:rsid w:val="007F00B9"/>
    <w:rsid w:val="007F2AEE"/>
    <w:rsid w:val="007F43A1"/>
    <w:rsid w:val="008165AD"/>
    <w:rsid w:val="00823274"/>
    <w:rsid w:val="008253FA"/>
    <w:rsid w:val="0082634A"/>
    <w:rsid w:val="00826866"/>
    <w:rsid w:val="00841CFF"/>
    <w:rsid w:val="00847844"/>
    <w:rsid w:val="0085147B"/>
    <w:rsid w:val="00855644"/>
    <w:rsid w:val="00861775"/>
    <w:rsid w:val="00865D7D"/>
    <w:rsid w:val="0087714F"/>
    <w:rsid w:val="00883F6B"/>
    <w:rsid w:val="00893746"/>
    <w:rsid w:val="008A1262"/>
    <w:rsid w:val="008A3BB4"/>
    <w:rsid w:val="008A6042"/>
    <w:rsid w:val="008C0241"/>
    <w:rsid w:val="008C2DF2"/>
    <w:rsid w:val="008C6F46"/>
    <w:rsid w:val="008D2232"/>
    <w:rsid w:val="008D6286"/>
    <w:rsid w:val="008E2F4C"/>
    <w:rsid w:val="008E3310"/>
    <w:rsid w:val="008E4EDA"/>
    <w:rsid w:val="008F36D7"/>
    <w:rsid w:val="008F6EF0"/>
    <w:rsid w:val="0090375E"/>
    <w:rsid w:val="00906454"/>
    <w:rsid w:val="009111DC"/>
    <w:rsid w:val="0091194B"/>
    <w:rsid w:val="00911FCB"/>
    <w:rsid w:val="00912244"/>
    <w:rsid w:val="00916962"/>
    <w:rsid w:val="00923649"/>
    <w:rsid w:val="00923C35"/>
    <w:rsid w:val="00925828"/>
    <w:rsid w:val="00925856"/>
    <w:rsid w:val="009463B6"/>
    <w:rsid w:val="00957B99"/>
    <w:rsid w:val="00962A7A"/>
    <w:rsid w:val="0096696E"/>
    <w:rsid w:val="009732D3"/>
    <w:rsid w:val="0097390F"/>
    <w:rsid w:val="00982926"/>
    <w:rsid w:val="00985D9B"/>
    <w:rsid w:val="00994D9B"/>
    <w:rsid w:val="009A3BDF"/>
    <w:rsid w:val="009A60F6"/>
    <w:rsid w:val="009B1139"/>
    <w:rsid w:val="009B17CD"/>
    <w:rsid w:val="009B24E2"/>
    <w:rsid w:val="009B7F1F"/>
    <w:rsid w:val="009C163D"/>
    <w:rsid w:val="009C6A1D"/>
    <w:rsid w:val="009D08EE"/>
    <w:rsid w:val="009D2075"/>
    <w:rsid w:val="009D26D4"/>
    <w:rsid w:val="009D4BED"/>
    <w:rsid w:val="009E4A5D"/>
    <w:rsid w:val="009E59C3"/>
    <w:rsid w:val="009E62B5"/>
    <w:rsid w:val="009E65F3"/>
    <w:rsid w:val="009E744E"/>
    <w:rsid w:val="009F45F8"/>
    <w:rsid w:val="00A03835"/>
    <w:rsid w:val="00A061F2"/>
    <w:rsid w:val="00A14CC6"/>
    <w:rsid w:val="00A15C3E"/>
    <w:rsid w:val="00A2485E"/>
    <w:rsid w:val="00A24DA0"/>
    <w:rsid w:val="00A264C3"/>
    <w:rsid w:val="00A3581E"/>
    <w:rsid w:val="00A37BF0"/>
    <w:rsid w:val="00A461C9"/>
    <w:rsid w:val="00A524F0"/>
    <w:rsid w:val="00A571B1"/>
    <w:rsid w:val="00A619C6"/>
    <w:rsid w:val="00A62A43"/>
    <w:rsid w:val="00A67CC6"/>
    <w:rsid w:val="00A740D3"/>
    <w:rsid w:val="00A76775"/>
    <w:rsid w:val="00A80468"/>
    <w:rsid w:val="00A83363"/>
    <w:rsid w:val="00A919CF"/>
    <w:rsid w:val="00A93C8A"/>
    <w:rsid w:val="00AA259A"/>
    <w:rsid w:val="00AB5BAD"/>
    <w:rsid w:val="00AC25B3"/>
    <w:rsid w:val="00AC740F"/>
    <w:rsid w:val="00AD20EF"/>
    <w:rsid w:val="00AD273D"/>
    <w:rsid w:val="00AD7BF1"/>
    <w:rsid w:val="00AE0354"/>
    <w:rsid w:val="00AE5C59"/>
    <w:rsid w:val="00AE7293"/>
    <w:rsid w:val="00B00776"/>
    <w:rsid w:val="00B051B0"/>
    <w:rsid w:val="00B0583B"/>
    <w:rsid w:val="00B15B90"/>
    <w:rsid w:val="00B17A58"/>
    <w:rsid w:val="00B20D53"/>
    <w:rsid w:val="00B2138B"/>
    <w:rsid w:val="00B24821"/>
    <w:rsid w:val="00B26378"/>
    <w:rsid w:val="00B32714"/>
    <w:rsid w:val="00B32AC9"/>
    <w:rsid w:val="00B33840"/>
    <w:rsid w:val="00B34E9B"/>
    <w:rsid w:val="00B4198B"/>
    <w:rsid w:val="00B4359D"/>
    <w:rsid w:val="00B4759D"/>
    <w:rsid w:val="00B50FAE"/>
    <w:rsid w:val="00B52079"/>
    <w:rsid w:val="00B6631B"/>
    <w:rsid w:val="00B7134C"/>
    <w:rsid w:val="00B73D93"/>
    <w:rsid w:val="00B745D9"/>
    <w:rsid w:val="00B85B3F"/>
    <w:rsid w:val="00B90F02"/>
    <w:rsid w:val="00B920D3"/>
    <w:rsid w:val="00BA3FE4"/>
    <w:rsid w:val="00BA6A23"/>
    <w:rsid w:val="00BA75AA"/>
    <w:rsid w:val="00BA7D3D"/>
    <w:rsid w:val="00BA7E62"/>
    <w:rsid w:val="00BB3317"/>
    <w:rsid w:val="00BC6513"/>
    <w:rsid w:val="00BD2D04"/>
    <w:rsid w:val="00BD4B44"/>
    <w:rsid w:val="00BE365B"/>
    <w:rsid w:val="00BE5AA5"/>
    <w:rsid w:val="00BF2178"/>
    <w:rsid w:val="00BF287A"/>
    <w:rsid w:val="00C104E6"/>
    <w:rsid w:val="00C13A0A"/>
    <w:rsid w:val="00C43671"/>
    <w:rsid w:val="00C50F5A"/>
    <w:rsid w:val="00C5249F"/>
    <w:rsid w:val="00C53668"/>
    <w:rsid w:val="00C57CC9"/>
    <w:rsid w:val="00C61F3E"/>
    <w:rsid w:val="00C67943"/>
    <w:rsid w:val="00C7315F"/>
    <w:rsid w:val="00C748A9"/>
    <w:rsid w:val="00C7601C"/>
    <w:rsid w:val="00C76526"/>
    <w:rsid w:val="00C76706"/>
    <w:rsid w:val="00C8224D"/>
    <w:rsid w:val="00C9400A"/>
    <w:rsid w:val="00C958FA"/>
    <w:rsid w:val="00C95E88"/>
    <w:rsid w:val="00CA2812"/>
    <w:rsid w:val="00CA3BE8"/>
    <w:rsid w:val="00CA52C0"/>
    <w:rsid w:val="00CB292F"/>
    <w:rsid w:val="00CB7128"/>
    <w:rsid w:val="00CC004A"/>
    <w:rsid w:val="00CC70A8"/>
    <w:rsid w:val="00CD2136"/>
    <w:rsid w:val="00CD4D33"/>
    <w:rsid w:val="00CE508F"/>
    <w:rsid w:val="00CE5FC9"/>
    <w:rsid w:val="00CF2961"/>
    <w:rsid w:val="00CF62AB"/>
    <w:rsid w:val="00CF6815"/>
    <w:rsid w:val="00D06B80"/>
    <w:rsid w:val="00D132F6"/>
    <w:rsid w:val="00D13E0B"/>
    <w:rsid w:val="00D151D0"/>
    <w:rsid w:val="00D202CA"/>
    <w:rsid w:val="00D2173C"/>
    <w:rsid w:val="00D24101"/>
    <w:rsid w:val="00D33BE7"/>
    <w:rsid w:val="00D34842"/>
    <w:rsid w:val="00D3534D"/>
    <w:rsid w:val="00D36342"/>
    <w:rsid w:val="00D41AE5"/>
    <w:rsid w:val="00D53CAA"/>
    <w:rsid w:val="00D5465E"/>
    <w:rsid w:val="00D56F8B"/>
    <w:rsid w:val="00D57731"/>
    <w:rsid w:val="00D57B00"/>
    <w:rsid w:val="00D655FA"/>
    <w:rsid w:val="00D67E73"/>
    <w:rsid w:val="00D72FC7"/>
    <w:rsid w:val="00D76644"/>
    <w:rsid w:val="00D82550"/>
    <w:rsid w:val="00D83220"/>
    <w:rsid w:val="00DA2567"/>
    <w:rsid w:val="00DA2D6B"/>
    <w:rsid w:val="00DA3278"/>
    <w:rsid w:val="00DA7491"/>
    <w:rsid w:val="00DB020E"/>
    <w:rsid w:val="00DB3786"/>
    <w:rsid w:val="00DB4E2C"/>
    <w:rsid w:val="00DC05A7"/>
    <w:rsid w:val="00DD29C6"/>
    <w:rsid w:val="00DD3C19"/>
    <w:rsid w:val="00DE2869"/>
    <w:rsid w:val="00DE61A4"/>
    <w:rsid w:val="00DE6E90"/>
    <w:rsid w:val="00E12210"/>
    <w:rsid w:val="00E149C8"/>
    <w:rsid w:val="00E22057"/>
    <w:rsid w:val="00E238B2"/>
    <w:rsid w:val="00E33A93"/>
    <w:rsid w:val="00E37BD4"/>
    <w:rsid w:val="00E40DE8"/>
    <w:rsid w:val="00E45557"/>
    <w:rsid w:val="00E5243F"/>
    <w:rsid w:val="00E53444"/>
    <w:rsid w:val="00E64A13"/>
    <w:rsid w:val="00E74EC6"/>
    <w:rsid w:val="00E813DB"/>
    <w:rsid w:val="00E82B24"/>
    <w:rsid w:val="00E97599"/>
    <w:rsid w:val="00EB082A"/>
    <w:rsid w:val="00EC584F"/>
    <w:rsid w:val="00ED209A"/>
    <w:rsid w:val="00ED44D1"/>
    <w:rsid w:val="00EE37E3"/>
    <w:rsid w:val="00EE4046"/>
    <w:rsid w:val="00EE50CA"/>
    <w:rsid w:val="00EE78DA"/>
    <w:rsid w:val="00EF5555"/>
    <w:rsid w:val="00EF6093"/>
    <w:rsid w:val="00F014A1"/>
    <w:rsid w:val="00F03AF6"/>
    <w:rsid w:val="00F0505C"/>
    <w:rsid w:val="00F055F0"/>
    <w:rsid w:val="00F108EC"/>
    <w:rsid w:val="00F12059"/>
    <w:rsid w:val="00F13946"/>
    <w:rsid w:val="00F1516C"/>
    <w:rsid w:val="00F1668F"/>
    <w:rsid w:val="00F2007A"/>
    <w:rsid w:val="00F37158"/>
    <w:rsid w:val="00F44367"/>
    <w:rsid w:val="00F4628D"/>
    <w:rsid w:val="00F4741D"/>
    <w:rsid w:val="00F47F0C"/>
    <w:rsid w:val="00F50472"/>
    <w:rsid w:val="00F504C6"/>
    <w:rsid w:val="00F510C9"/>
    <w:rsid w:val="00F51FD1"/>
    <w:rsid w:val="00F6371E"/>
    <w:rsid w:val="00F749C0"/>
    <w:rsid w:val="00F8676D"/>
    <w:rsid w:val="00F94682"/>
    <w:rsid w:val="00FA28D3"/>
    <w:rsid w:val="00FA7CCD"/>
    <w:rsid w:val="00FB18EE"/>
    <w:rsid w:val="00FB26F4"/>
    <w:rsid w:val="00FB3079"/>
    <w:rsid w:val="00FB3A0C"/>
    <w:rsid w:val="00FB7858"/>
    <w:rsid w:val="00FB7E6F"/>
    <w:rsid w:val="00FC6372"/>
    <w:rsid w:val="00FC7654"/>
    <w:rsid w:val="00FD00AD"/>
    <w:rsid w:val="00FD517E"/>
    <w:rsid w:val="00FD7B2F"/>
    <w:rsid w:val="00FE68C6"/>
    <w:rsid w:val="00FF3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2952D-213B-4E51-A85E-ACF88D4E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057"/>
    <w:rPr>
      <w:color w:val="0563C1" w:themeColor="hyperlink"/>
      <w:u w:val="single"/>
    </w:rPr>
  </w:style>
  <w:style w:type="paragraph" w:styleId="ListParagraph">
    <w:name w:val="List Paragraph"/>
    <w:basedOn w:val="Normal"/>
    <w:uiPriority w:val="34"/>
    <w:qFormat/>
    <w:rsid w:val="00E22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ftr2.org/mutation/general/621%252B3A-%253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pankouis@outlook.com</dc:creator>
  <cp:keywords/>
  <dc:description/>
  <cp:lastModifiedBy>Caroline Rubince G.</cp:lastModifiedBy>
  <cp:revision>4</cp:revision>
  <dcterms:created xsi:type="dcterms:W3CDTF">2021-08-23T15:30:00Z</dcterms:created>
  <dcterms:modified xsi:type="dcterms:W3CDTF">2021-09-23T09:25:00Z</dcterms:modified>
</cp:coreProperties>
</file>