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spacing w:line="480" w:lineRule="auto"/>
        <w:rPr>
          <w:rFonts w:hint="default" w:ascii="Times New Roman" w:hAnsi="Times New Roman" w:cs="Times New Roman"/>
          <w:b/>
          <w:bCs/>
          <w:sz w:val="21"/>
          <w:szCs w:val="21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>Table S1</w:t>
      </w:r>
      <w:r>
        <w:rPr>
          <w:rFonts w:hint="default" w:ascii="Times New Roman" w:hAnsi="Times New Roman" w:cs="Times New Roman"/>
          <w:b/>
          <w:bCs/>
          <w:sz w:val="21"/>
          <w:szCs w:val="21"/>
        </w:rPr>
        <w:t>. The site and distribution of the MEN1 mutation</w:t>
      </w:r>
    </w:p>
    <w:tbl>
      <w:tblPr>
        <w:tblStyle w:val="3"/>
        <w:tblW w:w="8426" w:type="dxa"/>
        <w:tblInd w:w="9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81"/>
        <w:gridCol w:w="2004"/>
        <w:gridCol w:w="364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278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480" w:lineRule="auto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bookmarkStart w:id="0" w:name="_GoBack" w:colFirst="1" w:colLast="2"/>
            <w:r>
              <w:rPr>
                <w:rFonts w:hint="default" w:ascii="Times New Roman" w:hAnsi="Times New Roman" w:cs="Times New Roman"/>
                <w:sz w:val="21"/>
                <w:szCs w:val="21"/>
              </w:rPr>
              <w:t>Location</w:t>
            </w:r>
          </w:p>
        </w:tc>
        <w:tc>
          <w:tcPr>
            <w:tcW w:w="200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No. of patients</w:t>
            </w:r>
          </w:p>
        </w:tc>
        <w:tc>
          <w:tcPr>
            <w:tcW w:w="364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Phenotype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2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480" w:lineRule="auto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Exon 2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2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480" w:lineRule="auto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 xml:space="preserve"> 249_252delGTCT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3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PHPT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2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480" w:lineRule="auto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 xml:space="preserve"> 124 G＜A (p.G42S)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3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PHPT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2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480" w:lineRule="auto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 xml:space="preserve"> G125T (p.G42V)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3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PHPT, PA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2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480" w:lineRule="auto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 xml:space="preserve"> 122 T＜C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3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PHPT, PA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2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480" w:lineRule="auto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 xml:space="preserve"> 313delC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3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PHPT, PA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2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480" w:lineRule="auto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Exon 3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2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480" w:lineRule="auto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 xml:space="preserve"> 593 G＜A (p.198WX)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3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PHPT, PA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2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480" w:lineRule="auto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 xml:space="preserve"> 497 A＜C (p.Q166P)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3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PHPT, gastrinoma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2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480" w:lineRule="auto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 xml:space="preserve"> 643-646 del ACAG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3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 xml:space="preserve">PHPT, gastrinoma, 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  <w:t>AA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2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480" w:lineRule="auto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Intron 3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2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480" w:lineRule="auto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 xml:space="preserve"> 783+1 G＜A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3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 xml:space="preserve">PHPT, gastrinoma, PA, 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  <w:t>AA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2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480" w:lineRule="auto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Intron 4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2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480" w:lineRule="auto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 xml:space="preserve"> 783+1 G＜A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3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 xml:space="preserve">PHPT, PA, 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  <w:t>AA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2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480" w:lineRule="auto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Exon 4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2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480" w:lineRule="auto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 xml:space="preserve"> 751delinsCC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3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PHPT, PA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2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480" w:lineRule="auto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Exon 5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2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480" w:lineRule="auto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 xml:space="preserve"> 839+2T＜G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3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PHPT, PA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2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480" w:lineRule="auto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Exon 6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2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480" w:lineRule="auto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 xml:space="preserve"> 839_840 insT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3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 xml:space="preserve">PHPT, PA, 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  <w:t>AA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2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480" w:lineRule="auto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 xml:space="preserve"> 927+2T＜C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3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PHPT, PA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2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480" w:lineRule="auto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Exon 7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2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480" w:lineRule="auto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 xml:space="preserve"> 969 C＜A (Y323X)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3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 xml:space="preserve">PHPT, PA, 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  <w:t>AA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, gastrinoma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2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480" w:lineRule="auto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Exon 8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2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480" w:lineRule="auto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 xml:space="preserve"> C1198T (p.Q400X)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3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PHPT, PA, gastrinoma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2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480" w:lineRule="auto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 xml:space="preserve"> G1177T (p.E393X)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3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PHPT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2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480" w:lineRule="auto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Exon9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2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480" w:lineRule="auto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 xml:space="preserve"> 1213 delC (p.Q405Rfs)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3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PHPT, gastrinoma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2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480" w:lineRule="auto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Exon 10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2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480" w:lineRule="auto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 xml:space="preserve"> 1533delC (p.T511fs)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3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PHPT, PA, gastrinoma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278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480" w:lineRule="auto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 xml:space="preserve"> 1561dupC (p.Arg521fs)</w:t>
            </w:r>
          </w:p>
        </w:tc>
        <w:tc>
          <w:tcPr>
            <w:tcW w:w="200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364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PHPT</w:t>
            </w:r>
          </w:p>
        </w:tc>
      </w:tr>
      <w:bookmarkEnd w:id="0"/>
    </w:tbl>
    <w:p>
      <w:pPr>
        <w:pStyle w:val="6"/>
        <w:spacing w:line="480" w:lineRule="auto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cs="Times New Roman"/>
          <w:sz w:val="21"/>
          <w:szCs w:val="21"/>
        </w:rPr>
        <w:t>PHPT, primary hyperparathyroidism; PA, pituitary adenoma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; AA, adrenal adenoma</w:t>
      </w:r>
      <w:r>
        <w:rPr>
          <w:rFonts w:hint="default" w:ascii="Times New Roman" w:hAnsi="Times New Roman" w:cs="Times New Roman"/>
          <w:sz w:val="21"/>
          <w:szCs w:val="21"/>
        </w:rPr>
        <w:t>.</w:t>
      </w:r>
    </w:p>
    <w:p>
      <w:pPr>
        <w:spacing w:line="480" w:lineRule="auto"/>
        <w:rPr>
          <w:rFonts w:hint="default" w:ascii="Times New Roman" w:hAnsi="Times New Roman" w:cs="Times New Roman"/>
          <w:sz w:val="21"/>
          <w:szCs w:val="21"/>
        </w:rPr>
      </w:pPr>
    </w:p>
    <w:p>
      <w:pPr>
        <w:spacing w:line="480" w:lineRule="auto"/>
        <w:rPr>
          <w:rFonts w:hint="default" w:ascii="Times New Roman" w:hAnsi="Times New Roman" w:cs="Times New Roman"/>
          <w:sz w:val="21"/>
          <w:szCs w:val="21"/>
        </w:rPr>
      </w:pPr>
    </w:p>
    <w:p>
      <w:pPr>
        <w:pStyle w:val="6"/>
        <w:spacing w:line="480" w:lineRule="auto"/>
        <w:rPr>
          <w:rFonts w:hint="default" w:ascii="Times New Roman" w:hAnsi="Times New Roman" w:cs="Times New Roman"/>
          <w:b/>
          <w:bCs/>
          <w:sz w:val="21"/>
          <w:szCs w:val="21"/>
        </w:rPr>
      </w:pPr>
    </w:p>
    <w:p>
      <w:pPr>
        <w:pStyle w:val="6"/>
        <w:spacing w:line="480" w:lineRule="auto"/>
        <w:rPr>
          <w:rFonts w:hint="default" w:ascii="Times New Roman" w:hAnsi="Times New Roman" w:cs="Times New Roman"/>
          <w:b/>
          <w:bCs/>
          <w:sz w:val="21"/>
          <w:szCs w:val="21"/>
        </w:rPr>
      </w:pPr>
    </w:p>
    <w:p>
      <w:pPr>
        <w:pStyle w:val="6"/>
        <w:spacing w:line="480" w:lineRule="auto"/>
        <w:rPr>
          <w:rFonts w:hint="default" w:ascii="Times New Roman" w:hAnsi="Times New Roman" w:cs="Times New Roman"/>
          <w:b/>
          <w:bCs/>
          <w:sz w:val="21"/>
          <w:szCs w:val="21"/>
        </w:rPr>
      </w:pPr>
    </w:p>
    <w:p>
      <w:pPr>
        <w:pStyle w:val="6"/>
        <w:spacing w:line="480" w:lineRule="auto"/>
        <w:rPr>
          <w:rFonts w:hint="default" w:ascii="Times New Roman" w:hAnsi="Times New Roman" w:cs="Times New Roman"/>
          <w:b/>
          <w:bCs/>
          <w:sz w:val="21"/>
          <w:szCs w:val="21"/>
        </w:rPr>
      </w:pPr>
    </w:p>
    <w:p>
      <w:pPr>
        <w:pStyle w:val="6"/>
        <w:spacing w:line="480" w:lineRule="auto"/>
        <w:rPr>
          <w:rFonts w:hint="default" w:ascii="Times New Roman" w:hAnsi="Times New Roman" w:cs="Times New Roman"/>
          <w:b/>
          <w:bCs/>
          <w:sz w:val="21"/>
          <w:szCs w:val="21"/>
        </w:rPr>
      </w:pPr>
    </w:p>
    <w:p>
      <w:pPr>
        <w:pStyle w:val="6"/>
        <w:spacing w:line="480" w:lineRule="auto"/>
        <w:rPr>
          <w:rFonts w:hint="default" w:ascii="Times New Roman" w:hAnsi="Times New Roman" w:cs="Times New Roman"/>
          <w:b/>
          <w:bCs/>
          <w:sz w:val="21"/>
          <w:szCs w:val="21"/>
        </w:rPr>
      </w:pPr>
    </w:p>
    <w:p>
      <w:pPr>
        <w:pStyle w:val="6"/>
        <w:spacing w:line="480" w:lineRule="auto"/>
        <w:rPr>
          <w:rFonts w:hint="default" w:ascii="Times New Roman" w:hAnsi="Times New Roman" w:cs="Times New Roman"/>
          <w:b/>
          <w:bCs/>
          <w:sz w:val="21"/>
          <w:szCs w:val="21"/>
        </w:rPr>
      </w:pPr>
    </w:p>
    <w:p>
      <w:pPr>
        <w:pStyle w:val="6"/>
        <w:spacing w:line="480" w:lineRule="auto"/>
        <w:rPr>
          <w:rFonts w:hint="default" w:ascii="Times New Roman" w:hAnsi="Times New Roman" w:cs="Times New Roman"/>
          <w:b/>
          <w:bCs/>
          <w:sz w:val="21"/>
          <w:szCs w:val="21"/>
        </w:rPr>
      </w:pPr>
    </w:p>
    <w:p>
      <w:pPr>
        <w:pStyle w:val="6"/>
        <w:spacing w:line="480" w:lineRule="auto"/>
        <w:rPr>
          <w:rFonts w:hint="default" w:ascii="Times New Roman" w:hAnsi="Times New Roman" w:cs="Times New Roman"/>
          <w:b/>
          <w:bCs/>
          <w:sz w:val="21"/>
          <w:szCs w:val="21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</w:rPr>
        <w:t xml:space="preserve">Table </w:t>
      </w: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>S2</w:t>
      </w:r>
      <w:r>
        <w:rPr>
          <w:rFonts w:hint="default" w:ascii="Times New Roman" w:hAnsi="Times New Roman" w:cs="Times New Roman"/>
          <w:b/>
          <w:bCs/>
          <w:sz w:val="21"/>
          <w:szCs w:val="21"/>
        </w:rPr>
        <w:t>. First manifestation of MEN1 patients with insulinoma</w:t>
      </w:r>
    </w:p>
    <w:tbl>
      <w:tblPr>
        <w:tblStyle w:val="4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10"/>
        <w:gridCol w:w="301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3010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>
            <w:pPr>
              <w:spacing w:line="480" w:lineRule="auto"/>
              <w:jc w:val="left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First manifestation</w:t>
            </w:r>
          </w:p>
        </w:tc>
        <w:tc>
          <w:tcPr>
            <w:tcW w:w="3010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Overall (n=55)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3010" w:type="dxa"/>
            <w:tcBorders>
              <w:top w:val="single" w:color="auto" w:sz="4" w:space="0"/>
            </w:tcBorders>
            <w:vAlign w:val="top"/>
          </w:tcPr>
          <w:p>
            <w:pPr>
              <w:spacing w:line="480" w:lineRule="auto"/>
              <w:jc w:val="left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Insulinoma, n (%)</w:t>
            </w:r>
          </w:p>
        </w:tc>
        <w:tc>
          <w:tcPr>
            <w:tcW w:w="3010" w:type="dxa"/>
            <w:tcBorders>
              <w:top w:val="single" w:color="auto" w:sz="4" w:space="0"/>
            </w:tcBorders>
            <w:vAlign w:val="top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shd w:val="clear" w:color="auto" w:fill="FFFFFF"/>
                <w:lang w:val="en-US" w:eastAsia="zh-CN"/>
              </w:rPr>
              <w:t>13 (23.6%)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3010" w:type="dxa"/>
            <w:vAlign w:val="top"/>
          </w:tcPr>
          <w:p>
            <w:pPr>
              <w:spacing w:line="480" w:lineRule="auto"/>
              <w:jc w:val="left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Insulinoma+PHPT, n (%)</w:t>
            </w:r>
          </w:p>
        </w:tc>
        <w:tc>
          <w:tcPr>
            <w:tcW w:w="3010" w:type="dxa"/>
            <w:vAlign w:val="top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shd w:val="clear" w:color="auto" w:fill="FFFFFF"/>
                <w:lang w:val="en-US" w:eastAsia="zh-CN"/>
              </w:rPr>
              <w:t>15 (27.3%)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3010" w:type="dxa"/>
            <w:vAlign w:val="top"/>
          </w:tcPr>
          <w:p>
            <w:pPr>
              <w:spacing w:line="480" w:lineRule="auto"/>
              <w:jc w:val="left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Insulinoma+PA, n (%)</w:t>
            </w:r>
          </w:p>
        </w:tc>
        <w:tc>
          <w:tcPr>
            <w:tcW w:w="3010" w:type="dxa"/>
            <w:vAlign w:val="top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shd w:val="clear" w:color="auto" w:fill="FFFFFF"/>
                <w:lang w:val="en-US" w:eastAsia="zh-CN"/>
              </w:rPr>
              <w:t>1 (1.8%)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3010" w:type="dxa"/>
            <w:vAlign w:val="top"/>
          </w:tcPr>
          <w:p>
            <w:pPr>
              <w:spacing w:line="480" w:lineRule="auto"/>
              <w:jc w:val="left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Insulinoma+PHPT+PA, n (%)</w:t>
            </w:r>
          </w:p>
        </w:tc>
        <w:tc>
          <w:tcPr>
            <w:tcW w:w="3010" w:type="dxa"/>
            <w:vAlign w:val="top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shd w:val="clear" w:color="auto" w:fill="FFFFFF"/>
                <w:lang w:val="en-US" w:eastAsia="zh-CN"/>
              </w:rPr>
              <w:t>1 (1.8%)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3010" w:type="dxa"/>
            <w:vAlign w:val="top"/>
          </w:tcPr>
          <w:p>
            <w:pPr>
              <w:spacing w:line="480" w:lineRule="auto"/>
              <w:jc w:val="left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Gastrinoma, n (%)</w:t>
            </w:r>
          </w:p>
        </w:tc>
        <w:tc>
          <w:tcPr>
            <w:tcW w:w="3010" w:type="dxa"/>
            <w:vAlign w:val="top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shd w:val="clear" w:color="auto" w:fill="FFFFFF"/>
                <w:lang w:val="en-US" w:eastAsia="zh-CN"/>
              </w:rPr>
              <w:t>1 (1.8%)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3010" w:type="dxa"/>
            <w:vAlign w:val="top"/>
          </w:tcPr>
          <w:p>
            <w:pPr>
              <w:spacing w:line="480" w:lineRule="auto"/>
              <w:jc w:val="left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PA, n (%)</w:t>
            </w:r>
          </w:p>
        </w:tc>
        <w:tc>
          <w:tcPr>
            <w:tcW w:w="3010" w:type="dxa"/>
            <w:vAlign w:val="top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shd w:val="clear" w:color="auto" w:fill="FFFFFF"/>
                <w:lang w:val="en-US" w:eastAsia="zh-CN"/>
              </w:rPr>
              <w:t>3 (5.5%)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3010" w:type="dxa"/>
            <w:tcBorders>
              <w:bottom w:val="single" w:color="auto" w:sz="4" w:space="0"/>
            </w:tcBorders>
            <w:vAlign w:val="top"/>
          </w:tcPr>
          <w:p>
            <w:pPr>
              <w:spacing w:line="480" w:lineRule="auto"/>
              <w:jc w:val="left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Uncertain, n (%)</w:t>
            </w:r>
          </w:p>
        </w:tc>
        <w:tc>
          <w:tcPr>
            <w:tcW w:w="3010" w:type="dxa"/>
            <w:tcBorders>
              <w:bottom w:val="single" w:color="auto" w:sz="4" w:space="0"/>
            </w:tcBorders>
            <w:vAlign w:val="top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shd w:val="clear" w:color="auto" w:fill="FFFFFF"/>
                <w:lang w:val="en-US" w:eastAsia="zh-CN"/>
              </w:rPr>
              <w:t>21 (38.2%)</w:t>
            </w:r>
          </w:p>
        </w:tc>
      </w:tr>
    </w:tbl>
    <w:p>
      <w:pPr>
        <w:pStyle w:val="6"/>
        <w:spacing w:line="480" w:lineRule="auto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cs="Times New Roman"/>
          <w:sz w:val="21"/>
          <w:szCs w:val="21"/>
        </w:rPr>
        <w:t xml:space="preserve">MEN-1, multiple endocrine neoplasia type 1; </w:t>
      </w:r>
      <w:r>
        <w:rPr>
          <w:rFonts w:ascii="Times New Roman" w:hAnsi="Times New Roman" w:cs="Times New Roman"/>
          <w:sz w:val="21"/>
          <w:szCs w:val="21"/>
        </w:rPr>
        <w:t>PHPT, primary hyperparathyroidism; PA, pituitary adenoma</w:t>
      </w:r>
      <w:r>
        <w:rPr>
          <w:rFonts w:hint="default" w:ascii="Times New Roman" w:hAnsi="Times New Roman" w:cs="Times New Roman"/>
          <w:sz w:val="21"/>
          <w:szCs w:val="21"/>
        </w:rPr>
        <w:t>.</w:t>
      </w:r>
    </w:p>
    <w:p>
      <w:pPr>
        <w:pStyle w:val="6"/>
        <w:spacing w:line="480" w:lineRule="auto"/>
        <w:rPr>
          <w:rFonts w:hint="default" w:ascii="Times New Roman" w:hAnsi="Times New Roman" w:cs="Times New Roman"/>
          <w:b/>
          <w:bCs/>
          <w:sz w:val="21"/>
          <w:szCs w:val="21"/>
        </w:rPr>
      </w:pPr>
    </w:p>
    <w:p>
      <w:pPr>
        <w:pStyle w:val="6"/>
        <w:spacing w:line="480" w:lineRule="auto"/>
        <w:rPr>
          <w:rFonts w:hint="default" w:ascii="Times New Roman" w:hAnsi="Times New Roman" w:cs="Times New Roman"/>
          <w:b/>
          <w:bCs/>
          <w:sz w:val="21"/>
          <w:szCs w:val="21"/>
        </w:rPr>
      </w:pPr>
    </w:p>
    <w:p>
      <w:pPr>
        <w:pStyle w:val="6"/>
        <w:spacing w:line="480" w:lineRule="auto"/>
        <w:rPr>
          <w:rFonts w:hint="default" w:ascii="Times New Roman" w:hAnsi="Times New Roman" w:cs="Times New Roman"/>
          <w:b/>
          <w:bCs/>
          <w:sz w:val="21"/>
          <w:szCs w:val="21"/>
        </w:rPr>
      </w:pPr>
    </w:p>
    <w:p>
      <w:pPr>
        <w:pStyle w:val="6"/>
        <w:spacing w:line="480" w:lineRule="auto"/>
        <w:rPr>
          <w:rFonts w:hint="default" w:ascii="Times New Roman" w:hAnsi="Times New Roman" w:cs="Times New Roman"/>
          <w:b/>
          <w:bCs/>
          <w:sz w:val="21"/>
          <w:szCs w:val="21"/>
        </w:rPr>
      </w:pPr>
    </w:p>
    <w:p>
      <w:pPr>
        <w:pStyle w:val="6"/>
        <w:spacing w:line="480" w:lineRule="auto"/>
        <w:rPr>
          <w:rFonts w:hint="default" w:ascii="Times New Roman" w:hAnsi="Times New Roman" w:cs="Times New Roman"/>
          <w:b/>
          <w:bCs/>
          <w:sz w:val="21"/>
          <w:szCs w:val="21"/>
        </w:rPr>
      </w:pPr>
    </w:p>
    <w:p>
      <w:pPr>
        <w:pStyle w:val="6"/>
        <w:spacing w:line="480" w:lineRule="auto"/>
        <w:rPr>
          <w:rFonts w:hint="default" w:ascii="Times New Roman" w:hAnsi="Times New Roman" w:cs="Times New Roman"/>
          <w:b/>
          <w:bCs/>
          <w:sz w:val="21"/>
          <w:szCs w:val="21"/>
        </w:rPr>
      </w:pPr>
    </w:p>
    <w:p>
      <w:pPr>
        <w:pStyle w:val="6"/>
        <w:spacing w:line="480" w:lineRule="auto"/>
        <w:rPr>
          <w:rFonts w:hint="default" w:ascii="Times New Roman" w:hAnsi="Times New Roman" w:cs="Times New Roman"/>
          <w:b/>
          <w:bCs/>
          <w:sz w:val="21"/>
          <w:szCs w:val="21"/>
        </w:rPr>
      </w:pPr>
    </w:p>
    <w:p>
      <w:pPr>
        <w:pStyle w:val="6"/>
        <w:spacing w:line="480" w:lineRule="auto"/>
        <w:rPr>
          <w:rFonts w:hint="default" w:ascii="Times New Roman" w:hAnsi="Times New Roman" w:cs="Times New Roman"/>
          <w:b/>
          <w:bCs/>
          <w:sz w:val="21"/>
          <w:szCs w:val="21"/>
        </w:rPr>
      </w:pPr>
    </w:p>
    <w:p>
      <w:pPr>
        <w:pStyle w:val="6"/>
        <w:spacing w:line="480" w:lineRule="auto"/>
        <w:rPr>
          <w:rFonts w:hint="default" w:ascii="Times New Roman" w:hAnsi="Times New Roman" w:cs="Times New Roman"/>
          <w:b/>
          <w:bCs/>
          <w:sz w:val="21"/>
          <w:szCs w:val="21"/>
        </w:rPr>
      </w:pPr>
    </w:p>
    <w:p>
      <w:pPr>
        <w:pStyle w:val="6"/>
        <w:spacing w:line="480" w:lineRule="auto"/>
        <w:rPr>
          <w:rFonts w:hint="default" w:ascii="Times New Roman" w:hAnsi="Times New Roman" w:cs="Times New Roman"/>
          <w:b/>
          <w:bCs/>
          <w:sz w:val="21"/>
          <w:szCs w:val="21"/>
        </w:rPr>
      </w:pPr>
    </w:p>
    <w:p>
      <w:pPr>
        <w:spacing w:line="480" w:lineRule="auto"/>
        <w:rPr>
          <w:rFonts w:hint="default" w:ascii="Times New Roman" w:hAnsi="Times New Roman" w:cs="Times New Roman"/>
          <w:sz w:val="21"/>
          <w:szCs w:val="21"/>
        </w:rPr>
      </w:pPr>
    </w:p>
    <w:sectPr>
      <w:footerReference r:id="rId3" w:type="default"/>
      <w:pgSz w:w="11906" w:h="16838"/>
      <w:pgMar w:top="1440" w:right="1440" w:bottom="1440" w:left="1440" w:header="851" w:footer="992" w:gutter="0"/>
      <w:lnNumType w:countBy="1" w:restart="continuous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CBF2370"/>
    <w:rsid w:val="410467BD"/>
    <w:rsid w:val="556E6267"/>
    <w:rsid w:val="6EAA2D56"/>
    <w:rsid w:val="74C01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iPriority="99" w:semiHidden="0" w:name="heading 1"/>
    <w:lsdException w:uiPriority="99" w:semiHidden="0" w:name="heading 2"/>
    <w:lsdException w:uiPriority="9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qFormat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kern w:val="2"/>
      <w:sz w:val="18"/>
      <w:szCs w:val="18"/>
      <w:lang w:val="en-US" w:eastAsia="zh-CN" w:bidi="ar-SA"/>
    </w:r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EndNote Bibliography"/>
    <w:qFormat/>
    <w:uiPriority w:val="0"/>
    <w:pPr>
      <w:widowControl w:val="0"/>
      <w:jc w:val="both"/>
    </w:pPr>
    <w:rPr>
      <w:rFonts w:ascii="Calibri" w:hAnsi="Calibri" w:cs="Calibri" w:eastAsiaTheme="minorEastAsia"/>
      <w:kern w:val="2"/>
      <w:sz w:val="20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2021-08-01T12:26:00Z</dcterms:created>
  <dc:creator>木暖</dc:creator>
  <cp:lastModifiedBy>木暖</cp:lastModifiedBy>
  <dcterms:modified xsi:type="dcterms:W3CDTF">2022-03-09T18:48:39Z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DFE44FCD28CA49D09DAAC566135CE96F</vt:lpwstr>
  </property>
</Properties>
</file>