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01FC9" w14:textId="77777777" w:rsidR="000F6850" w:rsidRPr="001C1732" w:rsidRDefault="000F6850" w:rsidP="000F6850">
      <w:pPr>
        <w:pStyle w:val="Heading1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732">
        <w:rPr>
          <w:rFonts w:ascii="Times New Roman" w:hAnsi="Times New Roman" w:cs="Times New Roman"/>
          <w:sz w:val="24"/>
          <w:szCs w:val="24"/>
        </w:rPr>
        <w:t>Supplementary results. Description of outcomes in non-responders</w:t>
      </w:r>
    </w:p>
    <w:p w14:paraId="69A023CE" w14:textId="77777777" w:rsidR="000F6850" w:rsidRPr="001C1732" w:rsidRDefault="000F6850" w:rsidP="000F6850">
      <w:pPr>
        <w:pStyle w:val="Heading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732">
        <w:rPr>
          <w:rFonts w:ascii="Times New Roman" w:hAnsi="Times New Roman" w:cs="Times New Roman"/>
          <w:sz w:val="24"/>
          <w:szCs w:val="24"/>
        </w:rPr>
        <w:t xml:space="preserve">GGT assessments in patients with hepatic involvement </w:t>
      </w:r>
    </w:p>
    <w:p w14:paraId="3F8A821C" w14:textId="77777777" w:rsidR="000F6850" w:rsidRPr="001C1732" w:rsidRDefault="000F6850" w:rsidP="000F6850">
      <w:pPr>
        <w:spacing w:after="120" w:line="48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1C1732">
        <w:rPr>
          <w:rFonts w:ascii="Times New Roman" w:hAnsi="Times New Roman" w:cs="Times New Roman"/>
          <w:sz w:val="24"/>
          <w:szCs w:val="24"/>
          <w:lang w:eastAsia="en-GB"/>
        </w:rPr>
        <w:t xml:space="preserve">One patient with hepatic involvement and AL amyloidosis was a non-responder (119). GGT was stable throughout follow-up. </w:t>
      </w:r>
    </w:p>
    <w:p w14:paraId="3FAE31B5" w14:textId="77777777" w:rsidR="000F6850" w:rsidRPr="001C1732" w:rsidRDefault="000F6850" w:rsidP="000F6850">
      <w:pPr>
        <w:pStyle w:val="Heading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732">
        <w:rPr>
          <w:rFonts w:ascii="Times New Roman" w:hAnsi="Times New Roman" w:cs="Times New Roman"/>
          <w:sz w:val="24"/>
          <w:szCs w:val="24"/>
        </w:rPr>
        <w:t>eGFR assessments in patients with renal involvement</w:t>
      </w:r>
    </w:p>
    <w:p w14:paraId="18B5B5D0" w14:textId="77777777" w:rsidR="000F6850" w:rsidRPr="001C1732" w:rsidRDefault="000F6850" w:rsidP="000F6850">
      <w:pPr>
        <w:spacing w:after="120" w:line="48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1C1732">
        <w:rPr>
          <w:rFonts w:ascii="Times New Roman" w:hAnsi="Times New Roman" w:cs="Times New Roman"/>
          <w:sz w:val="24"/>
          <w:szCs w:val="24"/>
          <w:lang w:eastAsia="en-GB"/>
        </w:rPr>
        <w:t>One patient with cardiac and renal involvement, and AL amyloidosis, was a non-responder (120). eGFR decreased to 57 mL/min/1.73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1C1732">
        <w:rPr>
          <w:rFonts w:ascii="Times New Roman" w:hAnsi="Times New Roman" w:cs="Times New Roman"/>
          <w:sz w:val="24"/>
          <w:szCs w:val="24"/>
          <w:lang w:eastAsia="en-GB"/>
        </w:rPr>
        <w:t>m</w:t>
      </w:r>
      <w:r w:rsidRPr="001C1732">
        <w:rPr>
          <w:rFonts w:ascii="Times New Roman" w:hAnsi="Times New Roman" w:cs="Times New Roman"/>
          <w:sz w:val="24"/>
          <w:szCs w:val="24"/>
          <w:vertAlign w:val="superscript"/>
          <w:lang w:eastAsia="en-GB"/>
        </w:rPr>
        <w:t>2</w:t>
      </w:r>
      <w:r w:rsidRPr="001C1732">
        <w:rPr>
          <w:rFonts w:ascii="Times New Roman" w:hAnsi="Times New Roman" w:cs="Times New Roman"/>
          <w:sz w:val="24"/>
          <w:szCs w:val="24"/>
          <w:lang w:eastAsia="en-GB"/>
        </w:rPr>
        <w:t xml:space="preserve"> at 7 months post dose.</w:t>
      </w:r>
    </w:p>
    <w:p w14:paraId="0E0CA3DD" w14:textId="77777777" w:rsidR="000F6850" w:rsidRPr="001C1732" w:rsidRDefault="000F6850" w:rsidP="000F6850">
      <w:pPr>
        <w:pStyle w:val="Heading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732">
        <w:rPr>
          <w:rFonts w:ascii="Times New Roman" w:hAnsi="Times New Roman" w:cs="Times New Roman"/>
          <w:sz w:val="24"/>
          <w:szCs w:val="24"/>
        </w:rPr>
        <w:t xml:space="preserve">Cardiac assessments in patients with cardiac involvement </w:t>
      </w:r>
    </w:p>
    <w:p w14:paraId="15F70AB6" w14:textId="77777777" w:rsidR="000F6850" w:rsidRPr="001C1732" w:rsidRDefault="000F6850" w:rsidP="000F6850">
      <w:pPr>
        <w:spacing w:after="120" w:line="48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1C1732">
        <w:rPr>
          <w:rFonts w:ascii="Times New Roman" w:hAnsi="Times New Roman" w:cs="Times New Roman"/>
          <w:sz w:val="24"/>
          <w:szCs w:val="24"/>
          <w:lang w:eastAsia="en-GB"/>
        </w:rPr>
        <w:t>In the four non-responder patients with cardiac involvement (patients 120, 123, 124 and 125), NT-proBNP levels increased during or at the end of follow-up.</w:t>
      </w:r>
    </w:p>
    <w:p w14:paraId="4162AF26" w14:textId="77777777" w:rsidR="000F6850" w:rsidRPr="001C1732" w:rsidRDefault="000F6850" w:rsidP="000F6850">
      <w:pPr>
        <w:pStyle w:val="Heading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732">
        <w:rPr>
          <w:rFonts w:ascii="Times New Roman" w:hAnsi="Times New Roman" w:cs="Times New Roman"/>
          <w:sz w:val="24"/>
          <w:szCs w:val="24"/>
        </w:rPr>
        <w:t>Imaging assessments</w:t>
      </w:r>
    </w:p>
    <w:p w14:paraId="01E62624" w14:textId="77777777" w:rsidR="000F6850" w:rsidRPr="001C1732" w:rsidRDefault="000F6850" w:rsidP="000F6850">
      <w:pPr>
        <w:spacing w:after="120" w:line="48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1C1732">
        <w:rPr>
          <w:rFonts w:ascii="Times New Roman" w:hAnsi="Times New Roman" w:cs="Times New Roman"/>
          <w:sz w:val="24"/>
          <w:szCs w:val="24"/>
          <w:lang w:eastAsia="en-GB"/>
        </w:rPr>
        <w:t>In all three patients with ATTR (123, 124 and 125), DPD scans showed Grade 2 tracer uptake in the heart at the first visit recorded (post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1C1732">
        <w:rPr>
          <w:rFonts w:ascii="Times New Roman" w:hAnsi="Times New Roman" w:cs="Times New Roman"/>
          <w:sz w:val="24"/>
          <w:szCs w:val="24"/>
          <w:lang w:eastAsia="en-GB"/>
        </w:rPr>
        <w:t>diagnosis/pre-baseline in patients 123 and 124, and 12.9 months post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1C1732">
        <w:rPr>
          <w:rFonts w:ascii="Times New Roman" w:hAnsi="Times New Roman" w:cs="Times New Roman"/>
          <w:sz w:val="24"/>
          <w:szCs w:val="24"/>
          <w:lang w:eastAsia="en-GB"/>
        </w:rPr>
        <w:t>baseline in patient 125). At the second visit recorded, this remained at Grade 2 for patients 124 and 125 (11.0 and 27.6 months post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1C1732">
        <w:rPr>
          <w:rFonts w:ascii="Times New Roman" w:hAnsi="Times New Roman" w:cs="Times New Roman"/>
          <w:sz w:val="24"/>
          <w:szCs w:val="24"/>
          <w:lang w:eastAsia="en-GB"/>
        </w:rPr>
        <w:t>baseline, respectively) but changed to Grade 1 in patient 123 (29.4 months post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1C1732">
        <w:rPr>
          <w:rFonts w:ascii="Times New Roman" w:hAnsi="Times New Roman" w:cs="Times New Roman"/>
          <w:sz w:val="24"/>
          <w:szCs w:val="24"/>
          <w:lang w:eastAsia="en-GB"/>
        </w:rPr>
        <w:t>baseline).</w:t>
      </w:r>
    </w:p>
    <w:p w14:paraId="7551E4AD" w14:textId="77777777" w:rsidR="000F6850" w:rsidRPr="001C1732" w:rsidRDefault="000F6850" w:rsidP="000F6850">
      <w:pPr>
        <w:spacing w:after="120" w:line="48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1C1732">
        <w:rPr>
          <w:rFonts w:ascii="Times New Roman" w:hAnsi="Times New Roman" w:cs="Times New Roman"/>
          <w:sz w:val="24"/>
          <w:szCs w:val="24"/>
          <w:lang w:eastAsia="en-GB"/>
        </w:rPr>
        <w:t xml:space="preserve">In patient 119, amyloid load via SAP scan remained large throughout the study and follow-up period. In patient 120, overall amyloid load was moderate during the study and follow-up, although was recorded as ‘better’ at the last follow-up visit. </w:t>
      </w:r>
    </w:p>
    <w:p w14:paraId="61BECA7E" w14:textId="77777777" w:rsidR="000F6850" w:rsidRPr="001C1732" w:rsidRDefault="000F6850" w:rsidP="000F6850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E7C24AA" w14:textId="77777777" w:rsidR="00BC1623" w:rsidRDefault="00BC1623"/>
    <w:sectPr w:rsidR="00BC1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850"/>
    <w:rsid w:val="00002913"/>
    <w:rsid w:val="000054E0"/>
    <w:rsid w:val="000148D6"/>
    <w:rsid w:val="00022CB4"/>
    <w:rsid w:val="000250EF"/>
    <w:rsid w:val="00026FB3"/>
    <w:rsid w:val="00031DBD"/>
    <w:rsid w:val="00033C05"/>
    <w:rsid w:val="0003756D"/>
    <w:rsid w:val="0004143A"/>
    <w:rsid w:val="00041BF0"/>
    <w:rsid w:val="00043946"/>
    <w:rsid w:val="00043AFB"/>
    <w:rsid w:val="00044380"/>
    <w:rsid w:val="0004480B"/>
    <w:rsid w:val="00044A57"/>
    <w:rsid w:val="000458DA"/>
    <w:rsid w:val="00045A8B"/>
    <w:rsid w:val="00045B36"/>
    <w:rsid w:val="000464A2"/>
    <w:rsid w:val="0005149E"/>
    <w:rsid w:val="00051C24"/>
    <w:rsid w:val="00052031"/>
    <w:rsid w:val="00052A96"/>
    <w:rsid w:val="00057E48"/>
    <w:rsid w:val="00062C44"/>
    <w:rsid w:val="00071440"/>
    <w:rsid w:val="00073243"/>
    <w:rsid w:val="00074BC6"/>
    <w:rsid w:val="0007758D"/>
    <w:rsid w:val="00082039"/>
    <w:rsid w:val="000820DB"/>
    <w:rsid w:val="000833A9"/>
    <w:rsid w:val="000936CB"/>
    <w:rsid w:val="000A7A84"/>
    <w:rsid w:val="000B586E"/>
    <w:rsid w:val="000C3195"/>
    <w:rsid w:val="000C3DAC"/>
    <w:rsid w:val="000C6395"/>
    <w:rsid w:val="000D2422"/>
    <w:rsid w:val="000D38B3"/>
    <w:rsid w:val="000E1D34"/>
    <w:rsid w:val="000E6690"/>
    <w:rsid w:val="000E688E"/>
    <w:rsid w:val="000E705C"/>
    <w:rsid w:val="000F5BB1"/>
    <w:rsid w:val="000F6850"/>
    <w:rsid w:val="001016EC"/>
    <w:rsid w:val="0010539C"/>
    <w:rsid w:val="00106F9D"/>
    <w:rsid w:val="001130FE"/>
    <w:rsid w:val="001146B6"/>
    <w:rsid w:val="001203ED"/>
    <w:rsid w:val="00120E17"/>
    <w:rsid w:val="001233EE"/>
    <w:rsid w:val="00141AFE"/>
    <w:rsid w:val="00143269"/>
    <w:rsid w:val="00146048"/>
    <w:rsid w:val="00147731"/>
    <w:rsid w:val="0015125E"/>
    <w:rsid w:val="00153DA4"/>
    <w:rsid w:val="001540B7"/>
    <w:rsid w:val="001548B3"/>
    <w:rsid w:val="001550EB"/>
    <w:rsid w:val="00162A66"/>
    <w:rsid w:val="0016526B"/>
    <w:rsid w:val="00165B68"/>
    <w:rsid w:val="001676FF"/>
    <w:rsid w:val="00173B3A"/>
    <w:rsid w:val="00175C81"/>
    <w:rsid w:val="00177279"/>
    <w:rsid w:val="0018364C"/>
    <w:rsid w:val="001925A2"/>
    <w:rsid w:val="001A45DE"/>
    <w:rsid w:val="001B14B0"/>
    <w:rsid w:val="001B67A1"/>
    <w:rsid w:val="001C060C"/>
    <w:rsid w:val="001C08E8"/>
    <w:rsid w:val="001C0AF3"/>
    <w:rsid w:val="001D05D6"/>
    <w:rsid w:val="001D1558"/>
    <w:rsid w:val="001D2941"/>
    <w:rsid w:val="001D7E52"/>
    <w:rsid w:val="001D7FA9"/>
    <w:rsid w:val="001E07BA"/>
    <w:rsid w:val="001E180B"/>
    <w:rsid w:val="001E720B"/>
    <w:rsid w:val="001E7F6A"/>
    <w:rsid w:val="001F0E64"/>
    <w:rsid w:val="00203F34"/>
    <w:rsid w:val="00205DA0"/>
    <w:rsid w:val="00214FA1"/>
    <w:rsid w:val="002222C8"/>
    <w:rsid w:val="00223CBB"/>
    <w:rsid w:val="0022457F"/>
    <w:rsid w:val="00226846"/>
    <w:rsid w:val="00232DA2"/>
    <w:rsid w:val="00232F61"/>
    <w:rsid w:val="002416D1"/>
    <w:rsid w:val="0024416F"/>
    <w:rsid w:val="00244CD2"/>
    <w:rsid w:val="00246FC9"/>
    <w:rsid w:val="00247C1F"/>
    <w:rsid w:val="00250286"/>
    <w:rsid w:val="002530A9"/>
    <w:rsid w:val="002604CC"/>
    <w:rsid w:val="00260FF6"/>
    <w:rsid w:val="0026609F"/>
    <w:rsid w:val="00272644"/>
    <w:rsid w:val="002843B2"/>
    <w:rsid w:val="00285C49"/>
    <w:rsid w:val="00286806"/>
    <w:rsid w:val="00286CFE"/>
    <w:rsid w:val="00287033"/>
    <w:rsid w:val="002923CE"/>
    <w:rsid w:val="0029240D"/>
    <w:rsid w:val="002A1372"/>
    <w:rsid w:val="002A2D5B"/>
    <w:rsid w:val="002A4FCA"/>
    <w:rsid w:val="002C09A9"/>
    <w:rsid w:val="002C159E"/>
    <w:rsid w:val="002C3EE4"/>
    <w:rsid w:val="002D4B77"/>
    <w:rsid w:val="002E240E"/>
    <w:rsid w:val="002E34AD"/>
    <w:rsid w:val="002E37E7"/>
    <w:rsid w:val="002E3BF5"/>
    <w:rsid w:val="002F10BB"/>
    <w:rsid w:val="002F48D3"/>
    <w:rsid w:val="002F61ED"/>
    <w:rsid w:val="00300C89"/>
    <w:rsid w:val="00302CD8"/>
    <w:rsid w:val="0030543A"/>
    <w:rsid w:val="00307570"/>
    <w:rsid w:val="00313590"/>
    <w:rsid w:val="00323438"/>
    <w:rsid w:val="00331A99"/>
    <w:rsid w:val="00336832"/>
    <w:rsid w:val="003528B8"/>
    <w:rsid w:val="003566D8"/>
    <w:rsid w:val="0036087C"/>
    <w:rsid w:val="0036144E"/>
    <w:rsid w:val="00361D53"/>
    <w:rsid w:val="00363703"/>
    <w:rsid w:val="00367EF6"/>
    <w:rsid w:val="00367F1B"/>
    <w:rsid w:val="00370003"/>
    <w:rsid w:val="003721D2"/>
    <w:rsid w:val="00373146"/>
    <w:rsid w:val="00373BAC"/>
    <w:rsid w:val="00380C7D"/>
    <w:rsid w:val="00382871"/>
    <w:rsid w:val="003830FE"/>
    <w:rsid w:val="00386084"/>
    <w:rsid w:val="003875A7"/>
    <w:rsid w:val="00387A50"/>
    <w:rsid w:val="00396927"/>
    <w:rsid w:val="003A28D3"/>
    <w:rsid w:val="003A4885"/>
    <w:rsid w:val="003A5187"/>
    <w:rsid w:val="003A6082"/>
    <w:rsid w:val="003B109D"/>
    <w:rsid w:val="003B207B"/>
    <w:rsid w:val="003B3F91"/>
    <w:rsid w:val="003B74FF"/>
    <w:rsid w:val="003C69AE"/>
    <w:rsid w:val="003D2004"/>
    <w:rsid w:val="003D46A2"/>
    <w:rsid w:val="003D5715"/>
    <w:rsid w:val="003D63DD"/>
    <w:rsid w:val="003D6CB0"/>
    <w:rsid w:val="003E5B05"/>
    <w:rsid w:val="003E70A8"/>
    <w:rsid w:val="003F2E19"/>
    <w:rsid w:val="003F3095"/>
    <w:rsid w:val="003F470E"/>
    <w:rsid w:val="003F77AF"/>
    <w:rsid w:val="00414EDA"/>
    <w:rsid w:val="004224C1"/>
    <w:rsid w:val="00427BAD"/>
    <w:rsid w:val="00434A36"/>
    <w:rsid w:val="00446D81"/>
    <w:rsid w:val="00464914"/>
    <w:rsid w:val="00472A86"/>
    <w:rsid w:val="0047352B"/>
    <w:rsid w:val="004744AD"/>
    <w:rsid w:val="00475D50"/>
    <w:rsid w:val="00491D9A"/>
    <w:rsid w:val="00495345"/>
    <w:rsid w:val="004A6579"/>
    <w:rsid w:val="004A75DC"/>
    <w:rsid w:val="004B01E4"/>
    <w:rsid w:val="004B1069"/>
    <w:rsid w:val="004B11C8"/>
    <w:rsid w:val="004B1900"/>
    <w:rsid w:val="004B3754"/>
    <w:rsid w:val="004C7392"/>
    <w:rsid w:val="004D3E7F"/>
    <w:rsid w:val="004E1081"/>
    <w:rsid w:val="004E2759"/>
    <w:rsid w:val="004E3584"/>
    <w:rsid w:val="004E7A34"/>
    <w:rsid w:val="004F0B41"/>
    <w:rsid w:val="004F15B9"/>
    <w:rsid w:val="004F1B36"/>
    <w:rsid w:val="005027F9"/>
    <w:rsid w:val="00513BEA"/>
    <w:rsid w:val="00517D29"/>
    <w:rsid w:val="00523A03"/>
    <w:rsid w:val="005247F6"/>
    <w:rsid w:val="00524F76"/>
    <w:rsid w:val="00527758"/>
    <w:rsid w:val="00541522"/>
    <w:rsid w:val="00541A46"/>
    <w:rsid w:val="0054434E"/>
    <w:rsid w:val="005464B4"/>
    <w:rsid w:val="00547909"/>
    <w:rsid w:val="00547AB0"/>
    <w:rsid w:val="00547B58"/>
    <w:rsid w:val="0055228A"/>
    <w:rsid w:val="00553B44"/>
    <w:rsid w:val="00562EDC"/>
    <w:rsid w:val="0057354D"/>
    <w:rsid w:val="0057594D"/>
    <w:rsid w:val="00576407"/>
    <w:rsid w:val="005865A0"/>
    <w:rsid w:val="00591E2A"/>
    <w:rsid w:val="00594B9E"/>
    <w:rsid w:val="00595C7D"/>
    <w:rsid w:val="005A0ECF"/>
    <w:rsid w:val="005A688E"/>
    <w:rsid w:val="005B1284"/>
    <w:rsid w:val="005B38CF"/>
    <w:rsid w:val="005C0BFD"/>
    <w:rsid w:val="005C38DA"/>
    <w:rsid w:val="005D1573"/>
    <w:rsid w:val="005D226C"/>
    <w:rsid w:val="005D2AE6"/>
    <w:rsid w:val="005D3139"/>
    <w:rsid w:val="005D6BC4"/>
    <w:rsid w:val="005E0B84"/>
    <w:rsid w:val="005E271B"/>
    <w:rsid w:val="005E2E55"/>
    <w:rsid w:val="005F3EC5"/>
    <w:rsid w:val="005F61EE"/>
    <w:rsid w:val="005F70C0"/>
    <w:rsid w:val="00606129"/>
    <w:rsid w:val="0061553F"/>
    <w:rsid w:val="006159B1"/>
    <w:rsid w:val="006173C0"/>
    <w:rsid w:val="006369E4"/>
    <w:rsid w:val="00640C34"/>
    <w:rsid w:val="00644420"/>
    <w:rsid w:val="006452DB"/>
    <w:rsid w:val="00646679"/>
    <w:rsid w:val="006516EB"/>
    <w:rsid w:val="00653603"/>
    <w:rsid w:val="0065570B"/>
    <w:rsid w:val="00661873"/>
    <w:rsid w:val="00663ACE"/>
    <w:rsid w:val="0066540D"/>
    <w:rsid w:val="0066612B"/>
    <w:rsid w:val="00673344"/>
    <w:rsid w:val="0069052A"/>
    <w:rsid w:val="00691F85"/>
    <w:rsid w:val="006970EB"/>
    <w:rsid w:val="006A03B6"/>
    <w:rsid w:val="006A1EDE"/>
    <w:rsid w:val="006A2A22"/>
    <w:rsid w:val="006A603C"/>
    <w:rsid w:val="006A69CA"/>
    <w:rsid w:val="006B0916"/>
    <w:rsid w:val="006B4601"/>
    <w:rsid w:val="006B4E32"/>
    <w:rsid w:val="006B6417"/>
    <w:rsid w:val="006C0980"/>
    <w:rsid w:val="006C134F"/>
    <w:rsid w:val="006C375D"/>
    <w:rsid w:val="006D2C3A"/>
    <w:rsid w:val="006D447E"/>
    <w:rsid w:val="006D46EF"/>
    <w:rsid w:val="006E0180"/>
    <w:rsid w:val="006E1F3A"/>
    <w:rsid w:val="006E3DB0"/>
    <w:rsid w:val="006E7A76"/>
    <w:rsid w:val="006F402C"/>
    <w:rsid w:val="006F40B0"/>
    <w:rsid w:val="00702185"/>
    <w:rsid w:val="007040AA"/>
    <w:rsid w:val="007058F4"/>
    <w:rsid w:val="0070682D"/>
    <w:rsid w:val="007075DD"/>
    <w:rsid w:val="007220A9"/>
    <w:rsid w:val="0072503B"/>
    <w:rsid w:val="007254C3"/>
    <w:rsid w:val="00726D8D"/>
    <w:rsid w:val="0073690D"/>
    <w:rsid w:val="007369E2"/>
    <w:rsid w:val="00736EDF"/>
    <w:rsid w:val="0073765C"/>
    <w:rsid w:val="007423E1"/>
    <w:rsid w:val="00742D0C"/>
    <w:rsid w:val="00744992"/>
    <w:rsid w:val="0074694A"/>
    <w:rsid w:val="0075116D"/>
    <w:rsid w:val="0078479A"/>
    <w:rsid w:val="00785706"/>
    <w:rsid w:val="00787C05"/>
    <w:rsid w:val="00793104"/>
    <w:rsid w:val="0079751D"/>
    <w:rsid w:val="007A249A"/>
    <w:rsid w:val="007B0611"/>
    <w:rsid w:val="007B5E4C"/>
    <w:rsid w:val="007C295C"/>
    <w:rsid w:val="007C30E0"/>
    <w:rsid w:val="007D0683"/>
    <w:rsid w:val="007D2D93"/>
    <w:rsid w:val="007D4EA4"/>
    <w:rsid w:val="007E1814"/>
    <w:rsid w:val="007E1B3C"/>
    <w:rsid w:val="007E1D39"/>
    <w:rsid w:val="007E77DA"/>
    <w:rsid w:val="007F1887"/>
    <w:rsid w:val="007F5E98"/>
    <w:rsid w:val="007F61F5"/>
    <w:rsid w:val="007F7675"/>
    <w:rsid w:val="00802842"/>
    <w:rsid w:val="00802D8C"/>
    <w:rsid w:val="0080313C"/>
    <w:rsid w:val="008049F3"/>
    <w:rsid w:val="0080725F"/>
    <w:rsid w:val="00810221"/>
    <w:rsid w:val="008126E9"/>
    <w:rsid w:val="00813C2F"/>
    <w:rsid w:val="00816764"/>
    <w:rsid w:val="00817283"/>
    <w:rsid w:val="00821F4D"/>
    <w:rsid w:val="00822D14"/>
    <w:rsid w:val="00825A8B"/>
    <w:rsid w:val="00826FC6"/>
    <w:rsid w:val="008307D4"/>
    <w:rsid w:val="00830827"/>
    <w:rsid w:val="00831579"/>
    <w:rsid w:val="00832571"/>
    <w:rsid w:val="00833A5A"/>
    <w:rsid w:val="00834D4A"/>
    <w:rsid w:val="008400CD"/>
    <w:rsid w:val="00843D79"/>
    <w:rsid w:val="00847666"/>
    <w:rsid w:val="00850DD6"/>
    <w:rsid w:val="008520CE"/>
    <w:rsid w:val="0085357A"/>
    <w:rsid w:val="00856AA3"/>
    <w:rsid w:val="008606A8"/>
    <w:rsid w:val="008668E7"/>
    <w:rsid w:val="0087314A"/>
    <w:rsid w:val="00874EDC"/>
    <w:rsid w:val="0088560C"/>
    <w:rsid w:val="008A631D"/>
    <w:rsid w:val="008A769F"/>
    <w:rsid w:val="008B7410"/>
    <w:rsid w:val="008B7647"/>
    <w:rsid w:val="008C05A5"/>
    <w:rsid w:val="008C3839"/>
    <w:rsid w:val="008C4C98"/>
    <w:rsid w:val="008C5271"/>
    <w:rsid w:val="008C58EB"/>
    <w:rsid w:val="008C747E"/>
    <w:rsid w:val="008D71D5"/>
    <w:rsid w:val="008E1D0B"/>
    <w:rsid w:val="008F6C33"/>
    <w:rsid w:val="008F6F30"/>
    <w:rsid w:val="009011BB"/>
    <w:rsid w:val="00901328"/>
    <w:rsid w:val="009039CC"/>
    <w:rsid w:val="00906116"/>
    <w:rsid w:val="00906E35"/>
    <w:rsid w:val="009128D3"/>
    <w:rsid w:val="009262BF"/>
    <w:rsid w:val="009319AA"/>
    <w:rsid w:val="0093583A"/>
    <w:rsid w:val="00940901"/>
    <w:rsid w:val="00944D04"/>
    <w:rsid w:val="009466D9"/>
    <w:rsid w:val="009543D4"/>
    <w:rsid w:val="009554DF"/>
    <w:rsid w:val="00957114"/>
    <w:rsid w:val="00957FF4"/>
    <w:rsid w:val="009603DE"/>
    <w:rsid w:val="00963C4D"/>
    <w:rsid w:val="00974F2E"/>
    <w:rsid w:val="00975139"/>
    <w:rsid w:val="00980D54"/>
    <w:rsid w:val="009836FA"/>
    <w:rsid w:val="009850E7"/>
    <w:rsid w:val="0098723B"/>
    <w:rsid w:val="00990E88"/>
    <w:rsid w:val="0099746D"/>
    <w:rsid w:val="009A33C5"/>
    <w:rsid w:val="009A4B7F"/>
    <w:rsid w:val="009A55C5"/>
    <w:rsid w:val="009B0D98"/>
    <w:rsid w:val="009B14AD"/>
    <w:rsid w:val="009B50E4"/>
    <w:rsid w:val="009B63D9"/>
    <w:rsid w:val="009C1FBF"/>
    <w:rsid w:val="009C3D43"/>
    <w:rsid w:val="009C4683"/>
    <w:rsid w:val="009C5E05"/>
    <w:rsid w:val="009C7B13"/>
    <w:rsid w:val="009D04D4"/>
    <w:rsid w:val="009D3B70"/>
    <w:rsid w:val="009D478E"/>
    <w:rsid w:val="009E178D"/>
    <w:rsid w:val="009E31C5"/>
    <w:rsid w:val="009F16CD"/>
    <w:rsid w:val="009F3B21"/>
    <w:rsid w:val="009F4915"/>
    <w:rsid w:val="009F4CF3"/>
    <w:rsid w:val="00A03282"/>
    <w:rsid w:val="00A064BA"/>
    <w:rsid w:val="00A06C45"/>
    <w:rsid w:val="00A1267E"/>
    <w:rsid w:val="00A150CE"/>
    <w:rsid w:val="00A22341"/>
    <w:rsid w:val="00A33A9B"/>
    <w:rsid w:val="00A34144"/>
    <w:rsid w:val="00A36C3F"/>
    <w:rsid w:val="00A374ED"/>
    <w:rsid w:val="00A43C97"/>
    <w:rsid w:val="00A53308"/>
    <w:rsid w:val="00A53A8D"/>
    <w:rsid w:val="00A55B1D"/>
    <w:rsid w:val="00A64611"/>
    <w:rsid w:val="00A6520A"/>
    <w:rsid w:val="00A657EC"/>
    <w:rsid w:val="00A708C0"/>
    <w:rsid w:val="00A73014"/>
    <w:rsid w:val="00A73E9D"/>
    <w:rsid w:val="00A7405D"/>
    <w:rsid w:val="00A81F04"/>
    <w:rsid w:val="00A83F90"/>
    <w:rsid w:val="00A92FB1"/>
    <w:rsid w:val="00A96AC0"/>
    <w:rsid w:val="00AA1915"/>
    <w:rsid w:val="00AA2121"/>
    <w:rsid w:val="00AA708D"/>
    <w:rsid w:val="00AB2DBA"/>
    <w:rsid w:val="00AB670D"/>
    <w:rsid w:val="00AB696F"/>
    <w:rsid w:val="00AC084B"/>
    <w:rsid w:val="00AC6F78"/>
    <w:rsid w:val="00AD265A"/>
    <w:rsid w:val="00AD2D78"/>
    <w:rsid w:val="00AD33B0"/>
    <w:rsid w:val="00AD3EA4"/>
    <w:rsid w:val="00AD5B8B"/>
    <w:rsid w:val="00AE44E6"/>
    <w:rsid w:val="00AF33F9"/>
    <w:rsid w:val="00AF3766"/>
    <w:rsid w:val="00B00BD0"/>
    <w:rsid w:val="00B0356B"/>
    <w:rsid w:val="00B0508A"/>
    <w:rsid w:val="00B064C5"/>
    <w:rsid w:val="00B14FBC"/>
    <w:rsid w:val="00B17725"/>
    <w:rsid w:val="00B202B9"/>
    <w:rsid w:val="00B23407"/>
    <w:rsid w:val="00B26874"/>
    <w:rsid w:val="00B34CD1"/>
    <w:rsid w:val="00B36BC6"/>
    <w:rsid w:val="00B41001"/>
    <w:rsid w:val="00B42B20"/>
    <w:rsid w:val="00B4676D"/>
    <w:rsid w:val="00B46FB6"/>
    <w:rsid w:val="00B50FA8"/>
    <w:rsid w:val="00B523CC"/>
    <w:rsid w:val="00B54FFD"/>
    <w:rsid w:val="00B612A0"/>
    <w:rsid w:val="00B6369B"/>
    <w:rsid w:val="00B672D3"/>
    <w:rsid w:val="00B6797E"/>
    <w:rsid w:val="00B739A1"/>
    <w:rsid w:val="00B8018F"/>
    <w:rsid w:val="00B839A3"/>
    <w:rsid w:val="00B91757"/>
    <w:rsid w:val="00B91768"/>
    <w:rsid w:val="00B96B5A"/>
    <w:rsid w:val="00BA5C53"/>
    <w:rsid w:val="00BB0861"/>
    <w:rsid w:val="00BB67BA"/>
    <w:rsid w:val="00BC0B38"/>
    <w:rsid w:val="00BC1623"/>
    <w:rsid w:val="00BC22AE"/>
    <w:rsid w:val="00BC25BA"/>
    <w:rsid w:val="00BC26B5"/>
    <w:rsid w:val="00BC26D8"/>
    <w:rsid w:val="00BD333B"/>
    <w:rsid w:val="00BD7BD4"/>
    <w:rsid w:val="00BF6E8A"/>
    <w:rsid w:val="00C043F2"/>
    <w:rsid w:val="00C07452"/>
    <w:rsid w:val="00C11C29"/>
    <w:rsid w:val="00C13C1B"/>
    <w:rsid w:val="00C22C20"/>
    <w:rsid w:val="00C22E69"/>
    <w:rsid w:val="00C26D34"/>
    <w:rsid w:val="00C455F7"/>
    <w:rsid w:val="00C513B3"/>
    <w:rsid w:val="00C55644"/>
    <w:rsid w:val="00C71427"/>
    <w:rsid w:val="00C72E58"/>
    <w:rsid w:val="00C7363A"/>
    <w:rsid w:val="00C74716"/>
    <w:rsid w:val="00C77DD3"/>
    <w:rsid w:val="00C77EDE"/>
    <w:rsid w:val="00C860DD"/>
    <w:rsid w:val="00C9108F"/>
    <w:rsid w:val="00C93CAA"/>
    <w:rsid w:val="00C95E45"/>
    <w:rsid w:val="00C97AD8"/>
    <w:rsid w:val="00CA3334"/>
    <w:rsid w:val="00CA49E0"/>
    <w:rsid w:val="00CA4A74"/>
    <w:rsid w:val="00CB1820"/>
    <w:rsid w:val="00CB6205"/>
    <w:rsid w:val="00CC225E"/>
    <w:rsid w:val="00CC3F2B"/>
    <w:rsid w:val="00CC753E"/>
    <w:rsid w:val="00CD1E8E"/>
    <w:rsid w:val="00CD2B9A"/>
    <w:rsid w:val="00CD4910"/>
    <w:rsid w:val="00CE4A67"/>
    <w:rsid w:val="00CE6516"/>
    <w:rsid w:val="00CE74B1"/>
    <w:rsid w:val="00CF19D8"/>
    <w:rsid w:val="00CF3063"/>
    <w:rsid w:val="00CF3565"/>
    <w:rsid w:val="00CF7CC0"/>
    <w:rsid w:val="00D023A7"/>
    <w:rsid w:val="00D050E4"/>
    <w:rsid w:val="00D0558F"/>
    <w:rsid w:val="00D068EA"/>
    <w:rsid w:val="00D10076"/>
    <w:rsid w:val="00D10445"/>
    <w:rsid w:val="00D12020"/>
    <w:rsid w:val="00D13030"/>
    <w:rsid w:val="00D1428B"/>
    <w:rsid w:val="00D151BA"/>
    <w:rsid w:val="00D35120"/>
    <w:rsid w:val="00D42E29"/>
    <w:rsid w:val="00D44882"/>
    <w:rsid w:val="00D60DD0"/>
    <w:rsid w:val="00D6190A"/>
    <w:rsid w:val="00D621DE"/>
    <w:rsid w:val="00D626BA"/>
    <w:rsid w:val="00D640AB"/>
    <w:rsid w:val="00D659DA"/>
    <w:rsid w:val="00D728A0"/>
    <w:rsid w:val="00D85FD1"/>
    <w:rsid w:val="00D87E86"/>
    <w:rsid w:val="00D903AE"/>
    <w:rsid w:val="00D90A9D"/>
    <w:rsid w:val="00D940E3"/>
    <w:rsid w:val="00DA3BB9"/>
    <w:rsid w:val="00DA4E9E"/>
    <w:rsid w:val="00DB12AB"/>
    <w:rsid w:val="00DB1E6A"/>
    <w:rsid w:val="00DB5055"/>
    <w:rsid w:val="00DB6B27"/>
    <w:rsid w:val="00DB7F22"/>
    <w:rsid w:val="00DC0F7B"/>
    <w:rsid w:val="00DC70D7"/>
    <w:rsid w:val="00DD0C3C"/>
    <w:rsid w:val="00DD1D8F"/>
    <w:rsid w:val="00DD6344"/>
    <w:rsid w:val="00DE6AFA"/>
    <w:rsid w:val="00DF4FBE"/>
    <w:rsid w:val="00DF5DCD"/>
    <w:rsid w:val="00E02694"/>
    <w:rsid w:val="00E04081"/>
    <w:rsid w:val="00E0557E"/>
    <w:rsid w:val="00E062AA"/>
    <w:rsid w:val="00E07C00"/>
    <w:rsid w:val="00E110A4"/>
    <w:rsid w:val="00E1772F"/>
    <w:rsid w:val="00E177FE"/>
    <w:rsid w:val="00E206E1"/>
    <w:rsid w:val="00E21B7B"/>
    <w:rsid w:val="00E24C6D"/>
    <w:rsid w:val="00E27BE1"/>
    <w:rsid w:val="00E312CF"/>
    <w:rsid w:val="00E34769"/>
    <w:rsid w:val="00E37467"/>
    <w:rsid w:val="00E37CCB"/>
    <w:rsid w:val="00E4014D"/>
    <w:rsid w:val="00E43FE9"/>
    <w:rsid w:val="00E45E15"/>
    <w:rsid w:val="00E46214"/>
    <w:rsid w:val="00E47B24"/>
    <w:rsid w:val="00E50D00"/>
    <w:rsid w:val="00E52A72"/>
    <w:rsid w:val="00E535B1"/>
    <w:rsid w:val="00E55DDC"/>
    <w:rsid w:val="00E57A6E"/>
    <w:rsid w:val="00E603CC"/>
    <w:rsid w:val="00E71766"/>
    <w:rsid w:val="00E7284F"/>
    <w:rsid w:val="00E77D51"/>
    <w:rsid w:val="00E821E9"/>
    <w:rsid w:val="00E8364D"/>
    <w:rsid w:val="00E87882"/>
    <w:rsid w:val="00E937D5"/>
    <w:rsid w:val="00E943B7"/>
    <w:rsid w:val="00E946C0"/>
    <w:rsid w:val="00E94967"/>
    <w:rsid w:val="00E9754B"/>
    <w:rsid w:val="00E97F9C"/>
    <w:rsid w:val="00EA2FBE"/>
    <w:rsid w:val="00EA5879"/>
    <w:rsid w:val="00EA6A26"/>
    <w:rsid w:val="00EA6FB0"/>
    <w:rsid w:val="00EB01A8"/>
    <w:rsid w:val="00EB2AF4"/>
    <w:rsid w:val="00EC0C94"/>
    <w:rsid w:val="00EC1AED"/>
    <w:rsid w:val="00EC1E80"/>
    <w:rsid w:val="00EC49D1"/>
    <w:rsid w:val="00EC4AF0"/>
    <w:rsid w:val="00EC51A3"/>
    <w:rsid w:val="00EE4D72"/>
    <w:rsid w:val="00EF4AC8"/>
    <w:rsid w:val="00F0165D"/>
    <w:rsid w:val="00F03273"/>
    <w:rsid w:val="00F038B5"/>
    <w:rsid w:val="00F11E20"/>
    <w:rsid w:val="00F12522"/>
    <w:rsid w:val="00F12FEA"/>
    <w:rsid w:val="00F17965"/>
    <w:rsid w:val="00F24D0E"/>
    <w:rsid w:val="00F2518C"/>
    <w:rsid w:val="00F33AC4"/>
    <w:rsid w:val="00F348F0"/>
    <w:rsid w:val="00F34DF0"/>
    <w:rsid w:val="00F35F89"/>
    <w:rsid w:val="00F44F41"/>
    <w:rsid w:val="00F5012E"/>
    <w:rsid w:val="00F535BE"/>
    <w:rsid w:val="00F53FCB"/>
    <w:rsid w:val="00F54B34"/>
    <w:rsid w:val="00F6348C"/>
    <w:rsid w:val="00F643CC"/>
    <w:rsid w:val="00F65DDA"/>
    <w:rsid w:val="00F66BEC"/>
    <w:rsid w:val="00F678F0"/>
    <w:rsid w:val="00F73478"/>
    <w:rsid w:val="00F7595B"/>
    <w:rsid w:val="00F80359"/>
    <w:rsid w:val="00F82666"/>
    <w:rsid w:val="00F8354D"/>
    <w:rsid w:val="00F9109D"/>
    <w:rsid w:val="00F92D25"/>
    <w:rsid w:val="00F941C4"/>
    <w:rsid w:val="00F95451"/>
    <w:rsid w:val="00F95BBA"/>
    <w:rsid w:val="00F97CA7"/>
    <w:rsid w:val="00F97FD9"/>
    <w:rsid w:val="00FA033A"/>
    <w:rsid w:val="00FA2EAF"/>
    <w:rsid w:val="00FB0103"/>
    <w:rsid w:val="00FB2167"/>
    <w:rsid w:val="00FB38AE"/>
    <w:rsid w:val="00FC6097"/>
    <w:rsid w:val="00FD1979"/>
    <w:rsid w:val="00FE769B"/>
    <w:rsid w:val="00FF22DE"/>
    <w:rsid w:val="00FF3A82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819A5"/>
  <w15:chartTrackingRefBased/>
  <w15:docId w15:val="{53DC7157-7BF1-49D5-BD04-15973612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850"/>
  </w:style>
  <w:style w:type="paragraph" w:styleId="Heading1">
    <w:name w:val="heading 1"/>
    <w:basedOn w:val="Normal"/>
    <w:next w:val="Normal"/>
    <w:link w:val="Heading1Char"/>
    <w:uiPriority w:val="9"/>
    <w:qFormat/>
    <w:rsid w:val="000F6850"/>
    <w:pPr>
      <w:keepNext/>
      <w:spacing w:after="240" w:line="240" w:lineRule="auto"/>
      <w:ind w:left="1440" w:hanging="1440"/>
      <w:outlineLvl w:val="0"/>
    </w:pPr>
    <w:rPr>
      <w:rFonts w:eastAsia="Times New Roman" w:cstheme="minorHAnsi"/>
      <w:b/>
      <w:bCs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6850"/>
    <w:pPr>
      <w:spacing w:after="120" w:line="360" w:lineRule="auto"/>
      <w:outlineLvl w:val="1"/>
    </w:pPr>
    <w:rPr>
      <w:rFonts w:ascii="Calibri" w:hAnsi="Calibri" w:cs="Calibri"/>
      <w:bCs/>
      <w:i/>
      <w:i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850"/>
    <w:rPr>
      <w:rFonts w:eastAsia="Times New Roman" w:cstheme="minorHAnsi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F6850"/>
    <w:rPr>
      <w:rFonts w:ascii="Calibri" w:hAnsi="Calibri" w:cs="Calibri"/>
      <w:bCs/>
      <w:i/>
      <w:iCs/>
      <w:lang w:eastAsia="en-GB"/>
    </w:rPr>
  </w:style>
  <w:style w:type="character" w:styleId="CommentReference">
    <w:name w:val="annotation reference"/>
    <w:basedOn w:val="DefaultParagraphFont"/>
    <w:uiPriority w:val="99"/>
    <w:unhideWhenUsed/>
    <w:rsid w:val="000F68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68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685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Kean</dc:creator>
  <cp:keywords/>
  <dc:description/>
  <cp:lastModifiedBy>Fishawack Indicia </cp:lastModifiedBy>
  <cp:revision>2</cp:revision>
  <dcterms:created xsi:type="dcterms:W3CDTF">2022-04-05T15:16:00Z</dcterms:created>
  <dcterms:modified xsi:type="dcterms:W3CDTF">2022-04-05T15:16:00Z</dcterms:modified>
</cp:coreProperties>
</file>