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C83E376" w:rsidR="00BC52AF" w:rsidRPr="006318CA" w:rsidRDefault="00E04452">
      <w:pPr>
        <w:spacing w:line="360" w:lineRule="auto"/>
        <w:rPr>
          <w:rFonts w:ascii="Arial" w:eastAsia="Arial" w:hAnsi="Arial" w:cs="Arial"/>
          <w:b/>
          <w:bCs/>
          <w:sz w:val="28"/>
          <w:szCs w:val="28"/>
        </w:rPr>
      </w:pPr>
      <w:r w:rsidRPr="006318CA">
        <w:rPr>
          <w:rFonts w:ascii="Arial" w:eastAsia="Arial" w:hAnsi="Arial" w:cs="Arial"/>
          <w:b/>
          <w:bCs/>
          <w:sz w:val="28"/>
          <w:szCs w:val="28"/>
        </w:rPr>
        <w:t>SUPPLEMENTAL MATERIAL</w:t>
      </w:r>
    </w:p>
    <w:p w14:paraId="00000004" w14:textId="1CC721EA" w:rsidR="00BC52AF" w:rsidRDefault="00E04452" w:rsidP="00A00282">
      <w:pPr>
        <w:spacing w:line="360" w:lineRule="auto"/>
        <w:rPr>
          <w:rFonts w:ascii="Arial" w:eastAsia="Arial" w:hAnsi="Arial" w:cs="Arial"/>
          <w:b/>
        </w:rPr>
      </w:pPr>
      <w:bookmarkStart w:id="0" w:name="_heading=h.gjdgxs" w:colFirst="0" w:colLast="0"/>
      <w:bookmarkEnd w:id="0"/>
      <w:r>
        <w:rPr>
          <w:rFonts w:ascii="Arial" w:eastAsia="Arial" w:hAnsi="Arial" w:cs="Arial"/>
          <w:b/>
          <w:sz w:val="28"/>
          <w:szCs w:val="28"/>
        </w:rPr>
        <w:t xml:space="preserve">Sanfilippo syndrome: consensus guidelines for </w:t>
      </w:r>
      <w:r w:rsidR="00A00282" w:rsidRPr="00A00282">
        <w:rPr>
          <w:rFonts w:ascii="Arial" w:eastAsia="Arial" w:hAnsi="Arial" w:cs="Arial"/>
          <w:b/>
          <w:sz w:val="28"/>
          <w:szCs w:val="28"/>
        </w:rPr>
        <w:t>clinical care</w:t>
      </w:r>
      <w:r w:rsidR="00A00282" w:rsidRPr="00A00282" w:rsidDel="00A00282">
        <w:rPr>
          <w:rFonts w:ascii="Arial" w:eastAsia="Arial" w:hAnsi="Arial" w:cs="Arial"/>
          <w:b/>
          <w:sz w:val="28"/>
          <w:szCs w:val="28"/>
        </w:rPr>
        <w:t xml:space="preserve"> </w:t>
      </w:r>
      <w:r w:rsidR="005074AD">
        <w:rPr>
          <w:rFonts w:ascii="Arial" w:eastAsia="Arial" w:hAnsi="Arial" w:cs="Arial"/>
          <w:b/>
        </w:rPr>
        <w:t>Literature search terms used</w:t>
      </w:r>
    </w:p>
    <w:p w14:paraId="198CD30E" w14:textId="28AB40DF" w:rsidR="005074AD" w:rsidRPr="00A56532" w:rsidRDefault="005074AD">
      <w:pPr>
        <w:rPr>
          <w:rFonts w:ascii="Arial" w:eastAsia="Arial" w:hAnsi="Arial" w:cs="Arial"/>
          <w:bCs/>
        </w:rPr>
      </w:pPr>
      <w:r w:rsidRPr="005074AD">
        <w:rPr>
          <w:rFonts w:ascii="Arial" w:eastAsia="Arial" w:hAnsi="Arial" w:cs="Arial"/>
          <w:bCs/>
        </w:rPr>
        <w:t>(“MPSIII” OR “mucopolysaccharidosis type III” OR “Sanfilippo syndrome” OR “Sanfilippo disease”) AND (“management” OR “care” OR “treatment” OR “therapy” or “natural history” or “behavior” or "</w:t>
      </w:r>
      <w:proofErr w:type="spellStart"/>
      <w:r w:rsidRPr="005074AD">
        <w:rPr>
          <w:rFonts w:ascii="Arial" w:eastAsia="Arial" w:hAnsi="Arial" w:cs="Arial"/>
          <w:bCs/>
        </w:rPr>
        <w:t>behaviour</w:t>
      </w:r>
      <w:proofErr w:type="spellEnd"/>
      <w:r w:rsidRPr="005074AD">
        <w:rPr>
          <w:rFonts w:ascii="Arial" w:eastAsia="Arial" w:hAnsi="Arial" w:cs="Arial"/>
          <w:bCs/>
        </w:rPr>
        <w:t>" OR “sleep” or “</w:t>
      </w:r>
      <w:proofErr w:type="spellStart"/>
      <w:r w:rsidRPr="005074AD">
        <w:rPr>
          <w:rFonts w:ascii="Arial" w:eastAsia="Arial" w:hAnsi="Arial" w:cs="Arial"/>
          <w:bCs/>
        </w:rPr>
        <w:t>orthopaedic</w:t>
      </w:r>
      <w:proofErr w:type="spellEnd"/>
      <w:r w:rsidRPr="005074AD">
        <w:rPr>
          <w:rFonts w:ascii="Arial" w:eastAsia="Arial" w:hAnsi="Arial" w:cs="Arial"/>
          <w:bCs/>
        </w:rPr>
        <w:t>” or “hearing” OR "</w:t>
      </w:r>
      <w:proofErr w:type="spellStart"/>
      <w:r w:rsidRPr="005074AD">
        <w:rPr>
          <w:rFonts w:ascii="Arial" w:eastAsia="Arial" w:hAnsi="Arial" w:cs="Arial"/>
          <w:bCs/>
        </w:rPr>
        <w:t>anaesthetic</w:t>
      </w:r>
      <w:proofErr w:type="spellEnd"/>
      <w:r w:rsidRPr="005074AD">
        <w:rPr>
          <w:rFonts w:ascii="Arial" w:eastAsia="Arial" w:hAnsi="Arial" w:cs="Arial"/>
          <w:bCs/>
        </w:rPr>
        <w:t>" OR "pulmonary" OR "gastrointestinal" OR "occupational therapy" OR "physiotherapy" OR "physical therapy" OR "dentistry" OR "teeth" OR "dentist" OR "orofacial" or "oral" OR "palliative" OR "ophthalmology" OR "vision" OR "cardiac" OR "nutrition" OR "respiratory" OR "pain" OR "neurologic" OR "seizure" OR "spasticity" OR "swallowing" OR "autism" OR "psychology" OR "otolaryngology" OR "audiology" OR "otitis" OR "behavioral therapy" OR "applied behavioral analysis" OR "hydrotherapy" OR "hippotherapy" OR "speech therapy" OR "heart" OR "cardiovascular" OR "MRI" OR "imaging" OR "puberty" OR "stools" OR "diet" OR "bone density")</w:t>
      </w:r>
    </w:p>
    <w:p w14:paraId="42395F35" w14:textId="77777777" w:rsidR="005074AD" w:rsidRPr="00E225A2" w:rsidRDefault="005074AD">
      <w:pPr>
        <w:rPr>
          <w:rFonts w:ascii="Arial" w:eastAsia="Arial" w:hAnsi="Arial" w:cs="Arial"/>
          <w:bCs/>
        </w:rPr>
      </w:pPr>
    </w:p>
    <w:p w14:paraId="00000005" w14:textId="715110E1" w:rsidR="00BC52AF" w:rsidRDefault="00E04452">
      <w:pPr>
        <w:spacing w:line="360" w:lineRule="auto"/>
        <w:rPr>
          <w:rFonts w:ascii="Arial" w:eastAsia="Arial" w:hAnsi="Arial" w:cs="Arial"/>
        </w:rPr>
      </w:pPr>
      <w:r>
        <w:rPr>
          <w:rFonts w:ascii="Arial" w:eastAsia="Arial" w:hAnsi="Arial" w:cs="Arial"/>
          <w:b/>
        </w:rPr>
        <w:t xml:space="preserve">Table S1 </w:t>
      </w:r>
      <w:r>
        <w:rPr>
          <w:rFonts w:ascii="Arial" w:eastAsia="Arial" w:hAnsi="Arial" w:cs="Arial"/>
        </w:rPr>
        <w:t>Guideline development group members</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36"/>
        <w:gridCol w:w="2227"/>
        <w:gridCol w:w="2238"/>
        <w:gridCol w:w="2115"/>
      </w:tblGrid>
      <w:tr w:rsidR="00BC52AF" w14:paraId="1554B26E" w14:textId="77777777" w:rsidTr="00E225A2">
        <w:trPr>
          <w:tblHeader/>
        </w:trPr>
        <w:tc>
          <w:tcPr>
            <w:tcW w:w="2436" w:type="dxa"/>
          </w:tcPr>
          <w:p w14:paraId="00000006" w14:textId="77777777" w:rsidR="00BC52AF" w:rsidRDefault="00E04452" w:rsidP="00E225A2">
            <w:pPr>
              <w:spacing w:before="120" w:after="120"/>
              <w:rPr>
                <w:rFonts w:ascii="Arial" w:eastAsia="Arial" w:hAnsi="Arial" w:cs="Arial"/>
                <w:b/>
                <w:sz w:val="20"/>
                <w:szCs w:val="20"/>
              </w:rPr>
            </w:pPr>
            <w:r>
              <w:rPr>
                <w:rFonts w:ascii="Arial" w:eastAsia="Arial" w:hAnsi="Arial" w:cs="Arial"/>
                <w:b/>
                <w:sz w:val="20"/>
                <w:szCs w:val="20"/>
              </w:rPr>
              <w:t>Name</w:t>
            </w:r>
          </w:p>
        </w:tc>
        <w:tc>
          <w:tcPr>
            <w:tcW w:w="2227" w:type="dxa"/>
          </w:tcPr>
          <w:p w14:paraId="00000007" w14:textId="77777777" w:rsidR="00BC52AF" w:rsidRDefault="00E04452" w:rsidP="00E225A2">
            <w:pPr>
              <w:spacing w:before="120" w:after="120"/>
              <w:rPr>
                <w:rFonts w:ascii="Arial" w:eastAsia="Arial" w:hAnsi="Arial" w:cs="Arial"/>
                <w:b/>
                <w:sz w:val="20"/>
                <w:szCs w:val="20"/>
              </w:rPr>
            </w:pPr>
            <w:r>
              <w:rPr>
                <w:rFonts w:ascii="Arial" w:eastAsia="Arial" w:hAnsi="Arial" w:cs="Arial"/>
                <w:b/>
                <w:sz w:val="20"/>
                <w:szCs w:val="20"/>
              </w:rPr>
              <w:t>Specialty</w:t>
            </w:r>
          </w:p>
        </w:tc>
        <w:tc>
          <w:tcPr>
            <w:tcW w:w="2238" w:type="dxa"/>
          </w:tcPr>
          <w:p w14:paraId="00000008" w14:textId="77777777" w:rsidR="00BC52AF" w:rsidRDefault="00E04452" w:rsidP="00E225A2">
            <w:pPr>
              <w:spacing w:before="120" w:after="120"/>
              <w:rPr>
                <w:rFonts w:ascii="Arial" w:eastAsia="Arial" w:hAnsi="Arial" w:cs="Arial"/>
                <w:b/>
                <w:sz w:val="20"/>
                <w:szCs w:val="20"/>
              </w:rPr>
            </w:pPr>
            <w:r>
              <w:rPr>
                <w:rFonts w:ascii="Arial" w:eastAsia="Arial" w:hAnsi="Arial" w:cs="Arial"/>
                <w:b/>
                <w:sz w:val="20"/>
                <w:szCs w:val="20"/>
              </w:rPr>
              <w:t>Institution</w:t>
            </w:r>
          </w:p>
        </w:tc>
        <w:tc>
          <w:tcPr>
            <w:tcW w:w="2115" w:type="dxa"/>
          </w:tcPr>
          <w:p w14:paraId="00000009" w14:textId="77777777" w:rsidR="00BC52AF" w:rsidRDefault="00E04452" w:rsidP="00E225A2">
            <w:pPr>
              <w:spacing w:before="120" w:after="120"/>
              <w:rPr>
                <w:rFonts w:ascii="Arial" w:eastAsia="Arial" w:hAnsi="Arial" w:cs="Arial"/>
                <w:b/>
                <w:sz w:val="20"/>
                <w:szCs w:val="20"/>
              </w:rPr>
            </w:pPr>
            <w:r>
              <w:rPr>
                <w:rFonts w:ascii="Arial" w:eastAsia="Arial" w:hAnsi="Arial" w:cs="Arial"/>
                <w:b/>
                <w:sz w:val="20"/>
                <w:szCs w:val="20"/>
              </w:rPr>
              <w:t>Country</w:t>
            </w:r>
          </w:p>
        </w:tc>
      </w:tr>
      <w:tr w:rsidR="00BC52AF" w14:paraId="6D4DF3F5" w14:textId="77777777">
        <w:tc>
          <w:tcPr>
            <w:tcW w:w="2436" w:type="dxa"/>
          </w:tcPr>
          <w:p w14:paraId="0000000A"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 xml:space="preserve">Mehmet </w:t>
            </w:r>
            <w:proofErr w:type="spellStart"/>
            <w:r w:rsidRPr="00B31732">
              <w:rPr>
                <w:rFonts w:ascii="Arial" w:eastAsia="Arial" w:hAnsi="Arial" w:cs="Arial"/>
                <w:sz w:val="20"/>
                <w:szCs w:val="20"/>
              </w:rPr>
              <w:t>Umut</w:t>
            </w:r>
            <w:proofErr w:type="spellEnd"/>
            <w:r w:rsidRPr="00B31732">
              <w:rPr>
                <w:rFonts w:ascii="Arial" w:eastAsia="Arial" w:hAnsi="Arial" w:cs="Arial"/>
                <w:sz w:val="20"/>
                <w:szCs w:val="20"/>
              </w:rPr>
              <w:t xml:space="preserve"> Akyol</w:t>
            </w:r>
          </w:p>
        </w:tc>
        <w:tc>
          <w:tcPr>
            <w:tcW w:w="2227" w:type="dxa"/>
          </w:tcPr>
          <w:p w14:paraId="0000000B"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Otorhinolaryngology</w:t>
            </w:r>
          </w:p>
        </w:tc>
        <w:tc>
          <w:tcPr>
            <w:tcW w:w="2238" w:type="dxa"/>
          </w:tcPr>
          <w:p w14:paraId="0000000C" w14:textId="77777777" w:rsidR="00BC52AF" w:rsidRPr="00B31732" w:rsidRDefault="00E04452" w:rsidP="008778D2">
            <w:pPr>
              <w:spacing w:before="120" w:after="120"/>
              <w:rPr>
                <w:rFonts w:ascii="Arial" w:eastAsia="Arial" w:hAnsi="Arial" w:cs="Arial"/>
                <w:sz w:val="20"/>
                <w:szCs w:val="20"/>
              </w:rPr>
            </w:pPr>
            <w:proofErr w:type="spellStart"/>
            <w:r w:rsidRPr="00B31732">
              <w:rPr>
                <w:rFonts w:ascii="Arial" w:eastAsia="Arial" w:hAnsi="Arial" w:cs="Arial"/>
                <w:sz w:val="20"/>
                <w:szCs w:val="20"/>
              </w:rPr>
              <w:t>Hacettepe</w:t>
            </w:r>
            <w:proofErr w:type="spellEnd"/>
            <w:r w:rsidRPr="00B31732">
              <w:rPr>
                <w:rFonts w:ascii="Arial" w:eastAsia="Arial" w:hAnsi="Arial" w:cs="Arial"/>
                <w:sz w:val="20"/>
                <w:szCs w:val="20"/>
              </w:rPr>
              <w:t xml:space="preserve"> University, Ankara</w:t>
            </w:r>
          </w:p>
        </w:tc>
        <w:tc>
          <w:tcPr>
            <w:tcW w:w="2115" w:type="dxa"/>
          </w:tcPr>
          <w:p w14:paraId="0000000D"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Turkey</w:t>
            </w:r>
          </w:p>
        </w:tc>
      </w:tr>
      <w:tr w:rsidR="00BC52AF" w14:paraId="62950194" w14:textId="77777777">
        <w:tc>
          <w:tcPr>
            <w:tcW w:w="2436" w:type="dxa"/>
          </w:tcPr>
          <w:p w14:paraId="0000000E"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Reshma Amin</w:t>
            </w:r>
          </w:p>
        </w:tc>
        <w:tc>
          <w:tcPr>
            <w:tcW w:w="2227" w:type="dxa"/>
          </w:tcPr>
          <w:p w14:paraId="0000000F" w14:textId="18502975" w:rsidR="00BC52AF" w:rsidRPr="00B31732" w:rsidRDefault="00DB3280" w:rsidP="008778D2">
            <w:pPr>
              <w:spacing w:before="120" w:after="120"/>
              <w:rPr>
                <w:rFonts w:ascii="Arial" w:eastAsia="Arial" w:hAnsi="Arial" w:cs="Arial"/>
                <w:sz w:val="20"/>
                <w:szCs w:val="20"/>
              </w:rPr>
            </w:pPr>
            <w:r w:rsidRPr="00B31732">
              <w:rPr>
                <w:rFonts w:ascii="Arial" w:hAnsi="Arial" w:cs="Arial"/>
                <w:color w:val="000000"/>
                <w:sz w:val="20"/>
                <w:szCs w:val="20"/>
                <w:shd w:val="clear" w:color="auto" w:fill="FFFFFF"/>
              </w:rPr>
              <w:t>Pediatric Respirology and Sleep Medicine</w:t>
            </w:r>
            <w:r w:rsidRPr="00B31732">
              <w:rPr>
                <w:rFonts w:ascii="Arial" w:eastAsia="Arial" w:hAnsi="Arial" w:cs="Arial"/>
                <w:sz w:val="20"/>
                <w:szCs w:val="20"/>
              </w:rPr>
              <w:t xml:space="preserve"> </w:t>
            </w:r>
          </w:p>
        </w:tc>
        <w:tc>
          <w:tcPr>
            <w:tcW w:w="2238" w:type="dxa"/>
          </w:tcPr>
          <w:p w14:paraId="00000010"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The Hospital for Sick Children (SickKids), Toronto, ON</w:t>
            </w:r>
          </w:p>
        </w:tc>
        <w:tc>
          <w:tcPr>
            <w:tcW w:w="2115" w:type="dxa"/>
          </w:tcPr>
          <w:p w14:paraId="00000011"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Canada</w:t>
            </w:r>
          </w:p>
        </w:tc>
      </w:tr>
      <w:tr w:rsidR="00BC52AF" w14:paraId="096A631C" w14:textId="77777777">
        <w:tc>
          <w:tcPr>
            <w:tcW w:w="2436" w:type="dxa"/>
          </w:tcPr>
          <w:p w14:paraId="00000012"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Jane Ashworth</w:t>
            </w:r>
          </w:p>
        </w:tc>
        <w:tc>
          <w:tcPr>
            <w:tcW w:w="2227" w:type="dxa"/>
          </w:tcPr>
          <w:p w14:paraId="00000013"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Ophthalmology</w:t>
            </w:r>
          </w:p>
        </w:tc>
        <w:tc>
          <w:tcPr>
            <w:tcW w:w="2238" w:type="dxa"/>
          </w:tcPr>
          <w:p w14:paraId="00000014"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Manchester Royal Eye Hospital, Manchester</w:t>
            </w:r>
          </w:p>
        </w:tc>
        <w:tc>
          <w:tcPr>
            <w:tcW w:w="2115" w:type="dxa"/>
          </w:tcPr>
          <w:p w14:paraId="00000015"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UK</w:t>
            </w:r>
          </w:p>
        </w:tc>
      </w:tr>
      <w:tr w:rsidR="00BC52AF" w14:paraId="345A2170" w14:textId="77777777">
        <w:tc>
          <w:tcPr>
            <w:tcW w:w="2436" w:type="dxa"/>
          </w:tcPr>
          <w:p w14:paraId="0000001A"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 xml:space="preserve">Kelly </w:t>
            </w:r>
            <w:proofErr w:type="spellStart"/>
            <w:r w:rsidRPr="00B31732">
              <w:rPr>
                <w:rFonts w:ascii="Arial" w:eastAsia="Arial" w:hAnsi="Arial" w:cs="Arial"/>
                <w:sz w:val="20"/>
                <w:szCs w:val="20"/>
              </w:rPr>
              <w:t>Bossola</w:t>
            </w:r>
            <w:proofErr w:type="spellEnd"/>
          </w:p>
        </w:tc>
        <w:tc>
          <w:tcPr>
            <w:tcW w:w="2227" w:type="dxa"/>
          </w:tcPr>
          <w:p w14:paraId="0000001B"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Physical therapy</w:t>
            </w:r>
          </w:p>
        </w:tc>
        <w:tc>
          <w:tcPr>
            <w:tcW w:w="2238" w:type="dxa"/>
          </w:tcPr>
          <w:p w14:paraId="0000001C" w14:textId="4480E2AE" w:rsidR="00BC52AF" w:rsidRPr="00B31732" w:rsidRDefault="002937BF" w:rsidP="008778D2">
            <w:pPr>
              <w:spacing w:before="120" w:after="120"/>
              <w:rPr>
                <w:rFonts w:ascii="Arial" w:eastAsia="Arial" w:hAnsi="Arial" w:cs="Arial"/>
                <w:sz w:val="20"/>
                <w:szCs w:val="20"/>
              </w:rPr>
            </w:pPr>
            <w:r w:rsidRPr="00B31732">
              <w:rPr>
                <w:rFonts w:ascii="Arial" w:eastAsia="Arial" w:hAnsi="Arial" w:cs="Arial"/>
                <w:sz w:val="20"/>
                <w:szCs w:val="20"/>
              </w:rPr>
              <w:t xml:space="preserve">UPMC </w:t>
            </w:r>
            <w:r w:rsidR="00E04452" w:rsidRPr="00B31732">
              <w:rPr>
                <w:rFonts w:ascii="Arial" w:eastAsia="Arial" w:hAnsi="Arial" w:cs="Arial"/>
                <w:sz w:val="20"/>
                <w:szCs w:val="20"/>
              </w:rPr>
              <w:t>Children’s Hospital of Pittsburgh, Pittsburgh, PA</w:t>
            </w:r>
          </w:p>
        </w:tc>
        <w:tc>
          <w:tcPr>
            <w:tcW w:w="2115" w:type="dxa"/>
          </w:tcPr>
          <w:p w14:paraId="0000001D"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USA</w:t>
            </w:r>
          </w:p>
        </w:tc>
      </w:tr>
      <w:tr w:rsidR="00BC52AF" w14:paraId="09E2D473" w14:textId="77777777">
        <w:tc>
          <w:tcPr>
            <w:tcW w:w="2436" w:type="dxa"/>
          </w:tcPr>
          <w:p w14:paraId="0000001E"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 xml:space="preserve">Elizabeth </w:t>
            </w:r>
            <w:proofErr w:type="spellStart"/>
            <w:r w:rsidRPr="00B31732">
              <w:rPr>
                <w:rFonts w:ascii="Arial" w:eastAsia="Arial" w:hAnsi="Arial" w:cs="Arial"/>
                <w:sz w:val="20"/>
                <w:szCs w:val="20"/>
              </w:rPr>
              <w:t>Braunlin</w:t>
            </w:r>
            <w:proofErr w:type="spellEnd"/>
          </w:p>
        </w:tc>
        <w:tc>
          <w:tcPr>
            <w:tcW w:w="2227" w:type="dxa"/>
          </w:tcPr>
          <w:p w14:paraId="0000001F" w14:textId="324A0509"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Pediatric</w:t>
            </w:r>
            <w:sdt>
              <w:sdtPr>
                <w:rPr>
                  <w:rFonts w:ascii="Arial" w:hAnsi="Arial" w:cs="Arial"/>
                  <w:sz w:val="20"/>
                  <w:szCs w:val="20"/>
                </w:rPr>
                <w:tag w:val="goog_rdk_11"/>
                <w:id w:val="25376689"/>
              </w:sdtPr>
              <w:sdtEndPr/>
              <w:sdtContent>
                <w:r w:rsidRPr="00B31732">
                  <w:rPr>
                    <w:rFonts w:ascii="Arial" w:eastAsia="Arial" w:hAnsi="Arial" w:cs="Arial"/>
                    <w:sz w:val="20"/>
                    <w:szCs w:val="20"/>
                  </w:rPr>
                  <w:t xml:space="preserve"> cardiology</w:t>
                </w:r>
              </w:sdtContent>
            </w:sdt>
          </w:p>
        </w:tc>
        <w:tc>
          <w:tcPr>
            <w:tcW w:w="2238" w:type="dxa"/>
          </w:tcPr>
          <w:p w14:paraId="00000020"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University of Minnesota, Minneapolis, MN</w:t>
            </w:r>
          </w:p>
        </w:tc>
        <w:tc>
          <w:tcPr>
            <w:tcW w:w="2115" w:type="dxa"/>
          </w:tcPr>
          <w:p w14:paraId="00000021"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USA</w:t>
            </w:r>
          </w:p>
        </w:tc>
      </w:tr>
      <w:tr w:rsidR="00BC52AF" w14:paraId="5DFCFB58" w14:textId="77777777">
        <w:tc>
          <w:tcPr>
            <w:tcW w:w="2436" w:type="dxa"/>
          </w:tcPr>
          <w:p w14:paraId="00000022"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Sandra Breyer</w:t>
            </w:r>
          </w:p>
        </w:tc>
        <w:tc>
          <w:tcPr>
            <w:tcW w:w="2227" w:type="dxa"/>
          </w:tcPr>
          <w:p w14:paraId="00000023" w14:textId="1ADA0CC3" w:rsidR="00BC52AF" w:rsidRPr="00B31732" w:rsidRDefault="004E6338" w:rsidP="008778D2">
            <w:pPr>
              <w:spacing w:before="120" w:after="120"/>
              <w:rPr>
                <w:rFonts w:ascii="Arial" w:eastAsia="Arial" w:hAnsi="Arial" w:cs="Arial"/>
                <w:sz w:val="20"/>
                <w:szCs w:val="20"/>
              </w:rPr>
            </w:pPr>
            <w:r w:rsidRPr="00B31732">
              <w:rPr>
                <w:rFonts w:ascii="Arial" w:eastAsia="Arial" w:hAnsi="Arial" w:cs="Arial"/>
                <w:sz w:val="20"/>
                <w:szCs w:val="20"/>
              </w:rPr>
              <w:t>Pediatric orthopedic surgeon/surgery</w:t>
            </w:r>
          </w:p>
        </w:tc>
        <w:tc>
          <w:tcPr>
            <w:tcW w:w="2238" w:type="dxa"/>
          </w:tcPr>
          <w:p w14:paraId="00000024"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University Medical Center Hamburg-Eppendorf, Hamburg</w:t>
            </w:r>
          </w:p>
        </w:tc>
        <w:tc>
          <w:tcPr>
            <w:tcW w:w="2115" w:type="dxa"/>
          </w:tcPr>
          <w:p w14:paraId="00000025"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Germany</w:t>
            </w:r>
          </w:p>
        </w:tc>
      </w:tr>
      <w:tr w:rsidR="006F6D38" w14:paraId="5236C998" w14:textId="77777777">
        <w:tc>
          <w:tcPr>
            <w:tcW w:w="2436" w:type="dxa"/>
          </w:tcPr>
          <w:p w14:paraId="0270F465" w14:textId="04F74214" w:rsidR="006F6D38" w:rsidRPr="00B31732" w:rsidRDefault="006F6D38" w:rsidP="008778D2">
            <w:pPr>
              <w:spacing w:before="120" w:after="120"/>
              <w:rPr>
                <w:rFonts w:ascii="Arial" w:eastAsia="Arial" w:hAnsi="Arial" w:cs="Arial"/>
                <w:sz w:val="20"/>
                <w:szCs w:val="20"/>
              </w:rPr>
            </w:pPr>
            <w:r w:rsidRPr="00B31732">
              <w:rPr>
                <w:rFonts w:ascii="Arial" w:eastAsia="Arial" w:hAnsi="Arial" w:cs="Arial"/>
                <w:sz w:val="20"/>
                <w:szCs w:val="20"/>
              </w:rPr>
              <w:t xml:space="preserve">Ana Carolina </w:t>
            </w:r>
            <w:proofErr w:type="spellStart"/>
            <w:r w:rsidRPr="00B31732">
              <w:rPr>
                <w:rFonts w:ascii="Arial" w:eastAsia="Arial" w:hAnsi="Arial" w:cs="Arial"/>
                <w:sz w:val="20"/>
                <w:szCs w:val="20"/>
              </w:rPr>
              <w:t>Brusius-Facchin</w:t>
            </w:r>
            <w:proofErr w:type="spellEnd"/>
          </w:p>
        </w:tc>
        <w:tc>
          <w:tcPr>
            <w:tcW w:w="2227" w:type="dxa"/>
          </w:tcPr>
          <w:p w14:paraId="425C89FA" w14:textId="4654D4DA" w:rsidR="00757D77" w:rsidRPr="00B31732" w:rsidRDefault="006F6D38" w:rsidP="008778D2">
            <w:pPr>
              <w:spacing w:before="120" w:after="120"/>
              <w:rPr>
                <w:rFonts w:ascii="Arial" w:eastAsia="Arial" w:hAnsi="Arial" w:cs="Arial"/>
                <w:sz w:val="20"/>
                <w:szCs w:val="20"/>
              </w:rPr>
            </w:pPr>
            <w:r w:rsidRPr="00B31732">
              <w:rPr>
                <w:rFonts w:ascii="Arial" w:eastAsia="Arial" w:hAnsi="Arial" w:cs="Arial"/>
                <w:sz w:val="20"/>
                <w:szCs w:val="20"/>
              </w:rPr>
              <w:t>Molecular Biology</w:t>
            </w:r>
            <w:r w:rsidR="00757D77" w:rsidRPr="00B31732">
              <w:rPr>
                <w:rFonts w:ascii="Arial" w:eastAsia="Arial" w:hAnsi="Arial" w:cs="Arial"/>
                <w:sz w:val="20"/>
                <w:szCs w:val="20"/>
              </w:rPr>
              <w:t>,</w:t>
            </w:r>
            <w:r w:rsidR="00B31732" w:rsidRPr="00B31732">
              <w:rPr>
                <w:rFonts w:ascii="Arial" w:eastAsia="Arial" w:hAnsi="Arial" w:cs="Arial"/>
                <w:sz w:val="20"/>
                <w:szCs w:val="20"/>
              </w:rPr>
              <w:t xml:space="preserve"> </w:t>
            </w:r>
            <w:r w:rsidR="00757D77" w:rsidRPr="00B31732">
              <w:rPr>
                <w:rFonts w:ascii="Arial" w:eastAsia="Arial" w:hAnsi="Arial" w:cs="Arial"/>
                <w:sz w:val="20"/>
                <w:szCs w:val="20"/>
              </w:rPr>
              <w:t>Medical genetics</w:t>
            </w:r>
          </w:p>
        </w:tc>
        <w:tc>
          <w:tcPr>
            <w:tcW w:w="2238" w:type="dxa"/>
          </w:tcPr>
          <w:p w14:paraId="73261A01" w14:textId="48787825" w:rsidR="006F6D38" w:rsidRPr="00B31732" w:rsidRDefault="006F6D38" w:rsidP="008778D2">
            <w:pPr>
              <w:spacing w:before="120" w:after="120"/>
              <w:rPr>
                <w:rFonts w:ascii="Arial" w:eastAsia="Arial" w:hAnsi="Arial" w:cs="Arial"/>
                <w:sz w:val="20"/>
                <w:szCs w:val="20"/>
              </w:rPr>
            </w:pPr>
            <w:r w:rsidRPr="00B31732">
              <w:rPr>
                <w:rFonts w:ascii="Arial" w:eastAsia="Arial" w:hAnsi="Arial" w:cs="Arial"/>
                <w:sz w:val="20"/>
                <w:szCs w:val="20"/>
              </w:rPr>
              <w:t xml:space="preserve">Hospital de </w:t>
            </w:r>
            <w:proofErr w:type="spellStart"/>
            <w:r w:rsidRPr="00B31732">
              <w:rPr>
                <w:rFonts w:ascii="Arial" w:eastAsia="Arial" w:hAnsi="Arial" w:cs="Arial"/>
                <w:sz w:val="20"/>
                <w:szCs w:val="20"/>
              </w:rPr>
              <w:t>Clinicas</w:t>
            </w:r>
            <w:proofErr w:type="spellEnd"/>
            <w:r w:rsidRPr="00B31732">
              <w:rPr>
                <w:rFonts w:ascii="Arial" w:eastAsia="Arial" w:hAnsi="Arial" w:cs="Arial"/>
                <w:sz w:val="20"/>
                <w:szCs w:val="20"/>
              </w:rPr>
              <w:t xml:space="preserve"> de Porto Alegre, Porto Alegre, RS</w:t>
            </w:r>
          </w:p>
        </w:tc>
        <w:tc>
          <w:tcPr>
            <w:tcW w:w="2115" w:type="dxa"/>
          </w:tcPr>
          <w:p w14:paraId="17C09592" w14:textId="245BC4C5" w:rsidR="006F6D38" w:rsidRPr="00B31732" w:rsidRDefault="006F6D38" w:rsidP="008778D2">
            <w:pPr>
              <w:spacing w:before="120" w:after="120"/>
              <w:rPr>
                <w:rFonts w:ascii="Arial" w:eastAsia="Arial" w:hAnsi="Arial" w:cs="Arial"/>
                <w:sz w:val="20"/>
                <w:szCs w:val="20"/>
              </w:rPr>
            </w:pPr>
            <w:r w:rsidRPr="00B31732">
              <w:rPr>
                <w:rFonts w:ascii="Arial" w:eastAsia="Arial" w:hAnsi="Arial" w:cs="Arial"/>
                <w:sz w:val="20"/>
                <w:szCs w:val="20"/>
              </w:rPr>
              <w:t>Brazil</w:t>
            </w:r>
          </w:p>
        </w:tc>
      </w:tr>
      <w:tr w:rsidR="00BC52AF" w14:paraId="0E30E99E" w14:textId="77777777">
        <w:tc>
          <w:tcPr>
            <w:tcW w:w="2436" w:type="dxa"/>
          </w:tcPr>
          <w:p w14:paraId="00000026" w14:textId="77777777" w:rsidR="00BC52AF" w:rsidRPr="00B31732" w:rsidRDefault="00E04452" w:rsidP="008778D2">
            <w:pPr>
              <w:spacing w:before="120" w:after="120"/>
              <w:rPr>
                <w:rFonts w:ascii="Arial" w:eastAsia="Arial" w:hAnsi="Arial" w:cs="Arial"/>
                <w:sz w:val="20"/>
                <w:szCs w:val="20"/>
              </w:rPr>
            </w:pPr>
            <w:proofErr w:type="spellStart"/>
            <w:r w:rsidRPr="00B31732">
              <w:rPr>
                <w:rFonts w:ascii="Arial" w:eastAsia="Arial" w:hAnsi="Arial" w:cs="Arial"/>
                <w:sz w:val="20"/>
                <w:szCs w:val="20"/>
              </w:rPr>
              <w:t>Maira</w:t>
            </w:r>
            <w:proofErr w:type="spellEnd"/>
            <w:r w:rsidRPr="00B31732">
              <w:rPr>
                <w:rFonts w:ascii="Arial" w:eastAsia="Arial" w:hAnsi="Arial" w:cs="Arial"/>
                <w:sz w:val="20"/>
                <w:szCs w:val="20"/>
              </w:rPr>
              <w:t xml:space="preserve"> Burin</w:t>
            </w:r>
          </w:p>
        </w:tc>
        <w:tc>
          <w:tcPr>
            <w:tcW w:w="2227" w:type="dxa"/>
          </w:tcPr>
          <w:p w14:paraId="00000027" w14:textId="7F93C1B2" w:rsidR="00BC52AF" w:rsidRPr="00B31732" w:rsidRDefault="008D5E88" w:rsidP="008778D2">
            <w:pPr>
              <w:spacing w:before="120" w:after="120"/>
              <w:rPr>
                <w:rFonts w:ascii="Arial" w:eastAsia="Arial" w:hAnsi="Arial" w:cs="Arial"/>
                <w:sz w:val="20"/>
                <w:szCs w:val="20"/>
              </w:rPr>
            </w:pPr>
            <w:r w:rsidRPr="00B31732">
              <w:rPr>
                <w:rFonts w:ascii="Arial" w:hAnsi="Arial" w:cs="Arial"/>
                <w:sz w:val="20"/>
                <w:szCs w:val="20"/>
              </w:rPr>
              <w:t xml:space="preserve">Biochemistry, </w:t>
            </w:r>
            <w:r w:rsidR="00E04452" w:rsidRPr="00B31732">
              <w:rPr>
                <w:rFonts w:ascii="Arial" w:eastAsia="Arial" w:hAnsi="Arial" w:cs="Arial"/>
                <w:sz w:val="20"/>
                <w:szCs w:val="20"/>
              </w:rPr>
              <w:t>Medical genetics</w:t>
            </w:r>
          </w:p>
        </w:tc>
        <w:tc>
          <w:tcPr>
            <w:tcW w:w="2238" w:type="dxa"/>
          </w:tcPr>
          <w:p w14:paraId="00000028"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 xml:space="preserve">Hospital de </w:t>
            </w:r>
            <w:proofErr w:type="spellStart"/>
            <w:r w:rsidRPr="00B31732">
              <w:rPr>
                <w:rFonts w:ascii="Arial" w:eastAsia="Arial" w:hAnsi="Arial" w:cs="Arial"/>
                <w:sz w:val="20"/>
                <w:szCs w:val="20"/>
              </w:rPr>
              <w:t>Clínicas</w:t>
            </w:r>
            <w:proofErr w:type="spellEnd"/>
            <w:r w:rsidRPr="00B31732">
              <w:rPr>
                <w:rFonts w:ascii="Arial" w:eastAsia="Arial" w:hAnsi="Arial" w:cs="Arial"/>
                <w:sz w:val="20"/>
                <w:szCs w:val="20"/>
              </w:rPr>
              <w:t xml:space="preserve"> de Porto Alegre, Porto Alegre, RS</w:t>
            </w:r>
          </w:p>
        </w:tc>
        <w:tc>
          <w:tcPr>
            <w:tcW w:w="2115" w:type="dxa"/>
          </w:tcPr>
          <w:p w14:paraId="00000029"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Brazil</w:t>
            </w:r>
          </w:p>
        </w:tc>
      </w:tr>
      <w:tr w:rsidR="00BC52AF" w14:paraId="057F1E14" w14:textId="77777777">
        <w:tc>
          <w:tcPr>
            <w:tcW w:w="2436" w:type="dxa"/>
          </w:tcPr>
          <w:p w14:paraId="0000002A"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lastRenderedPageBreak/>
              <w:t xml:space="preserve">Marco </w:t>
            </w:r>
            <w:proofErr w:type="spellStart"/>
            <w:r w:rsidRPr="00B31732">
              <w:rPr>
                <w:rFonts w:ascii="Arial" w:eastAsia="Arial" w:hAnsi="Arial" w:cs="Arial"/>
                <w:sz w:val="20"/>
                <w:szCs w:val="20"/>
              </w:rPr>
              <w:t>Corridore</w:t>
            </w:r>
            <w:proofErr w:type="spellEnd"/>
          </w:p>
        </w:tc>
        <w:tc>
          <w:tcPr>
            <w:tcW w:w="2227" w:type="dxa"/>
          </w:tcPr>
          <w:p w14:paraId="0000002B"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Anesthesiology and pain medicine</w:t>
            </w:r>
          </w:p>
        </w:tc>
        <w:tc>
          <w:tcPr>
            <w:tcW w:w="2238" w:type="dxa"/>
          </w:tcPr>
          <w:p w14:paraId="0000002C"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Nationwide Children's Hospital, Columbus, OH</w:t>
            </w:r>
          </w:p>
        </w:tc>
        <w:tc>
          <w:tcPr>
            <w:tcW w:w="2115" w:type="dxa"/>
          </w:tcPr>
          <w:p w14:paraId="0000002D"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USA</w:t>
            </w:r>
          </w:p>
        </w:tc>
      </w:tr>
      <w:tr w:rsidR="00A56532" w14:paraId="417C9F3D" w14:textId="77777777">
        <w:tc>
          <w:tcPr>
            <w:tcW w:w="2436" w:type="dxa"/>
          </w:tcPr>
          <w:p w14:paraId="587003C9" w14:textId="2B84DBCB" w:rsidR="00A56532" w:rsidRPr="00B31732" w:rsidRDefault="00A56532" w:rsidP="008778D2">
            <w:pPr>
              <w:spacing w:before="120" w:after="120"/>
              <w:rPr>
                <w:rFonts w:ascii="Arial" w:eastAsia="Arial" w:hAnsi="Arial" w:cs="Arial"/>
                <w:sz w:val="20"/>
                <w:szCs w:val="20"/>
              </w:rPr>
            </w:pPr>
            <w:r w:rsidRPr="00B31732">
              <w:rPr>
                <w:rFonts w:ascii="Arial" w:eastAsia="Arial" w:hAnsi="Arial" w:cs="Arial"/>
                <w:sz w:val="20"/>
                <w:szCs w:val="20"/>
              </w:rPr>
              <w:t>Megan Donnell</w:t>
            </w:r>
          </w:p>
        </w:tc>
        <w:tc>
          <w:tcPr>
            <w:tcW w:w="2227" w:type="dxa"/>
          </w:tcPr>
          <w:p w14:paraId="5C4E12C8" w14:textId="42C596CC" w:rsidR="00A56532"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Patient advocate</w:t>
            </w:r>
          </w:p>
        </w:tc>
        <w:tc>
          <w:tcPr>
            <w:tcW w:w="2238" w:type="dxa"/>
          </w:tcPr>
          <w:p w14:paraId="3A336E8E" w14:textId="6A599A60" w:rsidR="00A56532"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Sanfilippo Children’s Foundation, Freshwater, NSW</w:t>
            </w:r>
          </w:p>
        </w:tc>
        <w:tc>
          <w:tcPr>
            <w:tcW w:w="2115" w:type="dxa"/>
          </w:tcPr>
          <w:p w14:paraId="622506A4" w14:textId="03C9EEC6" w:rsidR="00A56532"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Australia</w:t>
            </w:r>
          </w:p>
        </w:tc>
      </w:tr>
      <w:tr w:rsidR="00ED2FC7" w14:paraId="1A05319B" w14:textId="77777777">
        <w:tc>
          <w:tcPr>
            <w:tcW w:w="2436" w:type="dxa"/>
          </w:tcPr>
          <w:p w14:paraId="0AA18DB9" w14:textId="4BAD4564"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Elise Drake</w:t>
            </w:r>
          </w:p>
        </w:tc>
        <w:tc>
          <w:tcPr>
            <w:tcW w:w="2227" w:type="dxa"/>
          </w:tcPr>
          <w:p w14:paraId="72C69A71" w14:textId="6816BA7A"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Patient advocate</w:t>
            </w:r>
          </w:p>
        </w:tc>
        <w:tc>
          <w:tcPr>
            <w:tcW w:w="2238" w:type="dxa"/>
          </w:tcPr>
          <w:p w14:paraId="481FCFA5" w14:textId="205131F5"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Cure Sanfilippo Foundation, Columbia, SC</w:t>
            </w:r>
          </w:p>
        </w:tc>
        <w:tc>
          <w:tcPr>
            <w:tcW w:w="2115" w:type="dxa"/>
          </w:tcPr>
          <w:p w14:paraId="076DCAAE" w14:textId="536DBF3A"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USA</w:t>
            </w:r>
          </w:p>
        </w:tc>
      </w:tr>
      <w:tr w:rsidR="00BC52AF" w14:paraId="738B5028" w14:textId="77777777">
        <w:tc>
          <w:tcPr>
            <w:tcW w:w="2436" w:type="dxa"/>
          </w:tcPr>
          <w:p w14:paraId="0000002E"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 xml:space="preserve">Carolyn </w:t>
            </w:r>
            <w:proofErr w:type="spellStart"/>
            <w:r w:rsidRPr="00B31732">
              <w:rPr>
                <w:rFonts w:ascii="Arial" w:eastAsia="Arial" w:hAnsi="Arial" w:cs="Arial"/>
                <w:sz w:val="20"/>
                <w:szCs w:val="20"/>
              </w:rPr>
              <w:t>Ellaway</w:t>
            </w:r>
            <w:proofErr w:type="spellEnd"/>
          </w:p>
        </w:tc>
        <w:tc>
          <w:tcPr>
            <w:tcW w:w="2227" w:type="dxa"/>
          </w:tcPr>
          <w:p w14:paraId="0000002F" w14:textId="01F1FDC9"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Clinical and metabolic genetics</w:t>
            </w:r>
          </w:p>
        </w:tc>
        <w:tc>
          <w:tcPr>
            <w:tcW w:w="2238" w:type="dxa"/>
          </w:tcPr>
          <w:p w14:paraId="00000030"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Sydney Children's Hospital Network, Sydney, NSW</w:t>
            </w:r>
          </w:p>
        </w:tc>
        <w:tc>
          <w:tcPr>
            <w:tcW w:w="2115" w:type="dxa"/>
          </w:tcPr>
          <w:p w14:paraId="00000031" w14:textId="77777777" w:rsidR="00BC52AF" w:rsidRPr="00B31732" w:rsidRDefault="00E04452" w:rsidP="008778D2">
            <w:pPr>
              <w:spacing w:before="120" w:after="120"/>
              <w:rPr>
                <w:rFonts w:ascii="Arial" w:eastAsia="Arial" w:hAnsi="Arial" w:cs="Arial"/>
                <w:sz w:val="20"/>
                <w:szCs w:val="20"/>
              </w:rPr>
            </w:pPr>
            <w:r w:rsidRPr="00B31732">
              <w:rPr>
                <w:rFonts w:ascii="Arial" w:eastAsia="Arial" w:hAnsi="Arial" w:cs="Arial"/>
                <w:sz w:val="20"/>
                <w:szCs w:val="20"/>
              </w:rPr>
              <w:t>Australia</w:t>
            </w:r>
          </w:p>
        </w:tc>
      </w:tr>
      <w:tr w:rsidR="00ED2FC7" w14:paraId="3E2FA6F4" w14:textId="77777777">
        <w:tc>
          <w:tcPr>
            <w:tcW w:w="2436" w:type="dxa"/>
          </w:tcPr>
          <w:p w14:paraId="4F1ECBFA" w14:textId="45048CDE"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Kristina Elvidge</w:t>
            </w:r>
          </w:p>
        </w:tc>
        <w:tc>
          <w:tcPr>
            <w:tcW w:w="2227" w:type="dxa"/>
          </w:tcPr>
          <w:p w14:paraId="6B840B9C" w14:textId="0BE9233C"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Patient advocate</w:t>
            </w:r>
          </w:p>
        </w:tc>
        <w:tc>
          <w:tcPr>
            <w:tcW w:w="2238" w:type="dxa"/>
          </w:tcPr>
          <w:p w14:paraId="43BE5F0D" w14:textId="5BD5FB90" w:rsidR="00ED2FC7" w:rsidRPr="00B31732" w:rsidRDefault="00212A22" w:rsidP="008778D2">
            <w:pPr>
              <w:spacing w:before="120" w:after="120"/>
              <w:rPr>
                <w:rFonts w:ascii="Arial" w:eastAsia="Arial" w:hAnsi="Arial" w:cs="Arial"/>
                <w:sz w:val="20"/>
                <w:szCs w:val="20"/>
              </w:rPr>
            </w:pPr>
            <w:r w:rsidRPr="00B31732">
              <w:rPr>
                <w:rFonts w:ascii="Arial" w:eastAsia="Arial" w:hAnsi="Arial" w:cs="Arial"/>
                <w:sz w:val="20"/>
                <w:szCs w:val="20"/>
              </w:rPr>
              <w:t xml:space="preserve">Sanfilippo Children’s </w:t>
            </w:r>
            <w:r w:rsidR="00ED2FC7" w:rsidRPr="00B31732">
              <w:rPr>
                <w:rFonts w:ascii="Arial" w:eastAsia="Arial" w:hAnsi="Arial" w:cs="Arial"/>
                <w:sz w:val="20"/>
                <w:szCs w:val="20"/>
              </w:rPr>
              <w:t xml:space="preserve">Foundation, </w:t>
            </w:r>
            <w:r w:rsidRPr="00B31732">
              <w:rPr>
                <w:rFonts w:ascii="Arial" w:eastAsia="Arial" w:hAnsi="Arial" w:cs="Arial"/>
                <w:sz w:val="20"/>
                <w:szCs w:val="20"/>
              </w:rPr>
              <w:t>Freshwater, NSW</w:t>
            </w:r>
          </w:p>
        </w:tc>
        <w:tc>
          <w:tcPr>
            <w:tcW w:w="2115" w:type="dxa"/>
          </w:tcPr>
          <w:p w14:paraId="79514777" w14:textId="10B6DAAF" w:rsidR="00ED2FC7" w:rsidRPr="00B31732" w:rsidRDefault="00212A22" w:rsidP="008778D2">
            <w:pPr>
              <w:spacing w:before="120" w:after="120"/>
              <w:rPr>
                <w:rFonts w:ascii="Arial" w:eastAsia="Arial" w:hAnsi="Arial" w:cs="Arial"/>
                <w:sz w:val="20"/>
                <w:szCs w:val="20"/>
              </w:rPr>
            </w:pPr>
            <w:r w:rsidRPr="00B31732">
              <w:rPr>
                <w:rFonts w:ascii="Arial" w:eastAsia="Arial" w:hAnsi="Arial" w:cs="Arial"/>
                <w:sz w:val="20"/>
                <w:szCs w:val="20"/>
              </w:rPr>
              <w:t>Australia</w:t>
            </w:r>
          </w:p>
        </w:tc>
      </w:tr>
      <w:tr w:rsidR="00ED2FC7" w14:paraId="29825CFC" w14:textId="77777777">
        <w:tc>
          <w:tcPr>
            <w:tcW w:w="2436" w:type="dxa"/>
          </w:tcPr>
          <w:p w14:paraId="00000036"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Maria Fuller</w:t>
            </w:r>
          </w:p>
        </w:tc>
        <w:tc>
          <w:tcPr>
            <w:tcW w:w="2227" w:type="dxa"/>
          </w:tcPr>
          <w:p w14:paraId="00000037" w14:textId="4A61F4A5" w:rsidR="00ED2FC7" w:rsidRPr="00B31732" w:rsidRDefault="00ED2FC7" w:rsidP="008778D2">
            <w:pPr>
              <w:spacing w:before="120" w:after="120"/>
              <w:rPr>
                <w:rFonts w:ascii="Arial" w:eastAsia="Arial" w:hAnsi="Arial" w:cs="Arial"/>
                <w:sz w:val="20"/>
                <w:szCs w:val="20"/>
              </w:rPr>
            </w:pPr>
            <w:r w:rsidRPr="00B31732">
              <w:rPr>
                <w:rFonts w:ascii="Arial" w:hAnsi="Arial" w:cs="Arial"/>
                <w:sz w:val="20"/>
                <w:szCs w:val="20"/>
              </w:rPr>
              <w:t xml:space="preserve">Biochemical </w:t>
            </w:r>
            <w:r w:rsidR="00D16C1D" w:rsidRPr="00B31732">
              <w:rPr>
                <w:rFonts w:ascii="Arial" w:hAnsi="Arial" w:cs="Arial"/>
                <w:sz w:val="20"/>
                <w:szCs w:val="20"/>
              </w:rPr>
              <w:t>genetics</w:t>
            </w:r>
          </w:p>
        </w:tc>
        <w:tc>
          <w:tcPr>
            <w:tcW w:w="2238" w:type="dxa"/>
          </w:tcPr>
          <w:p w14:paraId="00000038" w14:textId="020892D3"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SA Pathology at Women’s and Children’s Hospital, Adelaide, SA</w:t>
            </w:r>
          </w:p>
        </w:tc>
        <w:tc>
          <w:tcPr>
            <w:tcW w:w="2115" w:type="dxa"/>
          </w:tcPr>
          <w:p w14:paraId="00000039"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Australia</w:t>
            </w:r>
          </w:p>
        </w:tc>
      </w:tr>
      <w:tr w:rsidR="00ED2FC7" w14:paraId="56E7C94A" w14:textId="77777777">
        <w:tc>
          <w:tcPr>
            <w:tcW w:w="2436" w:type="dxa"/>
          </w:tcPr>
          <w:p w14:paraId="6E0D1C26" w14:textId="065C100E"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 xml:space="preserve">Roberto </w:t>
            </w:r>
            <w:proofErr w:type="spellStart"/>
            <w:r w:rsidRPr="00B31732">
              <w:rPr>
                <w:rFonts w:ascii="Arial" w:eastAsia="Arial" w:hAnsi="Arial" w:cs="Arial"/>
                <w:sz w:val="20"/>
                <w:szCs w:val="20"/>
              </w:rPr>
              <w:t>Giugliani</w:t>
            </w:r>
            <w:proofErr w:type="spellEnd"/>
          </w:p>
        </w:tc>
        <w:tc>
          <w:tcPr>
            <w:tcW w:w="2227" w:type="dxa"/>
          </w:tcPr>
          <w:p w14:paraId="07FDCF1A" w14:textId="65BE768C" w:rsidR="00ED2FC7" w:rsidRPr="00B31732" w:rsidRDefault="00ED2FC7" w:rsidP="008778D2">
            <w:pPr>
              <w:spacing w:before="120" w:after="120"/>
              <w:rPr>
                <w:rFonts w:ascii="Arial" w:hAnsi="Arial" w:cs="Arial"/>
                <w:sz w:val="20"/>
                <w:szCs w:val="20"/>
              </w:rPr>
            </w:pPr>
            <w:r w:rsidRPr="00B31732">
              <w:rPr>
                <w:rFonts w:ascii="Arial" w:hAnsi="Arial" w:cs="Arial"/>
                <w:sz w:val="20"/>
                <w:szCs w:val="20"/>
              </w:rPr>
              <w:t>Medical genetics</w:t>
            </w:r>
          </w:p>
        </w:tc>
        <w:tc>
          <w:tcPr>
            <w:tcW w:w="2238" w:type="dxa"/>
          </w:tcPr>
          <w:p w14:paraId="2EFEBE23" w14:textId="2CDA8EA6" w:rsidR="00ED2FC7" w:rsidRPr="00B31732" w:rsidRDefault="00B90411" w:rsidP="008778D2">
            <w:pPr>
              <w:spacing w:before="120" w:after="120"/>
              <w:rPr>
                <w:rFonts w:ascii="Arial" w:eastAsia="Arial" w:hAnsi="Arial" w:cs="Arial"/>
                <w:sz w:val="20"/>
                <w:szCs w:val="20"/>
              </w:rPr>
            </w:pPr>
            <w:r w:rsidRPr="00B31732">
              <w:rPr>
                <w:rFonts w:ascii="Arial" w:eastAsia="Arial" w:hAnsi="Arial" w:cs="Arial"/>
                <w:sz w:val="20"/>
                <w:szCs w:val="20"/>
                <w:lang w:val="pt-BR"/>
              </w:rPr>
              <w:t>HCPA, UFRGS, DASA, Casa dos Raros, Porto Alegre, RS</w:t>
            </w:r>
          </w:p>
        </w:tc>
        <w:tc>
          <w:tcPr>
            <w:tcW w:w="2115" w:type="dxa"/>
          </w:tcPr>
          <w:p w14:paraId="7DD10633" w14:textId="448E0224"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Brazil</w:t>
            </w:r>
          </w:p>
        </w:tc>
      </w:tr>
      <w:tr w:rsidR="00ED2FC7" w14:paraId="0935E619" w14:textId="77777777">
        <w:tc>
          <w:tcPr>
            <w:tcW w:w="2436" w:type="dxa"/>
          </w:tcPr>
          <w:p w14:paraId="0000003A"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 xml:space="preserve">Livia </w:t>
            </w:r>
            <w:proofErr w:type="spellStart"/>
            <w:r w:rsidRPr="00B31732">
              <w:rPr>
                <w:rFonts w:ascii="Arial" w:eastAsia="Arial" w:hAnsi="Arial" w:cs="Arial"/>
                <w:sz w:val="20"/>
                <w:szCs w:val="20"/>
              </w:rPr>
              <w:t>Goldraich</w:t>
            </w:r>
            <w:proofErr w:type="spellEnd"/>
          </w:p>
        </w:tc>
        <w:tc>
          <w:tcPr>
            <w:tcW w:w="2227" w:type="dxa"/>
          </w:tcPr>
          <w:p w14:paraId="0000003B"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Cardiology</w:t>
            </w:r>
          </w:p>
        </w:tc>
        <w:tc>
          <w:tcPr>
            <w:tcW w:w="2238" w:type="dxa"/>
          </w:tcPr>
          <w:p w14:paraId="0000003C"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 xml:space="preserve">Hospital de </w:t>
            </w:r>
            <w:proofErr w:type="spellStart"/>
            <w:r w:rsidRPr="00B31732">
              <w:rPr>
                <w:rFonts w:ascii="Arial" w:eastAsia="Arial" w:hAnsi="Arial" w:cs="Arial"/>
                <w:sz w:val="20"/>
                <w:szCs w:val="20"/>
              </w:rPr>
              <w:t>Clínicas</w:t>
            </w:r>
            <w:proofErr w:type="spellEnd"/>
            <w:r w:rsidRPr="00B31732">
              <w:rPr>
                <w:rFonts w:ascii="Arial" w:eastAsia="Arial" w:hAnsi="Arial" w:cs="Arial"/>
                <w:sz w:val="20"/>
                <w:szCs w:val="20"/>
              </w:rPr>
              <w:t xml:space="preserve"> de Porto Alegre, Porto Alegre, RS</w:t>
            </w:r>
          </w:p>
        </w:tc>
        <w:tc>
          <w:tcPr>
            <w:tcW w:w="2115" w:type="dxa"/>
          </w:tcPr>
          <w:p w14:paraId="0000003D"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Brazil</w:t>
            </w:r>
          </w:p>
        </w:tc>
      </w:tr>
      <w:tr w:rsidR="00D47958" w14:paraId="14046713" w14:textId="77777777">
        <w:tc>
          <w:tcPr>
            <w:tcW w:w="2436" w:type="dxa"/>
          </w:tcPr>
          <w:p w14:paraId="356D868F" w14:textId="02360716" w:rsidR="00D47958" w:rsidRPr="00B31732" w:rsidRDefault="00D47958" w:rsidP="008778D2">
            <w:pPr>
              <w:spacing w:before="120" w:after="120"/>
              <w:rPr>
                <w:rFonts w:ascii="Arial" w:eastAsia="Arial" w:hAnsi="Arial" w:cs="Arial"/>
                <w:sz w:val="20"/>
                <w:szCs w:val="20"/>
              </w:rPr>
            </w:pPr>
            <w:r w:rsidRPr="00B31732">
              <w:rPr>
                <w:rFonts w:ascii="Arial" w:eastAsia="Arial" w:hAnsi="Arial" w:cs="Arial"/>
                <w:sz w:val="20"/>
                <w:szCs w:val="20"/>
              </w:rPr>
              <w:t>Lynn Golightly</w:t>
            </w:r>
          </w:p>
        </w:tc>
        <w:tc>
          <w:tcPr>
            <w:tcW w:w="2227" w:type="dxa"/>
          </w:tcPr>
          <w:p w14:paraId="45CFE381" w14:textId="522465AA" w:rsidR="00D47958" w:rsidRPr="00B31732" w:rsidRDefault="00013627" w:rsidP="008778D2">
            <w:pPr>
              <w:spacing w:before="120" w:after="120"/>
              <w:rPr>
                <w:rFonts w:ascii="Arial" w:eastAsia="Arial" w:hAnsi="Arial" w:cs="Arial"/>
                <w:sz w:val="20"/>
                <w:szCs w:val="20"/>
              </w:rPr>
            </w:pPr>
            <w:r w:rsidRPr="00B31732">
              <w:rPr>
                <w:rFonts w:ascii="Arial" w:hAnsi="Arial" w:cs="Arial"/>
                <w:color w:val="222222"/>
                <w:sz w:val="20"/>
                <w:szCs w:val="20"/>
                <w:shd w:val="clear" w:color="auto" w:fill="FFFFFF"/>
              </w:rPr>
              <w:t xml:space="preserve">Speech-Language Pathologist, Dysphagia </w:t>
            </w:r>
            <w:r w:rsidR="008778D2">
              <w:rPr>
                <w:rFonts w:ascii="Arial" w:hAnsi="Arial" w:cs="Arial"/>
                <w:color w:val="222222"/>
                <w:sz w:val="20"/>
                <w:szCs w:val="20"/>
                <w:shd w:val="clear" w:color="auto" w:fill="FFFFFF"/>
              </w:rPr>
              <w:t>T</w:t>
            </w:r>
            <w:r w:rsidRPr="00B31732">
              <w:rPr>
                <w:rFonts w:ascii="Arial" w:hAnsi="Arial" w:cs="Arial"/>
                <w:color w:val="222222"/>
                <w:sz w:val="20"/>
                <w:szCs w:val="20"/>
                <w:shd w:val="clear" w:color="auto" w:fill="FFFFFF"/>
              </w:rPr>
              <w:t>herapist</w:t>
            </w:r>
            <w:r w:rsidRPr="00B31732">
              <w:rPr>
                <w:rFonts w:ascii="Arial" w:eastAsia="Arial" w:hAnsi="Arial" w:cs="Arial"/>
                <w:sz w:val="20"/>
                <w:szCs w:val="20"/>
              </w:rPr>
              <w:t xml:space="preserve"> </w:t>
            </w:r>
          </w:p>
        </w:tc>
        <w:tc>
          <w:tcPr>
            <w:tcW w:w="2238" w:type="dxa"/>
          </w:tcPr>
          <w:p w14:paraId="5357B79C" w14:textId="5086C1EC" w:rsidR="00D47958" w:rsidRPr="00B31732" w:rsidRDefault="00130568" w:rsidP="008778D2">
            <w:pPr>
              <w:spacing w:before="120" w:after="120"/>
              <w:rPr>
                <w:rFonts w:ascii="Arial" w:eastAsia="Arial" w:hAnsi="Arial" w:cs="Arial"/>
                <w:sz w:val="20"/>
                <w:szCs w:val="20"/>
              </w:rPr>
            </w:pPr>
            <w:r w:rsidRPr="00B31732">
              <w:rPr>
                <w:rFonts w:ascii="Arial" w:hAnsi="Arial" w:cs="Arial"/>
                <w:color w:val="222222"/>
                <w:sz w:val="20"/>
                <w:szCs w:val="20"/>
                <w:shd w:val="clear" w:color="auto" w:fill="FFFFFF"/>
              </w:rPr>
              <w:t xml:space="preserve">UPMC </w:t>
            </w:r>
            <w:r w:rsidR="00215CF1" w:rsidRPr="00B31732">
              <w:rPr>
                <w:rFonts w:ascii="Arial" w:hAnsi="Arial" w:cs="Arial"/>
                <w:color w:val="222222"/>
                <w:sz w:val="20"/>
                <w:szCs w:val="20"/>
                <w:shd w:val="clear" w:color="auto" w:fill="FFFFFF"/>
              </w:rPr>
              <w:t>Children’s Hospital of Pittsburgh, Pittsburgh, PA</w:t>
            </w:r>
            <w:r w:rsidR="00215CF1" w:rsidRPr="00B31732">
              <w:rPr>
                <w:rFonts w:ascii="Arial" w:eastAsia="Arial" w:hAnsi="Arial" w:cs="Arial"/>
                <w:sz w:val="20"/>
                <w:szCs w:val="20"/>
              </w:rPr>
              <w:t xml:space="preserve"> </w:t>
            </w:r>
          </w:p>
        </w:tc>
        <w:tc>
          <w:tcPr>
            <w:tcW w:w="2115" w:type="dxa"/>
          </w:tcPr>
          <w:p w14:paraId="672BBD27" w14:textId="4A46F420" w:rsidR="00D47958" w:rsidRPr="00B31732" w:rsidRDefault="00D47958" w:rsidP="008778D2">
            <w:pPr>
              <w:spacing w:before="120" w:after="120"/>
              <w:rPr>
                <w:rFonts w:ascii="Arial" w:hAnsi="Arial" w:cs="Arial"/>
                <w:sz w:val="20"/>
                <w:szCs w:val="20"/>
              </w:rPr>
            </w:pPr>
            <w:r w:rsidRPr="00B31732">
              <w:rPr>
                <w:rFonts w:ascii="Arial" w:hAnsi="Arial" w:cs="Arial"/>
                <w:sz w:val="20"/>
                <w:szCs w:val="20"/>
              </w:rPr>
              <w:t>USA</w:t>
            </w:r>
          </w:p>
        </w:tc>
      </w:tr>
      <w:tr w:rsidR="00ED2FC7" w14:paraId="01EFAF07" w14:textId="77777777">
        <w:tc>
          <w:tcPr>
            <w:tcW w:w="2436" w:type="dxa"/>
          </w:tcPr>
          <w:p w14:paraId="0000003E"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 xml:space="preserve"> </w:t>
            </w:r>
            <w:sdt>
              <w:sdtPr>
                <w:rPr>
                  <w:rFonts w:ascii="Arial" w:hAnsi="Arial" w:cs="Arial"/>
                  <w:sz w:val="20"/>
                  <w:szCs w:val="20"/>
                </w:rPr>
                <w:tag w:val="goog_rdk_29"/>
                <w:id w:val="-409926400"/>
              </w:sdtPr>
              <w:sdtEndPr/>
              <w:sdtContent>
                <w:r w:rsidRPr="00B31732">
                  <w:rPr>
                    <w:rFonts w:ascii="Arial" w:eastAsia="Arial" w:hAnsi="Arial" w:cs="Arial"/>
                    <w:sz w:val="20"/>
                    <w:szCs w:val="20"/>
                  </w:rPr>
                  <w:t xml:space="preserve">Daniel </w:t>
                </w:r>
              </w:sdtContent>
            </w:sdt>
            <w:r w:rsidRPr="00B31732">
              <w:rPr>
                <w:rFonts w:ascii="Arial" w:eastAsia="Arial" w:hAnsi="Arial" w:cs="Arial"/>
                <w:sz w:val="20"/>
                <w:szCs w:val="20"/>
              </w:rPr>
              <w:t>Guilla</w:t>
            </w:r>
            <w:sdt>
              <w:sdtPr>
                <w:rPr>
                  <w:rFonts w:ascii="Arial" w:hAnsi="Arial" w:cs="Arial"/>
                  <w:sz w:val="20"/>
                  <w:szCs w:val="20"/>
                </w:rPr>
                <w:tag w:val="goog_rdk_30"/>
                <w:id w:val="361016931"/>
              </w:sdtPr>
              <w:sdtEndPr/>
              <w:sdtContent>
                <w:r w:rsidRPr="00B31732">
                  <w:rPr>
                    <w:rFonts w:ascii="Arial" w:eastAsia="Arial" w:hAnsi="Arial" w:cs="Arial"/>
                    <w:sz w:val="20"/>
                    <w:szCs w:val="20"/>
                  </w:rPr>
                  <w:t>u</w:t>
                </w:r>
              </w:sdtContent>
            </w:sdt>
            <w:r w:rsidRPr="00B31732">
              <w:rPr>
                <w:rFonts w:ascii="Arial" w:eastAsia="Arial" w:hAnsi="Arial" w:cs="Arial"/>
                <w:sz w:val="20"/>
                <w:szCs w:val="20"/>
              </w:rPr>
              <w:t>me</w:t>
            </w:r>
          </w:p>
        </w:tc>
        <w:tc>
          <w:tcPr>
            <w:tcW w:w="2227" w:type="dxa"/>
          </w:tcPr>
          <w:p w14:paraId="0000003F" w14:textId="09A37988"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Neurosurgery</w:t>
            </w:r>
          </w:p>
        </w:tc>
        <w:tc>
          <w:tcPr>
            <w:tcW w:w="2238" w:type="dxa"/>
          </w:tcPr>
          <w:p w14:paraId="00000040" w14:textId="58D043D2"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University of Minnesota, Minneapolis</w:t>
            </w:r>
          </w:p>
        </w:tc>
        <w:tc>
          <w:tcPr>
            <w:tcW w:w="2115" w:type="dxa"/>
          </w:tcPr>
          <w:p w14:paraId="00000041" w14:textId="77777777" w:rsidR="00ED2FC7" w:rsidRPr="00B31732" w:rsidRDefault="00A92102" w:rsidP="008778D2">
            <w:pPr>
              <w:spacing w:before="120" w:after="120"/>
              <w:rPr>
                <w:rFonts w:ascii="Arial" w:eastAsia="Arial" w:hAnsi="Arial" w:cs="Arial"/>
                <w:sz w:val="20"/>
                <w:szCs w:val="20"/>
              </w:rPr>
            </w:pPr>
            <w:sdt>
              <w:sdtPr>
                <w:rPr>
                  <w:rFonts w:ascii="Arial" w:hAnsi="Arial" w:cs="Arial"/>
                  <w:sz w:val="20"/>
                  <w:szCs w:val="20"/>
                </w:rPr>
                <w:tag w:val="goog_rdk_36"/>
                <w:id w:val="-1168865152"/>
              </w:sdtPr>
              <w:sdtEndPr/>
              <w:sdtContent>
                <w:r w:rsidR="00ED2FC7" w:rsidRPr="00B31732">
                  <w:rPr>
                    <w:rFonts w:ascii="Arial" w:eastAsia="Arial" w:hAnsi="Arial" w:cs="Arial"/>
                    <w:sz w:val="20"/>
                    <w:szCs w:val="20"/>
                  </w:rPr>
                  <w:t>USA</w:t>
                </w:r>
              </w:sdtContent>
            </w:sdt>
          </w:p>
        </w:tc>
      </w:tr>
      <w:tr w:rsidR="00ED2FC7" w14:paraId="631A3DF6" w14:textId="77777777">
        <w:tc>
          <w:tcPr>
            <w:tcW w:w="2436" w:type="dxa"/>
          </w:tcPr>
          <w:p w14:paraId="00000042"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Dougal J Hare</w:t>
            </w:r>
          </w:p>
        </w:tc>
        <w:tc>
          <w:tcPr>
            <w:tcW w:w="2227" w:type="dxa"/>
          </w:tcPr>
          <w:p w14:paraId="00000043"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Psychology</w:t>
            </w:r>
          </w:p>
        </w:tc>
        <w:tc>
          <w:tcPr>
            <w:tcW w:w="2238" w:type="dxa"/>
          </w:tcPr>
          <w:p w14:paraId="00000044" w14:textId="2E40DF73" w:rsidR="00ED2FC7" w:rsidRPr="00B31732" w:rsidRDefault="00FD4D40" w:rsidP="008778D2">
            <w:pPr>
              <w:spacing w:before="120" w:after="120"/>
              <w:rPr>
                <w:rFonts w:ascii="Arial" w:eastAsia="Arial" w:hAnsi="Arial" w:cs="Arial"/>
                <w:sz w:val="20"/>
                <w:szCs w:val="20"/>
              </w:rPr>
            </w:pPr>
            <w:r w:rsidRPr="00B31732">
              <w:rPr>
                <w:rFonts w:ascii="Arial" w:eastAsia="Arial" w:hAnsi="Arial" w:cs="Arial"/>
                <w:sz w:val="20"/>
                <w:szCs w:val="20"/>
              </w:rPr>
              <w:t xml:space="preserve">University of Manchester and </w:t>
            </w:r>
            <w:r w:rsidR="00153C7C" w:rsidRPr="00B31732">
              <w:rPr>
                <w:rFonts w:ascii="Arial" w:eastAsia="Arial" w:hAnsi="Arial" w:cs="Arial"/>
                <w:sz w:val="20"/>
                <w:szCs w:val="20"/>
              </w:rPr>
              <w:t>Helios-UK,</w:t>
            </w:r>
          </w:p>
        </w:tc>
        <w:tc>
          <w:tcPr>
            <w:tcW w:w="2115" w:type="dxa"/>
          </w:tcPr>
          <w:p w14:paraId="00000045"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UK</w:t>
            </w:r>
          </w:p>
        </w:tc>
      </w:tr>
      <w:tr w:rsidR="00ED2FC7" w14:paraId="1A8F2BB4" w14:textId="77777777">
        <w:tc>
          <w:tcPr>
            <w:tcW w:w="2436" w:type="dxa"/>
          </w:tcPr>
          <w:p w14:paraId="00000046" w14:textId="7C271C30" w:rsidR="00ED2FC7" w:rsidRPr="00B31732" w:rsidRDefault="00A92102" w:rsidP="008778D2">
            <w:pPr>
              <w:spacing w:before="120" w:after="120"/>
              <w:rPr>
                <w:rFonts w:ascii="Arial" w:eastAsia="Arial" w:hAnsi="Arial" w:cs="Arial"/>
                <w:sz w:val="20"/>
                <w:szCs w:val="20"/>
              </w:rPr>
            </w:pPr>
            <w:sdt>
              <w:sdtPr>
                <w:rPr>
                  <w:rFonts w:ascii="Arial" w:hAnsi="Arial" w:cs="Arial"/>
                  <w:sz w:val="20"/>
                  <w:szCs w:val="20"/>
                </w:rPr>
                <w:tag w:val="goog_rdk_38"/>
                <w:id w:val="26158710"/>
              </w:sdtPr>
              <w:sdtEndPr/>
              <w:sdtContent>
                <w:r w:rsidR="00ED2FC7" w:rsidRPr="00B31732">
                  <w:rPr>
                    <w:rFonts w:ascii="Arial" w:eastAsia="Arial" w:hAnsi="Arial" w:cs="Arial"/>
                    <w:sz w:val="20"/>
                    <w:szCs w:val="20"/>
                  </w:rPr>
                  <w:t>Rebecca</w:t>
                </w:r>
              </w:sdtContent>
            </w:sdt>
            <w:r w:rsidR="00ED2FC7" w:rsidRPr="00B31732">
              <w:rPr>
                <w:rFonts w:ascii="Arial" w:hAnsi="Arial" w:cs="Arial"/>
                <w:sz w:val="20"/>
                <w:szCs w:val="20"/>
              </w:rPr>
              <w:t xml:space="preserve"> </w:t>
            </w:r>
            <w:r w:rsidR="00ED2FC7" w:rsidRPr="00B31732">
              <w:rPr>
                <w:rFonts w:ascii="Arial" w:eastAsia="Arial" w:hAnsi="Arial" w:cs="Arial"/>
                <w:sz w:val="20"/>
                <w:szCs w:val="20"/>
              </w:rPr>
              <w:t>Howarth</w:t>
            </w:r>
          </w:p>
        </w:tc>
        <w:tc>
          <w:tcPr>
            <w:tcW w:w="2227" w:type="dxa"/>
          </w:tcPr>
          <w:p w14:paraId="00000047" w14:textId="7092AA73" w:rsidR="00ED2FC7" w:rsidRPr="00B31732" w:rsidRDefault="005C23C4" w:rsidP="008778D2">
            <w:pPr>
              <w:spacing w:before="120" w:after="120"/>
              <w:rPr>
                <w:rFonts w:ascii="Arial" w:eastAsia="Arial" w:hAnsi="Arial" w:cs="Arial"/>
                <w:sz w:val="20"/>
                <w:szCs w:val="20"/>
              </w:rPr>
            </w:pPr>
            <w:r w:rsidRPr="005C23C4">
              <w:rPr>
                <w:rFonts w:ascii="Arial" w:eastAsia="Arial" w:hAnsi="Arial" w:cs="Arial"/>
                <w:sz w:val="20"/>
                <w:szCs w:val="20"/>
              </w:rPr>
              <w:t>Speech, Language, Dysphagia Therapy</w:t>
            </w:r>
          </w:p>
        </w:tc>
        <w:tc>
          <w:tcPr>
            <w:tcW w:w="2238" w:type="dxa"/>
          </w:tcPr>
          <w:p w14:paraId="00000048" w14:textId="143527C2"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Royal Manchester Children’s Hospital, Manchester</w:t>
            </w:r>
          </w:p>
        </w:tc>
        <w:tc>
          <w:tcPr>
            <w:tcW w:w="2115" w:type="dxa"/>
          </w:tcPr>
          <w:p w14:paraId="00000049" w14:textId="6B83815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UK</w:t>
            </w:r>
          </w:p>
        </w:tc>
      </w:tr>
      <w:tr w:rsidR="00ED2FC7" w14:paraId="15DD56AE" w14:textId="77777777">
        <w:tc>
          <w:tcPr>
            <w:tcW w:w="2436" w:type="dxa"/>
          </w:tcPr>
          <w:p w14:paraId="1FDD14AE" w14:textId="44B956B0" w:rsidR="00ED2FC7" w:rsidRPr="00B31732" w:rsidRDefault="00ED2FC7" w:rsidP="008778D2">
            <w:pPr>
              <w:spacing w:before="120" w:after="120"/>
              <w:rPr>
                <w:rFonts w:ascii="Arial" w:hAnsi="Arial" w:cs="Arial"/>
                <w:sz w:val="20"/>
                <w:szCs w:val="20"/>
              </w:rPr>
            </w:pPr>
            <w:r w:rsidRPr="00B31732">
              <w:rPr>
                <w:rFonts w:ascii="Arial" w:hAnsi="Arial" w:cs="Arial"/>
                <w:sz w:val="20"/>
                <w:szCs w:val="20"/>
              </w:rPr>
              <w:t>Simon A Jones</w:t>
            </w:r>
          </w:p>
        </w:tc>
        <w:tc>
          <w:tcPr>
            <w:tcW w:w="2227" w:type="dxa"/>
          </w:tcPr>
          <w:p w14:paraId="7F6F2A61" w14:textId="717E4FA5" w:rsidR="00ED2FC7" w:rsidRPr="00B31732" w:rsidRDefault="007F4434" w:rsidP="008778D2">
            <w:pPr>
              <w:spacing w:before="120" w:after="120"/>
              <w:rPr>
                <w:rFonts w:ascii="Arial" w:hAnsi="Arial" w:cs="Arial"/>
                <w:sz w:val="20"/>
                <w:szCs w:val="20"/>
              </w:rPr>
            </w:pPr>
            <w:r w:rsidRPr="00B31732">
              <w:rPr>
                <w:rFonts w:ascii="Arial" w:eastAsia="Arial" w:hAnsi="Arial" w:cs="Arial"/>
                <w:sz w:val="20"/>
                <w:szCs w:val="20"/>
              </w:rPr>
              <w:t>Pediatric genetics and metabolism</w:t>
            </w:r>
            <w:r w:rsidRPr="00B31732">
              <w:rPr>
                <w:rFonts w:ascii="Arial" w:hAnsi="Arial" w:cs="Arial"/>
                <w:sz w:val="20"/>
                <w:szCs w:val="20"/>
              </w:rPr>
              <w:t xml:space="preserve"> </w:t>
            </w:r>
          </w:p>
        </w:tc>
        <w:tc>
          <w:tcPr>
            <w:tcW w:w="2238" w:type="dxa"/>
          </w:tcPr>
          <w:p w14:paraId="66B9BCE7" w14:textId="411631DD" w:rsidR="00ED2FC7" w:rsidRPr="00B31732" w:rsidRDefault="00ED2FC7" w:rsidP="008778D2">
            <w:pPr>
              <w:spacing w:before="120" w:after="120"/>
              <w:rPr>
                <w:rFonts w:ascii="Arial" w:hAnsi="Arial" w:cs="Arial"/>
                <w:sz w:val="20"/>
                <w:szCs w:val="20"/>
              </w:rPr>
            </w:pPr>
            <w:r w:rsidRPr="00B31732">
              <w:rPr>
                <w:rFonts w:ascii="Arial" w:eastAsia="Arial" w:hAnsi="Arial" w:cs="Arial"/>
                <w:sz w:val="20"/>
                <w:szCs w:val="20"/>
              </w:rPr>
              <w:t>Royal Manchester Children’s Hospital, Manchester</w:t>
            </w:r>
          </w:p>
        </w:tc>
        <w:tc>
          <w:tcPr>
            <w:tcW w:w="2115" w:type="dxa"/>
          </w:tcPr>
          <w:p w14:paraId="7E90D8E2" w14:textId="5B3C36A1"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UK</w:t>
            </w:r>
          </w:p>
        </w:tc>
      </w:tr>
      <w:tr w:rsidR="00ED2FC7" w14:paraId="018C645F" w14:textId="77777777">
        <w:tc>
          <w:tcPr>
            <w:tcW w:w="2436" w:type="dxa"/>
          </w:tcPr>
          <w:p w14:paraId="0000004A"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lastRenderedPageBreak/>
              <w:t xml:space="preserve">Till </w:t>
            </w:r>
            <w:proofErr w:type="spellStart"/>
            <w:r w:rsidRPr="00B31732">
              <w:rPr>
                <w:rFonts w:ascii="Arial" w:eastAsia="Arial" w:hAnsi="Arial" w:cs="Arial"/>
                <w:sz w:val="20"/>
                <w:szCs w:val="20"/>
              </w:rPr>
              <w:t>Koehne</w:t>
            </w:r>
            <w:proofErr w:type="spellEnd"/>
          </w:p>
        </w:tc>
        <w:tc>
          <w:tcPr>
            <w:tcW w:w="2227" w:type="dxa"/>
          </w:tcPr>
          <w:p w14:paraId="0000004B"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Orthodontics</w:t>
            </w:r>
          </w:p>
        </w:tc>
        <w:tc>
          <w:tcPr>
            <w:tcW w:w="2238" w:type="dxa"/>
          </w:tcPr>
          <w:p w14:paraId="0000004C" w14:textId="05C21522"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University Medical Center Leipzig, Leipzig</w:t>
            </w:r>
          </w:p>
        </w:tc>
        <w:tc>
          <w:tcPr>
            <w:tcW w:w="2115" w:type="dxa"/>
          </w:tcPr>
          <w:p w14:paraId="0000004D"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Germany</w:t>
            </w:r>
          </w:p>
        </w:tc>
      </w:tr>
      <w:tr w:rsidR="00ED2FC7" w14:paraId="01F34B09" w14:textId="77777777">
        <w:tc>
          <w:tcPr>
            <w:tcW w:w="2436" w:type="dxa"/>
          </w:tcPr>
          <w:p w14:paraId="0000004E"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 xml:space="preserve">Diane </w:t>
            </w:r>
            <w:proofErr w:type="spellStart"/>
            <w:r w:rsidRPr="00B31732">
              <w:rPr>
                <w:rFonts w:ascii="Arial" w:eastAsia="Arial" w:hAnsi="Arial" w:cs="Arial"/>
                <w:sz w:val="20"/>
                <w:szCs w:val="20"/>
              </w:rPr>
              <w:t>Ruschel</w:t>
            </w:r>
            <w:proofErr w:type="spellEnd"/>
            <w:r w:rsidRPr="00B31732">
              <w:rPr>
                <w:rFonts w:ascii="Arial" w:eastAsia="Arial" w:hAnsi="Arial" w:cs="Arial"/>
                <w:sz w:val="20"/>
                <w:szCs w:val="20"/>
              </w:rPr>
              <w:t xml:space="preserve"> </w:t>
            </w:r>
            <w:proofErr w:type="spellStart"/>
            <w:r w:rsidRPr="00B31732">
              <w:rPr>
                <w:rFonts w:ascii="Arial" w:eastAsia="Arial" w:hAnsi="Arial" w:cs="Arial"/>
                <w:sz w:val="20"/>
                <w:szCs w:val="20"/>
              </w:rPr>
              <w:t>Marinho</w:t>
            </w:r>
            <w:proofErr w:type="spellEnd"/>
          </w:p>
        </w:tc>
        <w:tc>
          <w:tcPr>
            <w:tcW w:w="2227" w:type="dxa"/>
          </w:tcPr>
          <w:p w14:paraId="0000004F"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Ophthalmology</w:t>
            </w:r>
          </w:p>
        </w:tc>
        <w:tc>
          <w:tcPr>
            <w:tcW w:w="2238" w:type="dxa"/>
          </w:tcPr>
          <w:p w14:paraId="00000050" w14:textId="4CF43F1D" w:rsidR="00ED2FC7" w:rsidRPr="00B31732" w:rsidRDefault="00E533A7" w:rsidP="008778D2">
            <w:pPr>
              <w:spacing w:before="120" w:after="120"/>
              <w:rPr>
                <w:rFonts w:ascii="Arial" w:eastAsia="Arial" w:hAnsi="Arial" w:cs="Arial"/>
                <w:sz w:val="20"/>
                <w:szCs w:val="20"/>
              </w:rPr>
            </w:pPr>
            <w:r w:rsidRPr="00B31732">
              <w:rPr>
                <w:rFonts w:ascii="Arial" w:hAnsi="Arial" w:cs="Arial"/>
                <w:color w:val="222222"/>
                <w:sz w:val="20"/>
                <w:szCs w:val="20"/>
                <w:shd w:val="clear" w:color="auto" w:fill="FFFFFF"/>
              </w:rPr>
              <w:t xml:space="preserve">Hospital de </w:t>
            </w:r>
            <w:proofErr w:type="spellStart"/>
            <w:r w:rsidRPr="00B31732">
              <w:rPr>
                <w:rFonts w:ascii="Arial" w:hAnsi="Arial" w:cs="Arial"/>
                <w:color w:val="222222"/>
                <w:sz w:val="20"/>
                <w:szCs w:val="20"/>
                <w:shd w:val="clear" w:color="auto" w:fill="FFFFFF"/>
              </w:rPr>
              <w:t>Clínicas</w:t>
            </w:r>
            <w:proofErr w:type="spellEnd"/>
            <w:r w:rsidRPr="00B31732">
              <w:rPr>
                <w:rFonts w:ascii="Arial" w:hAnsi="Arial" w:cs="Arial"/>
                <w:color w:val="222222"/>
                <w:sz w:val="20"/>
                <w:szCs w:val="20"/>
                <w:shd w:val="clear" w:color="auto" w:fill="FFFFFF"/>
              </w:rPr>
              <w:t xml:space="preserve"> de Porto Alegre (UFRGS)</w:t>
            </w:r>
            <w:r w:rsidRPr="00B31732">
              <w:rPr>
                <w:rFonts w:ascii="Arial" w:eastAsia="Arial" w:hAnsi="Arial" w:cs="Arial"/>
                <w:sz w:val="20"/>
                <w:szCs w:val="20"/>
              </w:rPr>
              <w:t>,</w:t>
            </w:r>
            <w:r w:rsidR="00ED2FC7" w:rsidRPr="00B31732">
              <w:rPr>
                <w:rFonts w:ascii="Arial" w:eastAsia="Arial" w:hAnsi="Arial" w:cs="Arial"/>
                <w:sz w:val="20"/>
                <w:szCs w:val="20"/>
              </w:rPr>
              <w:t xml:space="preserve"> Porto Alegre</w:t>
            </w:r>
          </w:p>
        </w:tc>
        <w:tc>
          <w:tcPr>
            <w:tcW w:w="2115" w:type="dxa"/>
          </w:tcPr>
          <w:p w14:paraId="00000051"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Brazil</w:t>
            </w:r>
          </w:p>
        </w:tc>
      </w:tr>
      <w:tr w:rsidR="001E4ABE" w14:paraId="390EBDFD" w14:textId="77777777">
        <w:tc>
          <w:tcPr>
            <w:tcW w:w="2436" w:type="dxa"/>
          </w:tcPr>
          <w:p w14:paraId="0970CAC8" w14:textId="096CE7B3" w:rsidR="001E4ABE" w:rsidRPr="00B31732" w:rsidRDefault="00624083" w:rsidP="008778D2">
            <w:pPr>
              <w:spacing w:before="120" w:after="120"/>
              <w:rPr>
                <w:rFonts w:ascii="Arial" w:eastAsia="Arial" w:hAnsi="Arial" w:cs="Arial"/>
                <w:sz w:val="20"/>
                <w:szCs w:val="20"/>
              </w:rPr>
            </w:pPr>
            <w:r w:rsidRPr="00B31732">
              <w:rPr>
                <w:rFonts w:ascii="Arial" w:eastAsia="Arial" w:hAnsi="Arial" w:cs="Arial"/>
                <w:sz w:val="20"/>
                <w:szCs w:val="20"/>
              </w:rPr>
              <w:t xml:space="preserve">Eleanor </w:t>
            </w:r>
            <w:r w:rsidR="001E4ABE" w:rsidRPr="00B31732">
              <w:rPr>
                <w:rFonts w:ascii="Arial" w:eastAsia="Arial" w:hAnsi="Arial" w:cs="Arial"/>
                <w:sz w:val="20"/>
                <w:szCs w:val="20"/>
              </w:rPr>
              <w:t>Mc</w:t>
            </w:r>
            <w:r w:rsidR="007564F7" w:rsidRPr="00B31732">
              <w:rPr>
                <w:rFonts w:ascii="Arial" w:eastAsia="Arial" w:hAnsi="Arial" w:cs="Arial"/>
                <w:sz w:val="20"/>
                <w:szCs w:val="20"/>
              </w:rPr>
              <w:t xml:space="preserve"> </w:t>
            </w:r>
            <w:r w:rsidR="00101941" w:rsidRPr="00B31732">
              <w:rPr>
                <w:rFonts w:ascii="Arial" w:eastAsia="Arial" w:hAnsi="Arial" w:cs="Arial"/>
                <w:sz w:val="20"/>
                <w:szCs w:val="20"/>
              </w:rPr>
              <w:t>G</w:t>
            </w:r>
            <w:r w:rsidR="001E4ABE" w:rsidRPr="00B31732">
              <w:rPr>
                <w:rFonts w:ascii="Arial" w:eastAsia="Arial" w:hAnsi="Arial" w:cs="Arial"/>
                <w:sz w:val="20"/>
                <w:szCs w:val="20"/>
              </w:rPr>
              <w:t>overn</w:t>
            </w:r>
          </w:p>
        </w:tc>
        <w:tc>
          <w:tcPr>
            <w:tcW w:w="2227" w:type="dxa"/>
          </w:tcPr>
          <w:p w14:paraId="472006A4" w14:textId="574A29B6" w:rsidR="001E4ABE" w:rsidRPr="00B31732" w:rsidRDefault="007564F7" w:rsidP="008778D2">
            <w:pPr>
              <w:spacing w:before="120" w:after="120"/>
              <w:rPr>
                <w:rFonts w:ascii="Arial" w:eastAsia="Arial" w:hAnsi="Arial" w:cs="Arial"/>
                <w:sz w:val="20"/>
                <w:szCs w:val="20"/>
              </w:rPr>
            </w:pPr>
            <w:proofErr w:type="spellStart"/>
            <w:r w:rsidRPr="00B31732">
              <w:rPr>
                <w:rFonts w:ascii="Arial" w:hAnsi="Arial" w:cs="Arial"/>
                <w:sz w:val="20"/>
                <w:szCs w:val="20"/>
                <w:shd w:val="clear" w:color="auto" w:fill="FFFFFF"/>
              </w:rPr>
              <w:t>Paediatric</w:t>
            </w:r>
            <w:proofErr w:type="spellEnd"/>
            <w:r w:rsidRPr="00B31732">
              <w:rPr>
                <w:rFonts w:ascii="Arial" w:hAnsi="Arial" w:cs="Arial"/>
                <w:sz w:val="20"/>
                <w:szCs w:val="20"/>
                <w:shd w:val="clear" w:color="auto" w:fill="FFFFFF"/>
              </w:rPr>
              <w:t xml:space="preserve"> Dentistry</w:t>
            </w:r>
          </w:p>
        </w:tc>
        <w:tc>
          <w:tcPr>
            <w:tcW w:w="2238" w:type="dxa"/>
          </w:tcPr>
          <w:p w14:paraId="32AB8CF5" w14:textId="016B0FE7" w:rsidR="001E4ABE" w:rsidRPr="00B31732" w:rsidRDefault="007564F7" w:rsidP="008778D2">
            <w:pPr>
              <w:spacing w:before="120" w:after="120"/>
              <w:rPr>
                <w:rFonts w:ascii="Arial" w:eastAsia="Arial" w:hAnsi="Arial" w:cs="Arial"/>
                <w:sz w:val="20"/>
                <w:szCs w:val="20"/>
              </w:rPr>
            </w:pPr>
            <w:r w:rsidRPr="00B31732">
              <w:rPr>
                <w:rFonts w:ascii="Arial" w:hAnsi="Arial" w:cs="Arial"/>
                <w:sz w:val="20"/>
                <w:szCs w:val="20"/>
                <w:shd w:val="clear" w:color="auto" w:fill="FFFFFF"/>
              </w:rPr>
              <w:t>Children’s Health Ireland at Temple Street</w:t>
            </w:r>
            <w:r w:rsidR="001E4ABE" w:rsidRPr="00B31732">
              <w:rPr>
                <w:rFonts w:ascii="Arial" w:eastAsia="Arial" w:hAnsi="Arial" w:cs="Arial"/>
                <w:sz w:val="20"/>
                <w:szCs w:val="20"/>
              </w:rPr>
              <w:t>, Dublin</w:t>
            </w:r>
          </w:p>
        </w:tc>
        <w:tc>
          <w:tcPr>
            <w:tcW w:w="2115" w:type="dxa"/>
          </w:tcPr>
          <w:p w14:paraId="7A4B6280" w14:textId="0D7AB2AE" w:rsidR="001E4ABE" w:rsidRPr="00B31732" w:rsidRDefault="001E4ABE" w:rsidP="008778D2">
            <w:pPr>
              <w:spacing w:before="120" w:after="120"/>
              <w:rPr>
                <w:rFonts w:ascii="Arial" w:eastAsia="Arial" w:hAnsi="Arial" w:cs="Arial"/>
                <w:sz w:val="20"/>
                <w:szCs w:val="20"/>
              </w:rPr>
            </w:pPr>
            <w:r w:rsidRPr="00B31732">
              <w:rPr>
                <w:rFonts w:ascii="Arial" w:eastAsia="Arial" w:hAnsi="Arial" w:cs="Arial"/>
                <w:sz w:val="20"/>
                <w:szCs w:val="20"/>
              </w:rPr>
              <w:t>Ireland</w:t>
            </w:r>
          </w:p>
        </w:tc>
      </w:tr>
      <w:tr w:rsidR="00ED2FC7" w14:paraId="48D9999C" w14:textId="77777777">
        <w:tc>
          <w:tcPr>
            <w:tcW w:w="2436" w:type="dxa"/>
          </w:tcPr>
          <w:p w14:paraId="7104E5B1" w14:textId="354C910F"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Lisa Melton</w:t>
            </w:r>
          </w:p>
        </w:tc>
        <w:tc>
          <w:tcPr>
            <w:tcW w:w="2227" w:type="dxa"/>
          </w:tcPr>
          <w:p w14:paraId="63EC9C61" w14:textId="5EC70023"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Patient advocate</w:t>
            </w:r>
          </w:p>
        </w:tc>
        <w:tc>
          <w:tcPr>
            <w:tcW w:w="2238" w:type="dxa"/>
          </w:tcPr>
          <w:p w14:paraId="0738106E" w14:textId="135D2658"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Sanfilippo Children’s Foundation, Freshwater, NSW</w:t>
            </w:r>
          </w:p>
        </w:tc>
        <w:tc>
          <w:tcPr>
            <w:tcW w:w="2115" w:type="dxa"/>
          </w:tcPr>
          <w:p w14:paraId="0CDB019D" w14:textId="7794B975"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Australia</w:t>
            </w:r>
          </w:p>
        </w:tc>
      </w:tr>
      <w:tr w:rsidR="00ED2FC7" w14:paraId="3A68CD22" w14:textId="77777777">
        <w:tc>
          <w:tcPr>
            <w:tcW w:w="2436" w:type="dxa"/>
          </w:tcPr>
          <w:p w14:paraId="17DA3ABD" w14:textId="31550766"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 xml:space="preserve">Joseph </w:t>
            </w:r>
            <w:proofErr w:type="spellStart"/>
            <w:r w:rsidRPr="00B31732">
              <w:rPr>
                <w:rFonts w:ascii="Arial" w:eastAsia="Arial" w:hAnsi="Arial" w:cs="Arial"/>
                <w:sz w:val="20"/>
                <w:szCs w:val="20"/>
              </w:rPr>
              <w:t>Muenzer</w:t>
            </w:r>
            <w:proofErr w:type="spellEnd"/>
          </w:p>
        </w:tc>
        <w:tc>
          <w:tcPr>
            <w:tcW w:w="2227" w:type="dxa"/>
          </w:tcPr>
          <w:p w14:paraId="2A0C2447" w14:textId="4E4C9433"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Pediatric genetics and metabolism</w:t>
            </w:r>
          </w:p>
        </w:tc>
        <w:tc>
          <w:tcPr>
            <w:tcW w:w="2238" w:type="dxa"/>
          </w:tcPr>
          <w:p w14:paraId="2ED87370" w14:textId="40D009A2"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University of North Carolina, Chapel Hill, NC</w:t>
            </w:r>
          </w:p>
        </w:tc>
        <w:tc>
          <w:tcPr>
            <w:tcW w:w="2115" w:type="dxa"/>
          </w:tcPr>
          <w:p w14:paraId="40D159A4" w14:textId="729BB584"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USA</w:t>
            </w:r>
          </w:p>
        </w:tc>
      </w:tr>
      <w:tr w:rsidR="00ED2FC7" w14:paraId="64DDF185" w14:textId="77777777">
        <w:tc>
          <w:tcPr>
            <w:tcW w:w="2436" w:type="dxa"/>
          </w:tcPr>
          <w:p w14:paraId="5DD978FF" w14:textId="224AC262"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Nicole Muschol</w:t>
            </w:r>
          </w:p>
        </w:tc>
        <w:tc>
          <w:tcPr>
            <w:tcW w:w="2227" w:type="dxa"/>
          </w:tcPr>
          <w:p w14:paraId="7B03A6D3" w14:textId="705DAAF3" w:rsidR="00ED2FC7" w:rsidRPr="00B31732" w:rsidRDefault="002E04A0" w:rsidP="008778D2">
            <w:pPr>
              <w:spacing w:before="120" w:after="120"/>
              <w:rPr>
                <w:rFonts w:ascii="Arial" w:eastAsia="Arial" w:hAnsi="Arial" w:cs="Arial"/>
                <w:sz w:val="20"/>
                <w:szCs w:val="20"/>
              </w:rPr>
            </w:pPr>
            <w:r w:rsidRPr="00B31732">
              <w:rPr>
                <w:rFonts w:ascii="Arial" w:hAnsi="Arial" w:cs="Arial"/>
                <w:sz w:val="20"/>
                <w:szCs w:val="20"/>
                <w:shd w:val="clear" w:color="auto" w:fill="FFFFFF"/>
              </w:rPr>
              <w:t>Pediatric genetics and metabolism</w:t>
            </w:r>
            <w:r w:rsidRPr="00B31732">
              <w:rPr>
                <w:rFonts w:ascii="Arial" w:eastAsia="Arial" w:hAnsi="Arial" w:cs="Arial"/>
                <w:sz w:val="20"/>
                <w:szCs w:val="20"/>
              </w:rPr>
              <w:t xml:space="preserve"> </w:t>
            </w:r>
          </w:p>
        </w:tc>
        <w:tc>
          <w:tcPr>
            <w:tcW w:w="2238" w:type="dxa"/>
          </w:tcPr>
          <w:p w14:paraId="5623E4D6" w14:textId="66147F74"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University Medical Center Hamburg-Eppendorf, Hamburg</w:t>
            </w:r>
          </w:p>
        </w:tc>
        <w:tc>
          <w:tcPr>
            <w:tcW w:w="2115" w:type="dxa"/>
          </w:tcPr>
          <w:p w14:paraId="3A0ECD12" w14:textId="3113F7C1"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Germany</w:t>
            </w:r>
          </w:p>
        </w:tc>
      </w:tr>
      <w:tr w:rsidR="00ED2FC7" w14:paraId="0986A3CE" w14:textId="77777777">
        <w:tc>
          <w:tcPr>
            <w:tcW w:w="2436" w:type="dxa"/>
          </w:tcPr>
          <w:p w14:paraId="3DC75E9E" w14:textId="4A8DDB95"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Cara O’Neill</w:t>
            </w:r>
          </w:p>
        </w:tc>
        <w:tc>
          <w:tcPr>
            <w:tcW w:w="2227" w:type="dxa"/>
          </w:tcPr>
          <w:p w14:paraId="2485B854" w14:textId="3DCB2F85" w:rsidR="00F9735E" w:rsidRPr="00B31732" w:rsidRDefault="008D5E88" w:rsidP="008778D2">
            <w:pPr>
              <w:spacing w:before="120" w:after="120"/>
              <w:rPr>
                <w:rFonts w:ascii="Arial" w:eastAsia="Arial" w:hAnsi="Arial" w:cs="Arial"/>
                <w:sz w:val="20"/>
                <w:szCs w:val="20"/>
              </w:rPr>
            </w:pPr>
            <w:r w:rsidRPr="00B31732">
              <w:rPr>
                <w:rFonts w:ascii="Arial" w:eastAsia="Arial" w:hAnsi="Arial" w:cs="Arial"/>
                <w:sz w:val="20"/>
                <w:szCs w:val="20"/>
              </w:rPr>
              <w:t>Pediatrics</w:t>
            </w:r>
            <w:r w:rsidR="00F9735E" w:rsidRPr="00B31732">
              <w:rPr>
                <w:rFonts w:ascii="Arial" w:eastAsia="Arial" w:hAnsi="Arial" w:cs="Arial"/>
                <w:sz w:val="20"/>
                <w:szCs w:val="20"/>
              </w:rPr>
              <w:t>,</w:t>
            </w:r>
            <w:r w:rsidR="008778D2">
              <w:rPr>
                <w:rFonts w:ascii="Arial" w:eastAsia="Arial" w:hAnsi="Arial" w:cs="Arial"/>
                <w:sz w:val="20"/>
                <w:szCs w:val="20"/>
              </w:rPr>
              <w:t xml:space="preserve"> </w:t>
            </w:r>
            <w:r w:rsidR="00F9735E" w:rsidRPr="00B31732">
              <w:rPr>
                <w:rFonts w:ascii="Arial" w:eastAsia="Arial" w:hAnsi="Arial" w:cs="Arial"/>
                <w:sz w:val="20"/>
                <w:szCs w:val="20"/>
              </w:rPr>
              <w:t>Patient advocate</w:t>
            </w:r>
          </w:p>
        </w:tc>
        <w:tc>
          <w:tcPr>
            <w:tcW w:w="2238" w:type="dxa"/>
          </w:tcPr>
          <w:p w14:paraId="38FD3BB1" w14:textId="237DA8ED"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Cure Sanfilippo Foundation, Columbia, SC</w:t>
            </w:r>
          </w:p>
        </w:tc>
        <w:tc>
          <w:tcPr>
            <w:tcW w:w="2115" w:type="dxa"/>
          </w:tcPr>
          <w:p w14:paraId="65E7D296" w14:textId="26C64D10"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USA</w:t>
            </w:r>
          </w:p>
        </w:tc>
      </w:tr>
      <w:tr w:rsidR="00ED2FC7" w14:paraId="48F7F293" w14:textId="77777777">
        <w:tc>
          <w:tcPr>
            <w:tcW w:w="2436" w:type="dxa"/>
          </w:tcPr>
          <w:p w14:paraId="00000052" w14:textId="7A64FFC6"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 xml:space="preserve">Mark </w:t>
            </w:r>
            <w:proofErr w:type="spellStart"/>
            <w:r w:rsidRPr="00B31732">
              <w:rPr>
                <w:rFonts w:ascii="Arial" w:eastAsia="Arial" w:hAnsi="Arial" w:cs="Arial"/>
                <w:sz w:val="20"/>
                <w:szCs w:val="20"/>
              </w:rPr>
              <w:t>Pertini</w:t>
            </w:r>
            <w:proofErr w:type="spellEnd"/>
          </w:p>
        </w:tc>
        <w:tc>
          <w:tcPr>
            <w:tcW w:w="2227" w:type="dxa"/>
          </w:tcPr>
          <w:p w14:paraId="00000053" w14:textId="35B8AA1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Neuropsychology</w:t>
            </w:r>
          </w:p>
        </w:tc>
        <w:tc>
          <w:tcPr>
            <w:tcW w:w="2238" w:type="dxa"/>
          </w:tcPr>
          <w:p w14:paraId="00000054" w14:textId="3F9D0086"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Women’s and Children’s Hospital, Adelaide, SA</w:t>
            </w:r>
          </w:p>
        </w:tc>
        <w:tc>
          <w:tcPr>
            <w:tcW w:w="2115" w:type="dxa"/>
          </w:tcPr>
          <w:p w14:paraId="00000055" w14:textId="35629EDA"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Australia</w:t>
            </w:r>
          </w:p>
        </w:tc>
      </w:tr>
      <w:tr w:rsidR="00ED2FC7" w14:paraId="7310E212" w14:textId="77777777">
        <w:tc>
          <w:tcPr>
            <w:tcW w:w="2436" w:type="dxa"/>
          </w:tcPr>
          <w:p w14:paraId="00000056"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 xml:space="preserve">Lynda </w:t>
            </w:r>
            <w:proofErr w:type="spellStart"/>
            <w:r w:rsidRPr="00B31732">
              <w:rPr>
                <w:rFonts w:ascii="Arial" w:eastAsia="Arial" w:hAnsi="Arial" w:cs="Arial"/>
                <w:sz w:val="20"/>
                <w:szCs w:val="20"/>
              </w:rPr>
              <w:t>Polgreen</w:t>
            </w:r>
            <w:proofErr w:type="spellEnd"/>
          </w:p>
        </w:tc>
        <w:tc>
          <w:tcPr>
            <w:tcW w:w="2227" w:type="dxa"/>
          </w:tcPr>
          <w:p w14:paraId="00000057"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 xml:space="preserve">Pediatric </w:t>
            </w:r>
            <w:sdt>
              <w:sdtPr>
                <w:rPr>
                  <w:rFonts w:ascii="Arial" w:hAnsi="Arial" w:cs="Arial"/>
                  <w:sz w:val="20"/>
                  <w:szCs w:val="20"/>
                </w:rPr>
                <w:tag w:val="goog_rdk_59"/>
                <w:id w:val="-700312921"/>
              </w:sdtPr>
              <w:sdtEndPr/>
              <w:sdtContent>
                <w:r w:rsidRPr="00B31732">
                  <w:rPr>
                    <w:rFonts w:ascii="Arial" w:eastAsia="Arial" w:hAnsi="Arial" w:cs="Arial"/>
                    <w:sz w:val="20"/>
                    <w:szCs w:val="20"/>
                  </w:rPr>
                  <w:t>endocrinology</w:t>
                </w:r>
              </w:sdtContent>
            </w:sdt>
          </w:p>
        </w:tc>
        <w:tc>
          <w:tcPr>
            <w:tcW w:w="2238" w:type="dxa"/>
          </w:tcPr>
          <w:p w14:paraId="00000058" w14:textId="3992A8C9" w:rsidR="00ED2FC7" w:rsidRPr="00B31732" w:rsidRDefault="003E433A" w:rsidP="008778D2">
            <w:pPr>
              <w:spacing w:before="120" w:after="120"/>
              <w:rPr>
                <w:rFonts w:ascii="Arial" w:eastAsia="Arial" w:hAnsi="Arial" w:cs="Arial"/>
                <w:sz w:val="20"/>
                <w:szCs w:val="20"/>
              </w:rPr>
            </w:pPr>
            <w:r w:rsidRPr="00B31732">
              <w:rPr>
                <w:rFonts w:ascii="Arial" w:eastAsia="Arial" w:hAnsi="Arial" w:cs="Arial"/>
                <w:sz w:val="20"/>
                <w:szCs w:val="20"/>
              </w:rPr>
              <w:t>Lundquist Institute at Harbor-UCLA Medical Center, Torrance, CA</w:t>
            </w:r>
          </w:p>
        </w:tc>
        <w:tc>
          <w:tcPr>
            <w:tcW w:w="2115" w:type="dxa"/>
          </w:tcPr>
          <w:p w14:paraId="00000059"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USA</w:t>
            </w:r>
          </w:p>
        </w:tc>
      </w:tr>
      <w:tr w:rsidR="00ED2FC7" w14:paraId="69BDCE76" w14:textId="77777777">
        <w:tc>
          <w:tcPr>
            <w:tcW w:w="2436" w:type="dxa"/>
          </w:tcPr>
          <w:p w14:paraId="0000005A"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Elsa Shapiro</w:t>
            </w:r>
          </w:p>
        </w:tc>
        <w:tc>
          <w:tcPr>
            <w:tcW w:w="2227" w:type="dxa"/>
          </w:tcPr>
          <w:p w14:paraId="0000005B" w14:textId="771B1948" w:rsidR="00ED2FC7" w:rsidRPr="00B31732" w:rsidRDefault="007F5CB5" w:rsidP="008778D2">
            <w:pPr>
              <w:spacing w:before="120" w:after="120"/>
              <w:rPr>
                <w:rFonts w:ascii="Arial" w:eastAsia="Arial" w:hAnsi="Arial" w:cs="Arial"/>
                <w:sz w:val="20"/>
                <w:szCs w:val="20"/>
              </w:rPr>
            </w:pPr>
            <w:r w:rsidRPr="00B31732">
              <w:rPr>
                <w:rFonts w:ascii="Arial" w:eastAsia="Arial" w:hAnsi="Arial" w:cs="Arial"/>
                <w:sz w:val="20"/>
                <w:szCs w:val="20"/>
              </w:rPr>
              <w:t>Pediatric neuropsychology</w:t>
            </w:r>
          </w:p>
        </w:tc>
        <w:tc>
          <w:tcPr>
            <w:tcW w:w="2238" w:type="dxa"/>
          </w:tcPr>
          <w:p w14:paraId="0000005C" w14:textId="7B58D30D" w:rsidR="00ED2FC7" w:rsidRPr="00B31732" w:rsidRDefault="005261AB" w:rsidP="008778D2">
            <w:pPr>
              <w:spacing w:before="120" w:after="120"/>
              <w:rPr>
                <w:rFonts w:ascii="Arial" w:eastAsia="Arial" w:hAnsi="Arial" w:cs="Arial"/>
                <w:sz w:val="20"/>
                <w:szCs w:val="20"/>
              </w:rPr>
            </w:pPr>
            <w:r w:rsidRPr="00B31732">
              <w:rPr>
                <w:rFonts w:ascii="Arial" w:eastAsia="Arial" w:hAnsi="Arial" w:cs="Arial"/>
                <w:sz w:val="20"/>
                <w:szCs w:val="20"/>
              </w:rPr>
              <w:t xml:space="preserve">University of Minnesota, Minneapolis, MN and </w:t>
            </w:r>
            <w:r w:rsidR="00ED2FC7" w:rsidRPr="00B31732">
              <w:rPr>
                <w:rFonts w:ascii="Arial" w:eastAsia="Arial" w:hAnsi="Arial" w:cs="Arial"/>
                <w:sz w:val="20"/>
                <w:szCs w:val="20"/>
              </w:rPr>
              <w:t>Shapiro Neuropsychology Consulting, Portland, OR</w:t>
            </w:r>
          </w:p>
        </w:tc>
        <w:tc>
          <w:tcPr>
            <w:tcW w:w="2115" w:type="dxa"/>
          </w:tcPr>
          <w:p w14:paraId="0000005D"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USA</w:t>
            </w:r>
          </w:p>
        </w:tc>
      </w:tr>
      <w:tr w:rsidR="00ED2FC7" w14:paraId="3A4D29A9" w14:textId="77777777">
        <w:tc>
          <w:tcPr>
            <w:tcW w:w="2436" w:type="dxa"/>
          </w:tcPr>
          <w:p w14:paraId="53BA86B1" w14:textId="23921D52"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Nicholas Smith</w:t>
            </w:r>
          </w:p>
        </w:tc>
        <w:tc>
          <w:tcPr>
            <w:tcW w:w="2227" w:type="dxa"/>
          </w:tcPr>
          <w:p w14:paraId="35CE2299" w14:textId="3A5402C1"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Pediatric neurology</w:t>
            </w:r>
          </w:p>
        </w:tc>
        <w:tc>
          <w:tcPr>
            <w:tcW w:w="2238" w:type="dxa"/>
          </w:tcPr>
          <w:p w14:paraId="40120972" w14:textId="1080F74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Women’s and Children’s Hospital, Adelaide, SA</w:t>
            </w:r>
          </w:p>
        </w:tc>
        <w:tc>
          <w:tcPr>
            <w:tcW w:w="2115" w:type="dxa"/>
          </w:tcPr>
          <w:p w14:paraId="0F01274B" w14:textId="0D1649F9"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Australia</w:t>
            </w:r>
          </w:p>
        </w:tc>
      </w:tr>
      <w:tr w:rsidR="00ED2FC7" w14:paraId="31A683DF" w14:textId="77777777">
        <w:tc>
          <w:tcPr>
            <w:tcW w:w="2436" w:type="dxa"/>
          </w:tcPr>
          <w:p w14:paraId="0000005E"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Martha Solano</w:t>
            </w:r>
          </w:p>
        </w:tc>
        <w:tc>
          <w:tcPr>
            <w:tcW w:w="2227" w:type="dxa"/>
          </w:tcPr>
          <w:p w14:paraId="0000005F"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Pediatric neurology</w:t>
            </w:r>
          </w:p>
        </w:tc>
        <w:tc>
          <w:tcPr>
            <w:tcW w:w="2238" w:type="dxa"/>
          </w:tcPr>
          <w:p w14:paraId="00000060"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 xml:space="preserve">Fundación </w:t>
            </w:r>
            <w:proofErr w:type="spellStart"/>
            <w:r w:rsidRPr="00B31732">
              <w:rPr>
                <w:rFonts w:ascii="Arial" w:eastAsia="Arial" w:hAnsi="Arial" w:cs="Arial"/>
                <w:sz w:val="20"/>
                <w:szCs w:val="20"/>
              </w:rPr>
              <w:t>Cardioinfantil</w:t>
            </w:r>
            <w:proofErr w:type="spellEnd"/>
            <w:r w:rsidRPr="00B31732">
              <w:rPr>
                <w:rFonts w:ascii="Arial" w:eastAsia="Arial" w:hAnsi="Arial" w:cs="Arial"/>
                <w:sz w:val="20"/>
                <w:szCs w:val="20"/>
              </w:rPr>
              <w:t xml:space="preserve"> - Instituto de </w:t>
            </w:r>
            <w:proofErr w:type="spellStart"/>
            <w:r w:rsidRPr="00B31732">
              <w:rPr>
                <w:rFonts w:ascii="Arial" w:eastAsia="Arial" w:hAnsi="Arial" w:cs="Arial"/>
                <w:sz w:val="20"/>
                <w:szCs w:val="20"/>
              </w:rPr>
              <w:t>Cardiología</w:t>
            </w:r>
            <w:proofErr w:type="spellEnd"/>
            <w:r w:rsidRPr="00B31732">
              <w:rPr>
                <w:rFonts w:ascii="Arial" w:eastAsia="Arial" w:hAnsi="Arial" w:cs="Arial"/>
                <w:sz w:val="20"/>
                <w:szCs w:val="20"/>
              </w:rPr>
              <w:t>, Bogotá</w:t>
            </w:r>
          </w:p>
        </w:tc>
        <w:tc>
          <w:tcPr>
            <w:tcW w:w="2115" w:type="dxa"/>
          </w:tcPr>
          <w:p w14:paraId="00000061"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Colombia</w:t>
            </w:r>
          </w:p>
        </w:tc>
      </w:tr>
      <w:tr w:rsidR="00ED2FC7" w14:paraId="5C1DD747" w14:textId="77777777">
        <w:tc>
          <w:tcPr>
            <w:tcW w:w="2436" w:type="dxa"/>
          </w:tcPr>
          <w:p w14:paraId="00000062"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lastRenderedPageBreak/>
              <w:t xml:space="preserve">Carolina </w:t>
            </w:r>
            <w:proofErr w:type="spellStart"/>
            <w:r w:rsidRPr="00B31732">
              <w:rPr>
                <w:rFonts w:ascii="Arial" w:eastAsia="Arial" w:hAnsi="Arial" w:cs="Arial"/>
                <w:sz w:val="20"/>
                <w:szCs w:val="20"/>
              </w:rPr>
              <w:t>Fischinger</w:t>
            </w:r>
            <w:proofErr w:type="spellEnd"/>
            <w:r w:rsidRPr="00B31732">
              <w:rPr>
                <w:rFonts w:ascii="Arial" w:eastAsia="Arial" w:hAnsi="Arial" w:cs="Arial"/>
                <w:sz w:val="20"/>
                <w:szCs w:val="20"/>
              </w:rPr>
              <w:t xml:space="preserve"> Moura de Souza</w:t>
            </w:r>
          </w:p>
        </w:tc>
        <w:tc>
          <w:tcPr>
            <w:tcW w:w="2227" w:type="dxa"/>
          </w:tcPr>
          <w:p w14:paraId="00000063"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Medical genetics</w:t>
            </w:r>
          </w:p>
        </w:tc>
        <w:tc>
          <w:tcPr>
            <w:tcW w:w="2238" w:type="dxa"/>
          </w:tcPr>
          <w:p w14:paraId="00000064"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 xml:space="preserve">Hospital de </w:t>
            </w:r>
            <w:proofErr w:type="spellStart"/>
            <w:r w:rsidRPr="00B31732">
              <w:rPr>
                <w:rFonts w:ascii="Arial" w:eastAsia="Arial" w:hAnsi="Arial" w:cs="Arial"/>
                <w:sz w:val="20"/>
                <w:szCs w:val="20"/>
              </w:rPr>
              <w:t>Clínicas</w:t>
            </w:r>
            <w:proofErr w:type="spellEnd"/>
            <w:r w:rsidRPr="00B31732">
              <w:rPr>
                <w:rFonts w:ascii="Arial" w:eastAsia="Arial" w:hAnsi="Arial" w:cs="Arial"/>
                <w:sz w:val="20"/>
                <w:szCs w:val="20"/>
              </w:rPr>
              <w:t xml:space="preserve"> de Porto Alegre, Porto Alegre, RS</w:t>
            </w:r>
          </w:p>
        </w:tc>
        <w:tc>
          <w:tcPr>
            <w:tcW w:w="2115" w:type="dxa"/>
          </w:tcPr>
          <w:p w14:paraId="00000065"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Brazil</w:t>
            </w:r>
          </w:p>
        </w:tc>
      </w:tr>
      <w:tr w:rsidR="00ED2FC7" w14:paraId="42278781" w14:textId="77777777">
        <w:tc>
          <w:tcPr>
            <w:tcW w:w="2436" w:type="dxa"/>
          </w:tcPr>
          <w:p w14:paraId="00000066" w14:textId="5F6E7564"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 xml:space="preserve">Michel </w:t>
            </w:r>
            <w:proofErr w:type="spellStart"/>
            <w:r w:rsidRPr="00B31732">
              <w:rPr>
                <w:rFonts w:ascii="Arial" w:eastAsia="Arial" w:hAnsi="Arial" w:cs="Arial"/>
                <w:sz w:val="20"/>
                <w:szCs w:val="20"/>
              </w:rPr>
              <w:t>Tchan</w:t>
            </w:r>
            <w:proofErr w:type="spellEnd"/>
          </w:p>
        </w:tc>
        <w:tc>
          <w:tcPr>
            <w:tcW w:w="2227" w:type="dxa"/>
          </w:tcPr>
          <w:p w14:paraId="00000067" w14:textId="0DDA10E9"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Clinical and metabolic genetics</w:t>
            </w:r>
          </w:p>
        </w:tc>
        <w:tc>
          <w:tcPr>
            <w:tcW w:w="2238" w:type="dxa"/>
          </w:tcPr>
          <w:p w14:paraId="00000068" w14:textId="77777777" w:rsidR="00ED2FC7" w:rsidRPr="00B31732" w:rsidRDefault="00ED2FC7" w:rsidP="008778D2">
            <w:pPr>
              <w:spacing w:before="120" w:after="120"/>
              <w:rPr>
                <w:rFonts w:ascii="Arial" w:eastAsia="Arial" w:hAnsi="Arial" w:cs="Arial"/>
                <w:sz w:val="20"/>
                <w:szCs w:val="20"/>
              </w:rPr>
            </w:pPr>
            <w:proofErr w:type="spellStart"/>
            <w:r w:rsidRPr="00B31732">
              <w:rPr>
                <w:rFonts w:ascii="Arial" w:eastAsia="Arial" w:hAnsi="Arial" w:cs="Arial"/>
                <w:sz w:val="20"/>
                <w:szCs w:val="20"/>
              </w:rPr>
              <w:t>Westmead</w:t>
            </w:r>
            <w:proofErr w:type="spellEnd"/>
            <w:r w:rsidRPr="00B31732">
              <w:rPr>
                <w:rFonts w:ascii="Arial" w:eastAsia="Arial" w:hAnsi="Arial" w:cs="Arial"/>
                <w:sz w:val="20"/>
                <w:szCs w:val="20"/>
              </w:rPr>
              <w:t xml:space="preserve"> Hospital, Sydney, NSW</w:t>
            </w:r>
          </w:p>
        </w:tc>
        <w:tc>
          <w:tcPr>
            <w:tcW w:w="2115" w:type="dxa"/>
          </w:tcPr>
          <w:p w14:paraId="00000069" w14:textId="77777777"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Australia</w:t>
            </w:r>
          </w:p>
        </w:tc>
      </w:tr>
      <w:tr w:rsidR="00ED2FC7" w14:paraId="50F9DC96" w14:textId="77777777">
        <w:tc>
          <w:tcPr>
            <w:tcW w:w="2436" w:type="dxa"/>
          </w:tcPr>
          <w:p w14:paraId="0000006A" w14:textId="6F265F4C" w:rsidR="00ED2FC7" w:rsidRPr="008778D2" w:rsidRDefault="005C23C4" w:rsidP="008778D2">
            <w:pPr>
              <w:spacing w:before="120" w:after="120"/>
              <w:rPr>
                <w:rFonts w:ascii="Arial" w:eastAsia="Arial" w:hAnsi="Arial" w:cs="Arial"/>
                <w:sz w:val="20"/>
                <w:szCs w:val="20"/>
                <w:highlight w:val="yellow"/>
              </w:rPr>
            </w:pPr>
            <w:r w:rsidRPr="005C23C4">
              <w:rPr>
                <w:rFonts w:ascii="Arial" w:eastAsia="Arial" w:hAnsi="Arial" w:cs="Arial"/>
                <w:sz w:val="20"/>
                <w:szCs w:val="20"/>
              </w:rPr>
              <w:t>Mohammed Usman</w:t>
            </w:r>
          </w:p>
        </w:tc>
        <w:tc>
          <w:tcPr>
            <w:tcW w:w="2227" w:type="dxa"/>
          </w:tcPr>
          <w:p w14:paraId="0000006B" w14:textId="293E7332" w:rsidR="00ED2FC7" w:rsidRPr="00B31732" w:rsidRDefault="007302F7" w:rsidP="008778D2">
            <w:pPr>
              <w:spacing w:before="120" w:after="120"/>
              <w:rPr>
                <w:rFonts w:ascii="Arial" w:eastAsia="Arial" w:hAnsi="Arial" w:cs="Arial"/>
                <w:sz w:val="20"/>
                <w:szCs w:val="20"/>
              </w:rPr>
            </w:pPr>
            <w:proofErr w:type="spellStart"/>
            <w:r w:rsidRPr="00B31732">
              <w:rPr>
                <w:rFonts w:ascii="Arial" w:hAnsi="Arial" w:cs="Arial"/>
                <w:color w:val="000000"/>
                <w:sz w:val="20"/>
                <w:szCs w:val="20"/>
                <w:shd w:val="clear" w:color="auto" w:fill="FFFFFF"/>
              </w:rPr>
              <w:t>Paediatric</w:t>
            </w:r>
            <w:proofErr w:type="spellEnd"/>
            <w:r w:rsidRPr="00B31732">
              <w:rPr>
                <w:rFonts w:ascii="Arial" w:hAnsi="Arial" w:cs="Arial"/>
                <w:color w:val="000000"/>
                <w:sz w:val="20"/>
                <w:szCs w:val="20"/>
                <w:shd w:val="clear" w:color="auto" w:fill="FFFFFF"/>
              </w:rPr>
              <w:t xml:space="preserve"> Psychiatry</w:t>
            </w:r>
            <w:r w:rsidRPr="00B31732" w:rsidDel="007302F7">
              <w:rPr>
                <w:rFonts w:ascii="Arial" w:eastAsia="Arial" w:hAnsi="Arial" w:cs="Arial"/>
                <w:sz w:val="20"/>
                <w:szCs w:val="20"/>
              </w:rPr>
              <w:t xml:space="preserve"> </w:t>
            </w:r>
          </w:p>
        </w:tc>
        <w:tc>
          <w:tcPr>
            <w:tcW w:w="2238" w:type="dxa"/>
          </w:tcPr>
          <w:p w14:paraId="0000006C" w14:textId="15D5B611" w:rsidR="00ED2FC7" w:rsidRPr="00B31732" w:rsidRDefault="00ED2FC7" w:rsidP="008778D2">
            <w:pPr>
              <w:spacing w:before="120" w:after="120"/>
              <w:rPr>
                <w:rFonts w:ascii="Arial" w:eastAsia="Arial" w:hAnsi="Arial" w:cs="Arial"/>
                <w:sz w:val="20"/>
                <w:szCs w:val="20"/>
              </w:rPr>
            </w:pPr>
            <w:r w:rsidRPr="00B31732">
              <w:rPr>
                <w:rFonts w:ascii="Arial" w:eastAsia="Arial" w:hAnsi="Arial" w:cs="Arial"/>
                <w:sz w:val="20"/>
                <w:szCs w:val="20"/>
              </w:rPr>
              <w:t>Women’s and Children’s Hospital, Adelaide, SA</w:t>
            </w:r>
          </w:p>
        </w:tc>
        <w:tc>
          <w:tcPr>
            <w:tcW w:w="2115" w:type="dxa"/>
          </w:tcPr>
          <w:p w14:paraId="0000006D" w14:textId="7231FE5B" w:rsidR="00ED2FC7" w:rsidRPr="00B31732" w:rsidRDefault="005C23C4" w:rsidP="008778D2">
            <w:pPr>
              <w:spacing w:before="120" w:after="120"/>
              <w:rPr>
                <w:rFonts w:ascii="Arial" w:eastAsia="Arial" w:hAnsi="Arial" w:cs="Arial"/>
                <w:sz w:val="20"/>
                <w:szCs w:val="20"/>
              </w:rPr>
            </w:pPr>
            <w:r w:rsidRPr="005C23C4">
              <w:rPr>
                <w:rFonts w:ascii="Arial" w:eastAsia="Arial" w:hAnsi="Arial" w:cs="Arial"/>
                <w:sz w:val="20"/>
                <w:szCs w:val="20"/>
              </w:rPr>
              <w:t>Australia</w:t>
            </w:r>
          </w:p>
        </w:tc>
      </w:tr>
      <w:tr w:rsidR="00ED2FC7" w14:paraId="0DA27D55" w14:textId="77777777">
        <w:tc>
          <w:tcPr>
            <w:tcW w:w="2436" w:type="dxa"/>
          </w:tcPr>
          <w:p w14:paraId="0000006E" w14:textId="21FFD4C9" w:rsidR="00ED2FC7" w:rsidRPr="008778D2" w:rsidRDefault="005C23C4" w:rsidP="008778D2">
            <w:pPr>
              <w:spacing w:before="120" w:after="120"/>
              <w:rPr>
                <w:rFonts w:ascii="Arial" w:eastAsia="Arial" w:hAnsi="Arial" w:cs="Arial"/>
                <w:sz w:val="20"/>
                <w:szCs w:val="20"/>
                <w:highlight w:val="yellow"/>
              </w:rPr>
            </w:pPr>
            <w:r w:rsidRPr="005C23C4">
              <w:rPr>
                <w:rFonts w:ascii="Arial" w:eastAsia="Arial" w:hAnsi="Arial" w:cs="Arial"/>
                <w:sz w:val="20"/>
                <w:szCs w:val="20"/>
              </w:rPr>
              <w:t>Robert Walker</w:t>
            </w:r>
          </w:p>
        </w:tc>
        <w:tc>
          <w:tcPr>
            <w:tcW w:w="2227" w:type="dxa"/>
          </w:tcPr>
          <w:p w14:paraId="0000006F" w14:textId="6F267231" w:rsidR="00ED2FC7" w:rsidRPr="00B31732" w:rsidRDefault="005C23C4" w:rsidP="008778D2">
            <w:pPr>
              <w:spacing w:before="120" w:after="120"/>
              <w:rPr>
                <w:rFonts w:ascii="Arial" w:eastAsia="Arial" w:hAnsi="Arial" w:cs="Arial"/>
                <w:sz w:val="20"/>
                <w:szCs w:val="20"/>
              </w:rPr>
            </w:pPr>
            <w:r w:rsidRPr="005C23C4">
              <w:rPr>
                <w:rFonts w:ascii="Arial" w:eastAsia="Arial" w:hAnsi="Arial" w:cs="Arial"/>
                <w:sz w:val="20"/>
                <w:szCs w:val="20"/>
              </w:rPr>
              <w:t>Anesthesia</w:t>
            </w:r>
          </w:p>
        </w:tc>
        <w:tc>
          <w:tcPr>
            <w:tcW w:w="2238" w:type="dxa"/>
          </w:tcPr>
          <w:p w14:paraId="00000070" w14:textId="17362633" w:rsidR="00ED2FC7" w:rsidRPr="00B31732" w:rsidRDefault="005C23C4" w:rsidP="008778D2">
            <w:pPr>
              <w:spacing w:before="120" w:after="120"/>
              <w:rPr>
                <w:rFonts w:ascii="Arial" w:eastAsia="Arial" w:hAnsi="Arial" w:cs="Arial"/>
                <w:sz w:val="20"/>
                <w:szCs w:val="20"/>
              </w:rPr>
            </w:pPr>
            <w:r w:rsidRPr="005C23C4">
              <w:rPr>
                <w:rFonts w:ascii="Arial" w:eastAsia="Arial" w:hAnsi="Arial" w:cs="Arial"/>
                <w:sz w:val="20"/>
                <w:szCs w:val="20"/>
              </w:rPr>
              <w:t>Royal Manchester Children's Hospital, Manchester</w:t>
            </w:r>
          </w:p>
        </w:tc>
        <w:tc>
          <w:tcPr>
            <w:tcW w:w="2115" w:type="dxa"/>
          </w:tcPr>
          <w:p w14:paraId="00000071" w14:textId="1A7088C3" w:rsidR="00ED2FC7" w:rsidRPr="00B31732" w:rsidRDefault="005C23C4" w:rsidP="008778D2">
            <w:pPr>
              <w:spacing w:before="120" w:after="120"/>
              <w:rPr>
                <w:rFonts w:ascii="Arial" w:eastAsia="Arial" w:hAnsi="Arial" w:cs="Arial"/>
                <w:sz w:val="20"/>
                <w:szCs w:val="20"/>
              </w:rPr>
            </w:pPr>
            <w:r w:rsidRPr="005C23C4">
              <w:rPr>
                <w:rFonts w:ascii="Arial" w:eastAsia="Arial" w:hAnsi="Arial" w:cs="Arial"/>
                <w:sz w:val="20"/>
                <w:szCs w:val="20"/>
              </w:rPr>
              <w:t>UK</w:t>
            </w:r>
          </w:p>
        </w:tc>
      </w:tr>
      <w:tr w:rsidR="000A7A4D" w14:paraId="7F443664" w14:textId="77777777">
        <w:tc>
          <w:tcPr>
            <w:tcW w:w="2436" w:type="dxa"/>
          </w:tcPr>
          <w:p w14:paraId="6B359C0D" w14:textId="32B2DDB1" w:rsidR="000A7A4D" w:rsidRPr="00B31732" w:rsidRDefault="000A7A4D" w:rsidP="008778D2">
            <w:pPr>
              <w:spacing w:before="120" w:after="120"/>
              <w:rPr>
                <w:rFonts w:ascii="Arial" w:eastAsia="Arial" w:hAnsi="Arial" w:cs="Arial"/>
                <w:sz w:val="20"/>
                <w:szCs w:val="20"/>
              </w:rPr>
            </w:pPr>
            <w:r w:rsidRPr="00B31732">
              <w:rPr>
                <w:rFonts w:ascii="Arial" w:eastAsia="Arial" w:hAnsi="Arial" w:cs="Arial"/>
                <w:sz w:val="20"/>
                <w:szCs w:val="20"/>
              </w:rPr>
              <w:t>Rachel Ward</w:t>
            </w:r>
          </w:p>
        </w:tc>
        <w:tc>
          <w:tcPr>
            <w:tcW w:w="2227" w:type="dxa"/>
          </w:tcPr>
          <w:p w14:paraId="02B08D9F" w14:textId="12EFA4CC" w:rsidR="000A7A4D" w:rsidRPr="00B31732" w:rsidRDefault="000A7A4D" w:rsidP="008778D2">
            <w:pPr>
              <w:spacing w:before="120" w:after="120"/>
              <w:rPr>
                <w:rFonts w:ascii="Arial" w:eastAsia="Arial" w:hAnsi="Arial" w:cs="Arial"/>
                <w:sz w:val="20"/>
                <w:szCs w:val="20"/>
              </w:rPr>
            </w:pPr>
            <w:r w:rsidRPr="00B31732">
              <w:rPr>
                <w:rFonts w:ascii="Arial" w:eastAsia="Arial" w:hAnsi="Arial" w:cs="Arial"/>
                <w:sz w:val="20"/>
                <w:szCs w:val="20"/>
              </w:rPr>
              <w:t>Pediatric Audiology</w:t>
            </w:r>
          </w:p>
        </w:tc>
        <w:tc>
          <w:tcPr>
            <w:tcW w:w="2238" w:type="dxa"/>
          </w:tcPr>
          <w:p w14:paraId="4A35B9A5" w14:textId="22B90795" w:rsidR="000A7A4D" w:rsidRPr="00B31732" w:rsidRDefault="000A7A4D" w:rsidP="008778D2">
            <w:pPr>
              <w:spacing w:before="120" w:after="120"/>
              <w:rPr>
                <w:rFonts w:ascii="Arial" w:eastAsia="Arial" w:hAnsi="Arial" w:cs="Arial"/>
                <w:sz w:val="20"/>
                <w:szCs w:val="20"/>
              </w:rPr>
            </w:pPr>
            <w:r w:rsidRPr="00B31732">
              <w:rPr>
                <w:rFonts w:ascii="Arial" w:eastAsia="Arial" w:hAnsi="Arial" w:cs="Arial"/>
                <w:sz w:val="20"/>
                <w:szCs w:val="20"/>
              </w:rPr>
              <w:t xml:space="preserve">Manchester Royal Infirmary, Audiology (Hearing </w:t>
            </w:r>
            <w:r w:rsidR="007A57FE">
              <w:rPr>
                <w:rFonts w:ascii="Arial" w:eastAsia="Arial" w:hAnsi="Arial" w:cs="Arial"/>
                <w:sz w:val="20"/>
                <w:szCs w:val="20"/>
              </w:rPr>
              <w:t>&amp;</w:t>
            </w:r>
            <w:r w:rsidRPr="00B31732">
              <w:rPr>
                <w:rFonts w:ascii="Arial" w:eastAsia="Arial" w:hAnsi="Arial" w:cs="Arial"/>
                <w:sz w:val="20"/>
                <w:szCs w:val="20"/>
              </w:rPr>
              <w:t xml:space="preserve"> Balance) Centre, Manchester</w:t>
            </w:r>
          </w:p>
        </w:tc>
        <w:tc>
          <w:tcPr>
            <w:tcW w:w="2115" w:type="dxa"/>
          </w:tcPr>
          <w:p w14:paraId="0A1FC138" w14:textId="0DC7F07C" w:rsidR="000A7A4D" w:rsidRPr="00B31732" w:rsidRDefault="000A7A4D" w:rsidP="008778D2">
            <w:pPr>
              <w:spacing w:before="120" w:after="120"/>
              <w:rPr>
                <w:rFonts w:ascii="Arial" w:eastAsia="Arial" w:hAnsi="Arial" w:cs="Arial"/>
                <w:sz w:val="20"/>
                <w:szCs w:val="20"/>
              </w:rPr>
            </w:pPr>
            <w:r w:rsidRPr="00B31732">
              <w:rPr>
                <w:rFonts w:ascii="Arial" w:eastAsia="Arial" w:hAnsi="Arial" w:cs="Arial"/>
                <w:sz w:val="20"/>
                <w:szCs w:val="20"/>
              </w:rPr>
              <w:t>UK</w:t>
            </w:r>
          </w:p>
        </w:tc>
      </w:tr>
      <w:tr w:rsidR="000A7A4D" w14:paraId="6DE28AF1" w14:textId="77777777">
        <w:tc>
          <w:tcPr>
            <w:tcW w:w="2436" w:type="dxa"/>
          </w:tcPr>
          <w:p w14:paraId="765883BF" w14:textId="739E0924" w:rsidR="000A7A4D" w:rsidRPr="00B31732" w:rsidRDefault="000A7A4D" w:rsidP="008778D2">
            <w:pPr>
              <w:spacing w:before="120" w:after="120"/>
              <w:rPr>
                <w:rFonts w:ascii="Arial" w:eastAsia="Arial" w:hAnsi="Arial" w:cs="Arial"/>
                <w:sz w:val="20"/>
                <w:szCs w:val="20"/>
              </w:rPr>
            </w:pPr>
            <w:r w:rsidRPr="00B31732">
              <w:rPr>
                <w:rFonts w:ascii="Arial" w:eastAsia="Arial" w:hAnsi="Arial" w:cs="Arial"/>
                <w:sz w:val="20"/>
                <w:szCs w:val="20"/>
              </w:rPr>
              <w:t>Chet Whitley</w:t>
            </w:r>
          </w:p>
        </w:tc>
        <w:tc>
          <w:tcPr>
            <w:tcW w:w="2227" w:type="dxa"/>
          </w:tcPr>
          <w:p w14:paraId="3CC31B64" w14:textId="489AEC3B" w:rsidR="000A7A4D" w:rsidRPr="00B31732" w:rsidRDefault="000A7A4D" w:rsidP="008778D2">
            <w:pPr>
              <w:spacing w:before="120" w:after="120"/>
              <w:rPr>
                <w:rFonts w:ascii="Arial" w:eastAsia="Arial" w:hAnsi="Arial" w:cs="Arial"/>
                <w:sz w:val="20"/>
                <w:szCs w:val="20"/>
              </w:rPr>
            </w:pPr>
            <w:r w:rsidRPr="00B31732">
              <w:rPr>
                <w:rFonts w:ascii="Arial" w:eastAsia="Arial" w:hAnsi="Arial" w:cs="Arial"/>
                <w:sz w:val="20"/>
                <w:szCs w:val="20"/>
              </w:rPr>
              <w:t xml:space="preserve">Pediatric genetics and metabolism </w:t>
            </w:r>
          </w:p>
        </w:tc>
        <w:tc>
          <w:tcPr>
            <w:tcW w:w="2238" w:type="dxa"/>
          </w:tcPr>
          <w:p w14:paraId="23FE9F7A" w14:textId="1529A539" w:rsidR="000A7A4D" w:rsidRPr="00B31732" w:rsidRDefault="000A7A4D" w:rsidP="008778D2">
            <w:pPr>
              <w:spacing w:before="120" w:after="120"/>
              <w:rPr>
                <w:rFonts w:ascii="Arial" w:eastAsia="Arial" w:hAnsi="Arial" w:cs="Arial"/>
                <w:sz w:val="20"/>
                <w:szCs w:val="20"/>
              </w:rPr>
            </w:pPr>
            <w:r w:rsidRPr="00B31732">
              <w:rPr>
                <w:rFonts w:ascii="Arial" w:eastAsia="Arial" w:hAnsi="Arial" w:cs="Arial"/>
                <w:sz w:val="20"/>
                <w:szCs w:val="20"/>
              </w:rPr>
              <w:t>University of Minnesota, Minneapolis, MN</w:t>
            </w:r>
          </w:p>
        </w:tc>
        <w:tc>
          <w:tcPr>
            <w:tcW w:w="2115" w:type="dxa"/>
          </w:tcPr>
          <w:p w14:paraId="7A38BE1E" w14:textId="62B51D5D" w:rsidR="000A7A4D" w:rsidRPr="00B31732" w:rsidRDefault="000A7A4D" w:rsidP="008778D2">
            <w:pPr>
              <w:spacing w:before="120" w:after="120"/>
              <w:rPr>
                <w:rFonts w:ascii="Arial" w:eastAsia="Arial" w:hAnsi="Arial" w:cs="Arial"/>
                <w:sz w:val="20"/>
                <w:szCs w:val="20"/>
              </w:rPr>
            </w:pPr>
            <w:r w:rsidRPr="00B31732">
              <w:rPr>
                <w:rFonts w:ascii="Arial" w:eastAsia="Arial" w:hAnsi="Arial" w:cs="Arial"/>
                <w:sz w:val="20"/>
                <w:szCs w:val="20"/>
              </w:rPr>
              <w:t>USA</w:t>
            </w:r>
          </w:p>
        </w:tc>
      </w:tr>
      <w:tr w:rsidR="000A7A4D" w14:paraId="520BA399" w14:textId="77777777">
        <w:tc>
          <w:tcPr>
            <w:tcW w:w="2436" w:type="dxa"/>
          </w:tcPr>
          <w:p w14:paraId="2E562397" w14:textId="7E53E03B" w:rsidR="000A7A4D" w:rsidRPr="00B31732" w:rsidRDefault="000A7A4D" w:rsidP="008778D2">
            <w:pPr>
              <w:spacing w:before="120" w:after="120"/>
              <w:rPr>
                <w:rFonts w:ascii="Arial" w:hAnsi="Arial" w:cs="Arial"/>
                <w:sz w:val="20"/>
                <w:szCs w:val="20"/>
              </w:rPr>
            </w:pPr>
            <w:r w:rsidRPr="00B31732">
              <w:rPr>
                <w:rFonts w:ascii="Arial" w:hAnsi="Arial" w:cs="Arial"/>
                <w:sz w:val="20"/>
                <w:szCs w:val="20"/>
              </w:rPr>
              <w:t>Michelle Wood</w:t>
            </w:r>
          </w:p>
        </w:tc>
        <w:tc>
          <w:tcPr>
            <w:tcW w:w="2227" w:type="dxa"/>
          </w:tcPr>
          <w:p w14:paraId="39A019DE" w14:textId="54EAA8C4" w:rsidR="000A7A4D" w:rsidRPr="00B31732" w:rsidRDefault="000A7A4D" w:rsidP="008778D2">
            <w:pPr>
              <w:spacing w:before="120" w:after="120"/>
              <w:rPr>
                <w:rFonts w:ascii="Arial" w:hAnsi="Arial" w:cs="Arial"/>
                <w:sz w:val="20"/>
                <w:szCs w:val="20"/>
              </w:rPr>
            </w:pPr>
            <w:r w:rsidRPr="00B31732">
              <w:rPr>
                <w:rFonts w:ascii="Arial" w:hAnsi="Arial" w:cs="Arial"/>
                <w:sz w:val="20"/>
                <w:szCs w:val="20"/>
              </w:rPr>
              <w:t>Physiotherapy</w:t>
            </w:r>
          </w:p>
        </w:tc>
        <w:tc>
          <w:tcPr>
            <w:tcW w:w="2238" w:type="dxa"/>
          </w:tcPr>
          <w:p w14:paraId="4E0D3476" w14:textId="036BA2C4" w:rsidR="000A7A4D" w:rsidRPr="00B31732" w:rsidRDefault="000A7A4D" w:rsidP="008778D2">
            <w:pPr>
              <w:spacing w:before="120" w:after="120"/>
              <w:rPr>
                <w:rFonts w:ascii="Arial" w:eastAsia="Arial" w:hAnsi="Arial" w:cs="Arial"/>
                <w:sz w:val="20"/>
                <w:szCs w:val="20"/>
              </w:rPr>
            </w:pPr>
            <w:r w:rsidRPr="00B31732">
              <w:rPr>
                <w:rFonts w:ascii="Arial" w:eastAsia="Arial" w:hAnsi="Arial" w:cs="Arial"/>
                <w:sz w:val="20"/>
                <w:szCs w:val="20"/>
              </w:rPr>
              <w:t>Great Ormond Street Hospital, London</w:t>
            </w:r>
          </w:p>
        </w:tc>
        <w:tc>
          <w:tcPr>
            <w:tcW w:w="2115" w:type="dxa"/>
          </w:tcPr>
          <w:p w14:paraId="6BA27266" w14:textId="368AA270" w:rsidR="000A7A4D" w:rsidRPr="00B31732" w:rsidRDefault="005C23C4" w:rsidP="008778D2">
            <w:pPr>
              <w:spacing w:before="120" w:after="120"/>
              <w:rPr>
                <w:rFonts w:ascii="Arial" w:eastAsia="Arial" w:hAnsi="Arial" w:cs="Arial"/>
                <w:sz w:val="20"/>
                <w:szCs w:val="20"/>
              </w:rPr>
            </w:pPr>
            <w:r>
              <w:rPr>
                <w:rFonts w:ascii="Arial" w:eastAsia="Arial" w:hAnsi="Arial" w:cs="Arial"/>
                <w:sz w:val="20"/>
                <w:szCs w:val="20"/>
              </w:rPr>
              <w:t>UK</w:t>
            </w:r>
          </w:p>
        </w:tc>
      </w:tr>
      <w:tr w:rsidR="000A7A4D" w14:paraId="16B2E9EF" w14:textId="77777777">
        <w:tc>
          <w:tcPr>
            <w:tcW w:w="2436" w:type="dxa"/>
          </w:tcPr>
          <w:p w14:paraId="00000076" w14:textId="77777777" w:rsidR="000A7A4D" w:rsidRPr="00B31732" w:rsidRDefault="00A92102" w:rsidP="008778D2">
            <w:pPr>
              <w:spacing w:before="120" w:after="120"/>
              <w:rPr>
                <w:rFonts w:ascii="Arial" w:eastAsia="Arial" w:hAnsi="Arial" w:cs="Arial"/>
                <w:sz w:val="20"/>
                <w:szCs w:val="20"/>
              </w:rPr>
            </w:pPr>
            <w:sdt>
              <w:sdtPr>
                <w:rPr>
                  <w:rFonts w:ascii="Arial" w:hAnsi="Arial" w:cs="Arial"/>
                  <w:sz w:val="20"/>
                  <w:szCs w:val="20"/>
                </w:rPr>
                <w:tag w:val="goog_rdk_87"/>
                <w:id w:val="-1464273752"/>
              </w:sdtPr>
              <w:sdtEndPr/>
              <w:sdtContent/>
            </w:sdt>
            <w:r w:rsidR="000A7A4D" w:rsidRPr="00B31732">
              <w:rPr>
                <w:rFonts w:ascii="Arial" w:eastAsia="Arial" w:hAnsi="Arial" w:cs="Arial"/>
                <w:sz w:val="20"/>
                <w:szCs w:val="20"/>
              </w:rPr>
              <w:t>Timothy Wood</w:t>
            </w:r>
          </w:p>
        </w:tc>
        <w:tc>
          <w:tcPr>
            <w:tcW w:w="2227" w:type="dxa"/>
          </w:tcPr>
          <w:p w14:paraId="00000077" w14:textId="3378F2A0" w:rsidR="000A7A4D" w:rsidRPr="00B31732" w:rsidRDefault="004D409D" w:rsidP="008778D2">
            <w:pPr>
              <w:spacing w:before="120" w:after="120"/>
              <w:rPr>
                <w:rFonts w:ascii="Arial" w:eastAsia="Arial" w:hAnsi="Arial" w:cs="Arial"/>
                <w:sz w:val="20"/>
                <w:szCs w:val="20"/>
              </w:rPr>
            </w:pPr>
            <w:r w:rsidRPr="004D409D">
              <w:rPr>
                <w:rFonts w:ascii="Arial" w:eastAsia="Arial" w:hAnsi="Arial" w:cs="Arial"/>
                <w:sz w:val="20"/>
                <w:szCs w:val="20"/>
              </w:rPr>
              <w:t xml:space="preserve">Biochemical and molecular </w:t>
            </w:r>
            <w:r w:rsidR="000A7A4D" w:rsidRPr="00B31732">
              <w:rPr>
                <w:rFonts w:ascii="Arial" w:eastAsia="Arial" w:hAnsi="Arial" w:cs="Arial"/>
                <w:sz w:val="20"/>
                <w:szCs w:val="20"/>
              </w:rPr>
              <w:t xml:space="preserve">genetics </w:t>
            </w:r>
          </w:p>
        </w:tc>
        <w:tc>
          <w:tcPr>
            <w:tcW w:w="2238" w:type="dxa"/>
          </w:tcPr>
          <w:p w14:paraId="00000078" w14:textId="73C38A97" w:rsidR="000A7A4D" w:rsidRPr="008778D2" w:rsidRDefault="000A7A4D" w:rsidP="008778D2">
            <w:pPr>
              <w:shd w:val="clear" w:color="auto" w:fill="FFFFFF"/>
              <w:spacing w:before="120" w:after="120"/>
              <w:rPr>
                <w:rFonts w:ascii="Arial" w:eastAsia="Times New Roman" w:hAnsi="Arial" w:cs="Arial"/>
                <w:color w:val="000000"/>
                <w:sz w:val="20"/>
                <w:szCs w:val="20"/>
                <w:lang w:eastAsia="en-US"/>
              </w:rPr>
            </w:pPr>
            <w:r w:rsidRPr="00B31732">
              <w:rPr>
                <w:rFonts w:ascii="Arial" w:eastAsia="Times New Roman" w:hAnsi="Arial" w:cs="Arial"/>
                <w:color w:val="000000"/>
                <w:sz w:val="20"/>
                <w:szCs w:val="20"/>
                <w:lang w:eastAsia="en-US"/>
              </w:rPr>
              <w:t>University of Colorado/Children's Hospital of Colorado, Aurora Colorado</w:t>
            </w:r>
          </w:p>
        </w:tc>
        <w:tc>
          <w:tcPr>
            <w:tcW w:w="2115" w:type="dxa"/>
          </w:tcPr>
          <w:p w14:paraId="00000079" w14:textId="77777777" w:rsidR="000A7A4D" w:rsidRPr="00B31732" w:rsidRDefault="000A7A4D" w:rsidP="008778D2">
            <w:pPr>
              <w:spacing w:before="120" w:after="120"/>
              <w:rPr>
                <w:rFonts w:ascii="Arial" w:eastAsia="Arial" w:hAnsi="Arial" w:cs="Arial"/>
                <w:sz w:val="20"/>
                <w:szCs w:val="20"/>
              </w:rPr>
            </w:pPr>
            <w:r w:rsidRPr="00B31732">
              <w:rPr>
                <w:rFonts w:ascii="Arial" w:eastAsia="Arial" w:hAnsi="Arial" w:cs="Arial"/>
                <w:sz w:val="20"/>
                <w:szCs w:val="20"/>
              </w:rPr>
              <w:t>USA</w:t>
            </w:r>
          </w:p>
        </w:tc>
      </w:tr>
    </w:tbl>
    <w:p w14:paraId="0000007A" w14:textId="109D1349" w:rsidR="00BC52AF" w:rsidRDefault="00E04452" w:rsidP="008778D2">
      <w:pPr>
        <w:spacing w:before="120" w:after="0" w:line="360" w:lineRule="auto"/>
        <w:rPr>
          <w:rFonts w:ascii="Arial" w:eastAsia="Arial" w:hAnsi="Arial" w:cs="Arial"/>
          <w:sz w:val="20"/>
          <w:szCs w:val="20"/>
        </w:rPr>
      </w:pPr>
      <w:r>
        <w:rPr>
          <w:rFonts w:ascii="Arial" w:eastAsia="Arial" w:hAnsi="Arial" w:cs="Arial"/>
          <w:sz w:val="20"/>
          <w:szCs w:val="20"/>
        </w:rPr>
        <w:t>UCLA, University of California Los Angeles; UPMC, University of Pittsburgh Medical Center</w:t>
      </w:r>
    </w:p>
    <w:p w14:paraId="74F9A07F" w14:textId="77777777" w:rsidR="008778D2" w:rsidRDefault="008778D2" w:rsidP="008778D2">
      <w:pPr>
        <w:spacing w:before="120" w:after="0" w:line="360" w:lineRule="auto"/>
        <w:rPr>
          <w:rFonts w:ascii="Arial" w:eastAsia="Arial" w:hAnsi="Arial" w:cs="Arial"/>
          <w:sz w:val="20"/>
          <w:szCs w:val="20"/>
        </w:rPr>
      </w:pPr>
    </w:p>
    <w:p w14:paraId="0000007B" w14:textId="77777777" w:rsidR="00BC52AF" w:rsidRDefault="00BC52AF" w:rsidP="008778D2">
      <w:pPr>
        <w:spacing w:before="120" w:after="0" w:line="360" w:lineRule="auto"/>
        <w:rPr>
          <w:rFonts w:ascii="Arial" w:eastAsia="Arial" w:hAnsi="Arial" w:cs="Arial"/>
        </w:rPr>
        <w:sectPr w:rsidR="00BC52AF" w:rsidSect="00C32A0D">
          <w:footerReference w:type="default" r:id="rId8"/>
          <w:pgSz w:w="11906" w:h="16838"/>
          <w:pgMar w:top="1418" w:right="1440" w:bottom="1418" w:left="1440" w:header="709" w:footer="709" w:gutter="0"/>
          <w:pgNumType w:start="1"/>
          <w:cols w:space="720"/>
        </w:sectPr>
      </w:pPr>
    </w:p>
    <w:p w14:paraId="0000007C" w14:textId="42757DAB" w:rsidR="00BC52AF" w:rsidRDefault="00E04452">
      <w:pPr>
        <w:spacing w:line="360" w:lineRule="auto"/>
        <w:rPr>
          <w:rFonts w:ascii="Arial" w:eastAsia="Arial" w:hAnsi="Arial" w:cs="Arial"/>
        </w:rPr>
      </w:pPr>
      <w:r>
        <w:rPr>
          <w:rFonts w:ascii="Arial" w:eastAsia="Arial" w:hAnsi="Arial" w:cs="Arial"/>
          <w:b/>
        </w:rPr>
        <w:lastRenderedPageBreak/>
        <w:t xml:space="preserve">Table S2 </w:t>
      </w:r>
      <w:r>
        <w:rPr>
          <w:rFonts w:ascii="Arial" w:eastAsia="Arial" w:hAnsi="Arial" w:cs="Arial"/>
        </w:rPr>
        <w:t>Recommendations (core and supplemental) and level of consensus</w:t>
      </w:r>
    </w:p>
    <w:p w14:paraId="0000007D" w14:textId="6C2699F9" w:rsidR="00BC52AF" w:rsidRDefault="00E04452">
      <w:pPr>
        <w:spacing w:line="360" w:lineRule="auto"/>
        <w:rPr>
          <w:rFonts w:ascii="Arial" w:eastAsia="Arial" w:hAnsi="Arial" w:cs="Arial"/>
        </w:rPr>
      </w:pPr>
      <w:r>
        <w:rPr>
          <w:rFonts w:ascii="Arial" w:eastAsia="Arial" w:hAnsi="Arial" w:cs="Arial"/>
        </w:rPr>
        <w:t xml:space="preserve">Consensus recommendations have been divided into 156 core statements that tackle the most pressing needs faced by patients with Sanfilippo syndrome, and 22 supplemental statements that address some of the less common aspects of diagnosing and managing the disease, or areas for which further evidence is still needed. Consensus is defined as 75% or more responses of </w:t>
      </w:r>
      <w:r w:rsidR="007A57FE">
        <w:rPr>
          <w:rFonts w:ascii="Arial" w:eastAsia="Arial" w:hAnsi="Arial" w:cs="Arial"/>
        </w:rPr>
        <w:t>‘</w:t>
      </w:r>
      <w:r>
        <w:rPr>
          <w:rFonts w:ascii="Arial" w:eastAsia="Arial" w:hAnsi="Arial" w:cs="Arial"/>
        </w:rPr>
        <w:t>Strongly Agree</w:t>
      </w:r>
      <w:r w:rsidR="007A57FE">
        <w:rPr>
          <w:rFonts w:ascii="Arial" w:eastAsia="Arial" w:hAnsi="Arial" w:cs="Arial"/>
        </w:rPr>
        <w:t>’</w:t>
      </w:r>
      <w:r>
        <w:rPr>
          <w:rFonts w:ascii="Arial" w:eastAsia="Arial" w:hAnsi="Arial" w:cs="Arial"/>
        </w:rPr>
        <w:t xml:space="preserve"> or </w:t>
      </w:r>
      <w:r w:rsidR="007A57FE">
        <w:rPr>
          <w:rFonts w:ascii="Arial" w:eastAsia="Arial" w:hAnsi="Arial" w:cs="Arial"/>
        </w:rPr>
        <w:t>‘</w:t>
      </w:r>
      <w:r>
        <w:rPr>
          <w:rFonts w:ascii="Arial" w:eastAsia="Arial" w:hAnsi="Arial" w:cs="Arial"/>
        </w:rPr>
        <w:t>Agree</w:t>
      </w:r>
      <w:r w:rsidR="007A57FE">
        <w:rPr>
          <w:rFonts w:ascii="Arial" w:eastAsia="Arial" w:hAnsi="Arial" w:cs="Arial"/>
        </w:rPr>
        <w:t>’</w:t>
      </w:r>
      <w:r>
        <w:rPr>
          <w:rFonts w:ascii="Arial" w:eastAsia="Arial" w:hAnsi="Arial" w:cs="Arial"/>
        </w:rPr>
        <w:t xml:space="preserve">, excluding </w:t>
      </w:r>
      <w:r w:rsidR="007A57FE">
        <w:rPr>
          <w:rFonts w:ascii="Arial" w:eastAsia="Arial" w:hAnsi="Arial" w:cs="Arial"/>
        </w:rPr>
        <w:t>‘</w:t>
      </w:r>
      <w:r>
        <w:rPr>
          <w:rFonts w:ascii="Arial" w:eastAsia="Arial" w:hAnsi="Arial" w:cs="Arial"/>
        </w:rPr>
        <w:t>not my area of expertise</w:t>
      </w:r>
      <w:r w:rsidR="007A57FE">
        <w:rPr>
          <w:rFonts w:ascii="Arial" w:eastAsia="Arial" w:hAnsi="Arial" w:cs="Arial"/>
        </w:rPr>
        <w:t>’</w:t>
      </w:r>
      <w:r>
        <w:rPr>
          <w:rFonts w:ascii="Arial" w:eastAsia="Arial" w:hAnsi="Arial" w:cs="Arial"/>
        </w:rPr>
        <w:t>.</w:t>
      </w:r>
    </w:p>
    <w:p w14:paraId="0000007E" w14:textId="77777777" w:rsidR="00BC52AF" w:rsidRDefault="00E04452" w:rsidP="00804B4C">
      <w:pPr>
        <w:spacing w:after="0" w:line="360" w:lineRule="auto"/>
        <w:rPr>
          <w:rFonts w:ascii="Arial" w:eastAsia="Arial" w:hAnsi="Arial" w:cs="Arial"/>
          <w:b/>
        </w:rPr>
      </w:pPr>
      <w:r>
        <w:rPr>
          <w:rFonts w:ascii="Arial" w:eastAsia="Arial" w:hAnsi="Arial" w:cs="Arial"/>
          <w:b/>
        </w:rPr>
        <w:t>A. Diagnosis</w:t>
      </w:r>
    </w:p>
    <w:tbl>
      <w:tblPr>
        <w:tblStyle w:val="a0"/>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41F6FA33" w14:textId="77777777" w:rsidTr="00745713">
        <w:trPr>
          <w:tblHeader/>
        </w:trPr>
        <w:tc>
          <w:tcPr>
            <w:tcW w:w="1701" w:type="dxa"/>
            <w:vAlign w:val="center"/>
          </w:tcPr>
          <w:p w14:paraId="0000007F"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080"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081"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3AE959CF" w14:textId="77777777">
        <w:tc>
          <w:tcPr>
            <w:tcW w:w="1701" w:type="dxa"/>
          </w:tcPr>
          <w:p w14:paraId="0000008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8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In the case where a family seeks prenatal diagnosis, testing modalities should include molecular genetic testing and enzyme activity testing, being strongly indicated to use both methods whenever possible. For cases where there is an older sibling with confirmed MPS III diagnosis by molecular testing and there are two known mutations, prenatal diagnosis may be made with molecular testing alone</w:t>
            </w:r>
          </w:p>
        </w:tc>
        <w:tc>
          <w:tcPr>
            <w:tcW w:w="1701" w:type="dxa"/>
          </w:tcPr>
          <w:p w14:paraId="0000008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87.0%</w:t>
            </w:r>
          </w:p>
          <w:p w14:paraId="0000008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(40/46)</w:t>
            </w:r>
          </w:p>
        </w:tc>
      </w:tr>
      <w:tr w:rsidR="00BC52AF" w14:paraId="25272787" w14:textId="77777777">
        <w:tc>
          <w:tcPr>
            <w:tcW w:w="1701" w:type="dxa"/>
          </w:tcPr>
          <w:p w14:paraId="0000008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8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Newborn screening is critical to pre-symptomatic diagnosis, enabling timely intervention with optimal outcomes when specific therapies are approved, and its adoption should become standard of care (Note: Currently, there are ongoing newborn screening pilot studies for MPS IIIA and MPS IIIB)</w:t>
            </w:r>
          </w:p>
        </w:tc>
        <w:tc>
          <w:tcPr>
            <w:tcW w:w="1701" w:type="dxa"/>
          </w:tcPr>
          <w:p w14:paraId="0000008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80.0%</w:t>
            </w:r>
          </w:p>
          <w:p w14:paraId="0000008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(40/50)</w:t>
            </w:r>
          </w:p>
        </w:tc>
      </w:tr>
      <w:tr w:rsidR="00BC52AF" w14:paraId="6A242AE6" w14:textId="77777777">
        <w:tc>
          <w:tcPr>
            <w:tcW w:w="1701" w:type="dxa"/>
          </w:tcPr>
          <w:p w14:paraId="0000008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8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Recommend high index of suspicion and increased awareness efforts to reduce time to diagnosis (Note: Early diagnosis allows for specific supportive interventions to improve quality of life, opportunities to participate in clinical trials and/or receive treatments as they emerge and timely genetic counseling of affected families)</w:t>
            </w:r>
          </w:p>
        </w:tc>
        <w:tc>
          <w:tcPr>
            <w:tcW w:w="1701" w:type="dxa"/>
          </w:tcPr>
          <w:p w14:paraId="0000008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94.3%</w:t>
            </w:r>
          </w:p>
          <w:p w14:paraId="0000008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(50/53)</w:t>
            </w:r>
          </w:p>
        </w:tc>
      </w:tr>
      <w:tr w:rsidR="00BC52AF" w14:paraId="088EB6FD" w14:textId="77777777">
        <w:tc>
          <w:tcPr>
            <w:tcW w:w="1701" w:type="dxa"/>
          </w:tcPr>
          <w:p w14:paraId="0000008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8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For patients with speech delay and/or non-specific developmental delays, an underlying diagnosis of Sanfilippo syndrome should be considered</w:t>
            </w:r>
          </w:p>
        </w:tc>
        <w:tc>
          <w:tcPr>
            <w:tcW w:w="1701" w:type="dxa"/>
          </w:tcPr>
          <w:p w14:paraId="0000009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89.5%</w:t>
            </w:r>
          </w:p>
          <w:p w14:paraId="0000009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(51/57)</w:t>
            </w:r>
          </w:p>
        </w:tc>
      </w:tr>
      <w:tr w:rsidR="00BC52AF" w14:paraId="660EBDEE" w14:textId="77777777">
        <w:tc>
          <w:tcPr>
            <w:tcW w:w="1701" w:type="dxa"/>
          </w:tcPr>
          <w:p w14:paraId="0000009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9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Sanfilippo syndrome is to be considered in the differential diagnosis for behavioral/psychiatric findings such as: hyperactivity, ADHD, autistic behaviors, sleep disturbance, and intellectual disability</w:t>
            </w:r>
          </w:p>
        </w:tc>
        <w:tc>
          <w:tcPr>
            <w:tcW w:w="1701" w:type="dxa"/>
          </w:tcPr>
          <w:p w14:paraId="0000009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94.8%</w:t>
            </w:r>
          </w:p>
          <w:p w14:paraId="0000009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(55/58)</w:t>
            </w:r>
          </w:p>
        </w:tc>
      </w:tr>
      <w:tr w:rsidR="00BC52AF" w14:paraId="5E99523D" w14:textId="77777777">
        <w:tc>
          <w:tcPr>
            <w:tcW w:w="1701" w:type="dxa"/>
          </w:tcPr>
          <w:p w14:paraId="0000009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9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Sanfilippo syndrome is to be considered in the differential diagnosis of physical findings such as: hearing loss, hepatosplenomegaly, macrocephaly, coarse facial features, umbilical hernia, recurrent ENT infections, diarrhea or chronic loose stools, retinitis pigmentosa, cardiomyopathy, valvular heart disease, persistent tachypnea in the neonate, and/or sleep apnea</w:t>
            </w:r>
          </w:p>
        </w:tc>
        <w:tc>
          <w:tcPr>
            <w:tcW w:w="1701" w:type="dxa"/>
          </w:tcPr>
          <w:p w14:paraId="0000009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94.5%</w:t>
            </w:r>
          </w:p>
          <w:p w14:paraId="0000009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(52/55)</w:t>
            </w:r>
          </w:p>
        </w:tc>
      </w:tr>
      <w:tr w:rsidR="00BC52AF" w14:paraId="3AF4D4E3" w14:textId="77777777">
        <w:tc>
          <w:tcPr>
            <w:tcW w:w="1701" w:type="dxa"/>
          </w:tcPr>
          <w:p w14:paraId="0000009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9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Patients requiring more than one set of ear grommets for persistent middle ear effusion or infection, and sensorineural hearing loss and/or need for earlier than usual adenotonsillectomy should be evaluated for MPS III</w:t>
            </w:r>
          </w:p>
        </w:tc>
        <w:tc>
          <w:tcPr>
            <w:tcW w:w="1701" w:type="dxa"/>
          </w:tcPr>
          <w:p w14:paraId="0000009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75.6%</w:t>
            </w:r>
          </w:p>
          <w:p w14:paraId="0000009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(34/45)</w:t>
            </w:r>
          </w:p>
        </w:tc>
      </w:tr>
      <w:tr w:rsidR="00BC52AF" w14:paraId="5D97E36D" w14:textId="77777777">
        <w:tc>
          <w:tcPr>
            <w:tcW w:w="1701" w:type="dxa"/>
          </w:tcPr>
          <w:p w14:paraId="0000009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9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Sanfilippo syndrome should be considered in patients of all ages, not just children since slower progressing forms of the disease are noted. Investigation for MPS III is warranted in adults who show signs of early onset dementia, vision loss with retinitis pigmentosa, and/or adult-onset cardiomyopathy</w:t>
            </w:r>
          </w:p>
        </w:tc>
        <w:tc>
          <w:tcPr>
            <w:tcW w:w="1701" w:type="dxa"/>
          </w:tcPr>
          <w:p w14:paraId="000000A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93.9%</w:t>
            </w:r>
          </w:p>
          <w:p w14:paraId="000000A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(46/49)</w:t>
            </w:r>
          </w:p>
        </w:tc>
      </w:tr>
      <w:tr w:rsidR="00BC52AF" w14:paraId="26FCBA12" w14:textId="77777777">
        <w:tc>
          <w:tcPr>
            <w:tcW w:w="1701" w:type="dxa"/>
          </w:tcPr>
          <w:p w14:paraId="000000A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lastRenderedPageBreak/>
              <w:t>Core</w:t>
            </w:r>
          </w:p>
        </w:tc>
        <w:tc>
          <w:tcPr>
            <w:tcW w:w="11194" w:type="dxa"/>
          </w:tcPr>
          <w:p w14:paraId="000000A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Behavioral, cognitive, and physical findings in MPS III occur across a spectrum from severe early onset/rapidly progressing to slower progressing forms with survival into adulthood</w:t>
            </w:r>
          </w:p>
        </w:tc>
        <w:tc>
          <w:tcPr>
            <w:tcW w:w="1701" w:type="dxa"/>
          </w:tcPr>
          <w:p w14:paraId="000000A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94.5%</w:t>
            </w:r>
          </w:p>
          <w:p w14:paraId="000000A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(52/55)</w:t>
            </w:r>
          </w:p>
        </w:tc>
      </w:tr>
      <w:tr w:rsidR="00BC52AF" w14:paraId="487B067A" w14:textId="77777777">
        <w:tc>
          <w:tcPr>
            <w:tcW w:w="1701" w:type="dxa"/>
          </w:tcPr>
          <w:p w14:paraId="000000A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A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When there is suspicion for Sanfilippo syndrome (MPS III) patients should receive prompt referral to a genetic or metabolic center</w:t>
            </w:r>
          </w:p>
        </w:tc>
        <w:tc>
          <w:tcPr>
            <w:tcW w:w="1701" w:type="dxa"/>
          </w:tcPr>
          <w:p w14:paraId="000000A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96.6%</w:t>
            </w:r>
          </w:p>
          <w:p w14:paraId="000000A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(56/58)</w:t>
            </w:r>
          </w:p>
        </w:tc>
      </w:tr>
      <w:tr w:rsidR="00BC52AF" w14:paraId="32B44A2B" w14:textId="77777777">
        <w:tc>
          <w:tcPr>
            <w:tcW w:w="1701" w:type="dxa"/>
          </w:tcPr>
          <w:p w14:paraId="000000A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A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Screening/diagnostic tests should be initiated by the primary care provider so as not to delay time to diagnosis, in conjunction with referral to genetic/metabolic specialist</w:t>
            </w:r>
          </w:p>
        </w:tc>
        <w:tc>
          <w:tcPr>
            <w:tcW w:w="1701" w:type="dxa"/>
          </w:tcPr>
          <w:p w14:paraId="000000A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87.3%</w:t>
            </w:r>
          </w:p>
          <w:p w14:paraId="000000A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(48/55)</w:t>
            </w:r>
          </w:p>
        </w:tc>
      </w:tr>
      <w:tr w:rsidR="00BC52AF" w14:paraId="498E10EA" w14:textId="77777777">
        <w:tc>
          <w:tcPr>
            <w:tcW w:w="1701" w:type="dxa"/>
          </w:tcPr>
          <w:p w14:paraId="000000A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0A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Neuroimaging and radiology findings can be strongly indicative of MPS III however, are not pathognomonic and rarely specific in isolation, necessitating disease confirmation via dedicated biochemical and molecular assays</w:t>
            </w:r>
          </w:p>
        </w:tc>
        <w:tc>
          <w:tcPr>
            <w:tcW w:w="1701" w:type="dxa"/>
          </w:tcPr>
          <w:p w14:paraId="000000B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93.5%</w:t>
            </w:r>
          </w:p>
          <w:p w14:paraId="000000B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(43/46)</w:t>
            </w:r>
          </w:p>
        </w:tc>
      </w:tr>
      <w:tr w:rsidR="00BC52AF" w14:paraId="6A2BAACF" w14:textId="77777777">
        <w:tc>
          <w:tcPr>
            <w:tcW w:w="1701" w:type="dxa"/>
          </w:tcPr>
          <w:p w14:paraId="000000B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0B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Radiology and neuroimaging can often appear normal in the early stages of the disease, as such, an unremarkable imaging result does not exclude an MPS III diagnosis</w:t>
            </w:r>
          </w:p>
        </w:tc>
        <w:tc>
          <w:tcPr>
            <w:tcW w:w="1701" w:type="dxa"/>
          </w:tcPr>
          <w:p w14:paraId="000000B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97.8%</w:t>
            </w:r>
          </w:p>
          <w:p w14:paraId="000000B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(45/46)</w:t>
            </w:r>
          </w:p>
        </w:tc>
      </w:tr>
      <w:tr w:rsidR="00BC52AF" w14:paraId="2844C42E" w14:textId="77777777">
        <w:tc>
          <w:tcPr>
            <w:tcW w:w="1701" w:type="dxa"/>
          </w:tcPr>
          <w:p w14:paraId="000000B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B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Analysis of urine glycosaminoglycans (GAGs) using quantitative and qualitative analysis of urine glycosaminoglycans in a first morning void sample are accepted biochemical diagnostic tests. A random timed sample is also acceptable, and a sterile sample is not required.</w:t>
            </w:r>
          </w:p>
          <w:p w14:paraId="000000B8" w14:textId="77777777" w:rsidR="00BC52AF" w:rsidRDefault="00E04452">
            <w:pPr>
              <w:numPr>
                <w:ilvl w:val="0"/>
                <w:numId w:val="6"/>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The recommended quantitative GAG assay is the DMB (</w:t>
            </w:r>
            <w:bookmarkStart w:id="1" w:name="_Hlk99025161"/>
            <w:proofErr w:type="spellStart"/>
            <w:r>
              <w:rPr>
                <w:rFonts w:ascii="Arial" w:eastAsia="Arial" w:hAnsi="Arial" w:cs="Arial"/>
                <w:color w:val="000000"/>
                <w:sz w:val="20"/>
                <w:szCs w:val="20"/>
              </w:rPr>
              <w:t>dimethylmethylene</w:t>
            </w:r>
            <w:proofErr w:type="spellEnd"/>
            <w:r>
              <w:rPr>
                <w:rFonts w:ascii="Arial" w:eastAsia="Arial" w:hAnsi="Arial" w:cs="Arial"/>
                <w:color w:val="000000"/>
                <w:sz w:val="20"/>
                <w:szCs w:val="20"/>
              </w:rPr>
              <w:t xml:space="preserve"> blue</w:t>
            </w:r>
            <w:bookmarkEnd w:id="1"/>
            <w:r>
              <w:rPr>
                <w:rFonts w:ascii="Arial" w:eastAsia="Arial" w:hAnsi="Arial" w:cs="Arial"/>
                <w:color w:val="000000"/>
                <w:sz w:val="20"/>
                <w:szCs w:val="20"/>
              </w:rPr>
              <w:t xml:space="preserve">) (or the assay of </w:t>
            </w:r>
            <w:proofErr w:type="spellStart"/>
            <w:r>
              <w:rPr>
                <w:rFonts w:ascii="Arial" w:eastAsia="Arial" w:hAnsi="Arial" w:cs="Arial"/>
                <w:color w:val="000000"/>
                <w:sz w:val="20"/>
                <w:szCs w:val="20"/>
              </w:rPr>
              <w:t>uronic</w:t>
            </w:r>
            <w:proofErr w:type="spellEnd"/>
            <w:r>
              <w:rPr>
                <w:rFonts w:ascii="Arial" w:eastAsia="Arial" w:hAnsi="Arial" w:cs="Arial"/>
                <w:color w:val="000000"/>
                <w:sz w:val="20"/>
                <w:szCs w:val="20"/>
              </w:rPr>
              <w:t xml:space="preserve"> acid, in some countries)</w:t>
            </w:r>
          </w:p>
          <w:p w14:paraId="000000B9" w14:textId="77777777" w:rsidR="00BC52AF" w:rsidRDefault="00E04452">
            <w:pPr>
              <w:numPr>
                <w:ilvl w:val="0"/>
                <w:numId w:val="6"/>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The use of age-related reference ranges is highly recommended due to the natural decrease in GAG levels with age, both in patients and normal subjects</w:t>
            </w:r>
          </w:p>
          <w:p w14:paraId="000000BA" w14:textId="55DF01DC" w:rsidR="00BC52AF" w:rsidRDefault="00E04452">
            <w:pPr>
              <w:numPr>
                <w:ilvl w:val="0"/>
                <w:numId w:val="6"/>
              </w:numPr>
              <w:pBdr>
                <w:top w:val="nil"/>
                <w:left w:val="nil"/>
                <w:bottom w:val="nil"/>
                <w:right w:val="nil"/>
                <w:between w:val="nil"/>
              </w:pBdr>
              <w:spacing w:after="160" w:line="276" w:lineRule="auto"/>
            </w:pPr>
            <w:r>
              <w:rPr>
                <w:rFonts w:ascii="Arial" w:eastAsia="Arial" w:hAnsi="Arial" w:cs="Arial"/>
                <w:color w:val="000000"/>
                <w:sz w:val="20"/>
                <w:szCs w:val="20"/>
              </w:rPr>
              <w:t xml:space="preserve">The recommended qualitative GAG assay is GAG electrophoresis iv) Urine GAG tests are screening tests and cannot rule out MPS III due to significant rate of </w:t>
            </w:r>
            <w:proofErr w:type="gramStart"/>
            <w:r>
              <w:rPr>
                <w:rFonts w:ascii="Arial" w:eastAsia="Arial" w:hAnsi="Arial" w:cs="Arial"/>
                <w:color w:val="000000"/>
                <w:sz w:val="20"/>
                <w:szCs w:val="20"/>
              </w:rPr>
              <w:t>false</w:t>
            </w:r>
            <w:r w:rsidR="00DA17BC">
              <w:rPr>
                <w:rFonts w:ascii="Arial" w:eastAsia="Arial" w:hAnsi="Arial" w:cs="Arial"/>
                <w:color w:val="000000"/>
                <w:sz w:val="20"/>
                <w:szCs w:val="20"/>
              </w:rPr>
              <w:t>-</w:t>
            </w:r>
            <w:r>
              <w:rPr>
                <w:rFonts w:ascii="Arial" w:eastAsia="Arial" w:hAnsi="Arial" w:cs="Arial"/>
                <w:color w:val="000000"/>
                <w:sz w:val="20"/>
                <w:szCs w:val="20"/>
              </w:rPr>
              <w:t>negatives</w:t>
            </w:r>
            <w:proofErr w:type="gramEnd"/>
            <w:r>
              <w:rPr>
                <w:rFonts w:ascii="Arial" w:eastAsia="Arial" w:hAnsi="Arial" w:cs="Arial"/>
                <w:color w:val="000000"/>
                <w:sz w:val="20"/>
                <w:szCs w:val="20"/>
              </w:rPr>
              <w:t>, therefore in cases of high clinical suspicion with a negative urine GAG screen, follow</w:t>
            </w:r>
            <w:r w:rsidR="00DA17BC">
              <w:rPr>
                <w:rFonts w:ascii="Arial" w:eastAsia="Arial" w:hAnsi="Arial" w:cs="Arial"/>
                <w:color w:val="000000"/>
                <w:sz w:val="20"/>
                <w:szCs w:val="20"/>
              </w:rPr>
              <w:t>-</w:t>
            </w:r>
            <w:r>
              <w:rPr>
                <w:rFonts w:ascii="Arial" w:eastAsia="Arial" w:hAnsi="Arial" w:cs="Arial"/>
                <w:color w:val="000000"/>
                <w:sz w:val="20"/>
                <w:szCs w:val="20"/>
              </w:rPr>
              <w:t>up with enzyme analysis or genetic testing is recommended</w:t>
            </w:r>
          </w:p>
        </w:tc>
        <w:tc>
          <w:tcPr>
            <w:tcW w:w="1701" w:type="dxa"/>
          </w:tcPr>
          <w:p w14:paraId="000000B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93.0%</w:t>
            </w:r>
          </w:p>
          <w:p w14:paraId="000000B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(40/43)</w:t>
            </w:r>
          </w:p>
        </w:tc>
      </w:tr>
      <w:tr w:rsidR="00BC52AF" w14:paraId="7126F1A6" w14:textId="77777777">
        <w:tc>
          <w:tcPr>
            <w:tcW w:w="1701" w:type="dxa"/>
          </w:tcPr>
          <w:p w14:paraId="000000B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0B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The qualitative identification of heparan sulfate, by electrophoresis or thin-layer chromatography, may play a role in MPS III screening, especially in older patients who may have normal or near normal total urinary GAGs</w:t>
            </w:r>
          </w:p>
        </w:tc>
        <w:tc>
          <w:tcPr>
            <w:tcW w:w="1701" w:type="dxa"/>
          </w:tcPr>
          <w:p w14:paraId="000000B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85.3%</w:t>
            </w:r>
          </w:p>
          <w:p w14:paraId="000000C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(29/34)</w:t>
            </w:r>
          </w:p>
        </w:tc>
      </w:tr>
      <w:tr w:rsidR="00BC52AF" w14:paraId="7E115E71" w14:textId="77777777">
        <w:tc>
          <w:tcPr>
            <w:tcW w:w="1701" w:type="dxa"/>
          </w:tcPr>
          <w:p w14:paraId="000000C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C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Enzyme analysis of all four enzymes implicated in MPS III via a blood or fibroblast sample is the recommended gold standard for confirmation of diagnosis</w:t>
            </w:r>
          </w:p>
        </w:tc>
        <w:tc>
          <w:tcPr>
            <w:tcW w:w="1701" w:type="dxa"/>
          </w:tcPr>
          <w:p w14:paraId="000000C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89.7%</w:t>
            </w:r>
          </w:p>
          <w:p w14:paraId="000000C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(35/39)</w:t>
            </w:r>
          </w:p>
        </w:tc>
      </w:tr>
      <w:tr w:rsidR="00BC52AF" w14:paraId="7B61200A" w14:textId="77777777">
        <w:tc>
          <w:tcPr>
            <w:tcW w:w="1701" w:type="dxa"/>
          </w:tcPr>
          <w:p w14:paraId="000000C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C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The assay of all 4 MPS III enzymes in blood or fibroblasts should be performed in cases with increased GAGs and/or presence of heparan sulfate</w:t>
            </w:r>
          </w:p>
        </w:tc>
        <w:tc>
          <w:tcPr>
            <w:tcW w:w="1701" w:type="dxa"/>
          </w:tcPr>
          <w:p w14:paraId="000000C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89.5%</w:t>
            </w:r>
          </w:p>
          <w:p w14:paraId="000000C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(34/38)</w:t>
            </w:r>
          </w:p>
        </w:tc>
      </w:tr>
      <w:tr w:rsidR="00BC52AF" w14:paraId="58171DBC" w14:textId="77777777">
        <w:tc>
          <w:tcPr>
            <w:tcW w:w="1701" w:type="dxa"/>
          </w:tcPr>
          <w:p w14:paraId="000000C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C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All enzymes can be assayed simultaneously or can be ordered in a sequence according to the relative frequency of the MPS III types in the region, or for logistical reasons</w:t>
            </w:r>
          </w:p>
        </w:tc>
        <w:tc>
          <w:tcPr>
            <w:tcW w:w="1701" w:type="dxa"/>
          </w:tcPr>
          <w:p w14:paraId="000000C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85.3%</w:t>
            </w:r>
          </w:p>
          <w:p w14:paraId="000000C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(29/34)</w:t>
            </w:r>
          </w:p>
        </w:tc>
      </w:tr>
      <w:tr w:rsidR="00BC52AF" w14:paraId="09DCAA1D" w14:textId="77777777">
        <w:tc>
          <w:tcPr>
            <w:tcW w:w="1701" w:type="dxa"/>
          </w:tcPr>
          <w:p w14:paraId="000000C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CE" w14:textId="4D7E2335" w:rsidR="00BC52AF" w:rsidRDefault="00E04452">
            <w:pPr>
              <w:spacing w:line="276" w:lineRule="auto"/>
              <w:rPr>
                <w:rFonts w:ascii="Arial" w:eastAsia="Arial" w:hAnsi="Arial" w:cs="Arial"/>
                <w:sz w:val="20"/>
                <w:szCs w:val="20"/>
              </w:rPr>
            </w:pPr>
            <w:r>
              <w:rPr>
                <w:rFonts w:ascii="Arial" w:eastAsia="Arial" w:hAnsi="Arial" w:cs="Arial"/>
                <w:sz w:val="20"/>
                <w:szCs w:val="20"/>
              </w:rPr>
              <w:t>Enzyme analysis can be considered as a first</w:t>
            </w:r>
            <w:r w:rsidR="00DA17BC">
              <w:rPr>
                <w:rFonts w:ascii="Arial" w:eastAsia="Arial" w:hAnsi="Arial" w:cs="Arial"/>
                <w:sz w:val="20"/>
                <w:szCs w:val="20"/>
              </w:rPr>
              <w:t>-</w:t>
            </w:r>
            <w:r>
              <w:rPr>
                <w:rFonts w:ascii="Arial" w:eastAsia="Arial" w:hAnsi="Arial" w:cs="Arial"/>
                <w:sz w:val="20"/>
                <w:szCs w:val="20"/>
              </w:rPr>
              <w:t>line test, particularly in situations where it is difficult to obtain a suitable urine sample and/or to ship it in adequate conditions</w:t>
            </w:r>
          </w:p>
        </w:tc>
        <w:tc>
          <w:tcPr>
            <w:tcW w:w="1701" w:type="dxa"/>
          </w:tcPr>
          <w:p w14:paraId="000000C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82.1%</w:t>
            </w:r>
          </w:p>
          <w:p w14:paraId="000000D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(32/39)</w:t>
            </w:r>
          </w:p>
        </w:tc>
      </w:tr>
      <w:tr w:rsidR="00BC52AF" w14:paraId="7176D4D4" w14:textId="77777777">
        <w:tc>
          <w:tcPr>
            <w:tcW w:w="1701" w:type="dxa"/>
          </w:tcPr>
          <w:p w14:paraId="000000D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D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If the enzyme for MPS IIIA or MPS IIID are deficient (both sulfatases), at least one other sulfatase should be assayed to rule out additional sulfatase deficiencies</w:t>
            </w:r>
          </w:p>
        </w:tc>
        <w:tc>
          <w:tcPr>
            <w:tcW w:w="1701" w:type="dxa"/>
          </w:tcPr>
          <w:p w14:paraId="000000D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94.6%</w:t>
            </w:r>
          </w:p>
          <w:p w14:paraId="000000D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(35/37)</w:t>
            </w:r>
          </w:p>
        </w:tc>
      </w:tr>
      <w:tr w:rsidR="00BC52AF" w14:paraId="76CFAEFD" w14:textId="77777777">
        <w:tc>
          <w:tcPr>
            <w:tcW w:w="1701" w:type="dxa"/>
          </w:tcPr>
          <w:p w14:paraId="000000D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lastRenderedPageBreak/>
              <w:t>Supplemental</w:t>
            </w:r>
          </w:p>
        </w:tc>
        <w:tc>
          <w:tcPr>
            <w:tcW w:w="11194" w:type="dxa"/>
          </w:tcPr>
          <w:p w14:paraId="000000D6" w14:textId="1E9A8DA2" w:rsidR="00BC52AF" w:rsidRDefault="00E04452">
            <w:pPr>
              <w:spacing w:line="276" w:lineRule="auto"/>
              <w:rPr>
                <w:rFonts w:ascii="Arial" w:eastAsia="Arial" w:hAnsi="Arial" w:cs="Arial"/>
                <w:sz w:val="20"/>
                <w:szCs w:val="20"/>
              </w:rPr>
            </w:pPr>
            <w:r>
              <w:rPr>
                <w:rFonts w:ascii="Arial" w:eastAsia="Arial" w:hAnsi="Arial" w:cs="Arial"/>
                <w:sz w:val="20"/>
                <w:szCs w:val="20"/>
              </w:rPr>
              <w:t>In the case of MPS IIIC, hexosaminidase should be included in enzyme testing since impaired beta-hexosaminidase activity can produce a false</w:t>
            </w:r>
            <w:r w:rsidR="00DA17BC">
              <w:rPr>
                <w:rFonts w:ascii="Arial" w:eastAsia="Arial" w:hAnsi="Arial" w:cs="Arial"/>
                <w:sz w:val="20"/>
                <w:szCs w:val="20"/>
              </w:rPr>
              <w:t>-</w:t>
            </w:r>
            <w:r>
              <w:rPr>
                <w:rFonts w:ascii="Arial" w:eastAsia="Arial" w:hAnsi="Arial" w:cs="Arial"/>
                <w:sz w:val="20"/>
                <w:szCs w:val="20"/>
              </w:rPr>
              <w:t>positive result for MPS IIIC</w:t>
            </w:r>
          </w:p>
        </w:tc>
        <w:tc>
          <w:tcPr>
            <w:tcW w:w="1701" w:type="dxa"/>
          </w:tcPr>
          <w:p w14:paraId="000000D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89.3%</w:t>
            </w:r>
          </w:p>
          <w:p w14:paraId="000000D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(25/28)</w:t>
            </w:r>
          </w:p>
        </w:tc>
      </w:tr>
      <w:tr w:rsidR="00BC52AF" w14:paraId="1879285B" w14:textId="77777777">
        <w:tc>
          <w:tcPr>
            <w:tcW w:w="1701" w:type="dxa"/>
          </w:tcPr>
          <w:p w14:paraId="000000D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DA" w14:textId="60B9A529"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A positive result in </w:t>
            </w:r>
            <w:r w:rsidR="00DA17BC">
              <w:rPr>
                <w:rFonts w:ascii="Arial" w:eastAsia="Arial" w:hAnsi="Arial" w:cs="Arial"/>
                <w:sz w:val="20"/>
                <w:szCs w:val="20"/>
              </w:rPr>
              <w:t xml:space="preserve">dried blood spot </w:t>
            </w:r>
            <w:r>
              <w:rPr>
                <w:rFonts w:ascii="Arial" w:eastAsia="Arial" w:hAnsi="Arial" w:cs="Arial"/>
                <w:sz w:val="20"/>
                <w:szCs w:val="20"/>
              </w:rPr>
              <w:t>(DBS) samples should be confirmed by an enzyme assay in leucocytes or fibroblasts, and/or by molecular genetic analyses</w:t>
            </w:r>
          </w:p>
        </w:tc>
        <w:tc>
          <w:tcPr>
            <w:tcW w:w="1701" w:type="dxa"/>
          </w:tcPr>
          <w:p w14:paraId="000000D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89.7%</w:t>
            </w:r>
          </w:p>
          <w:p w14:paraId="000000D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(35/39)</w:t>
            </w:r>
          </w:p>
        </w:tc>
      </w:tr>
      <w:tr w:rsidR="00BC52AF" w14:paraId="7B0DFC0E" w14:textId="77777777">
        <w:tc>
          <w:tcPr>
            <w:tcW w:w="1701" w:type="dxa"/>
          </w:tcPr>
          <w:p w14:paraId="000000D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D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Molecular genetic testing should be offered to all patients because:</w:t>
            </w:r>
          </w:p>
          <w:p w14:paraId="000000DF" w14:textId="77777777" w:rsidR="00BC52AF" w:rsidRDefault="00E04452">
            <w:pPr>
              <w:numPr>
                <w:ilvl w:val="0"/>
                <w:numId w:val="7"/>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It enables cascade molecular screening of undiagnosed siblings or extended family members, and family members who are carriers, enabling appropriate genetic counseling for future family planning</w:t>
            </w:r>
          </w:p>
          <w:p w14:paraId="000000E0" w14:textId="77777777" w:rsidR="00BC52AF" w:rsidRDefault="00E04452">
            <w:pPr>
              <w:numPr>
                <w:ilvl w:val="0"/>
                <w:numId w:val="7"/>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It may inform clinical expectations of disease progression, according to the pathogenicity of the mutation and knowledge about genotype–phenotype correlation</w:t>
            </w:r>
          </w:p>
          <w:p w14:paraId="000000E1" w14:textId="77777777" w:rsidR="00BC52AF" w:rsidRDefault="00E04452">
            <w:pPr>
              <w:numPr>
                <w:ilvl w:val="0"/>
                <w:numId w:val="7"/>
              </w:numPr>
              <w:pBdr>
                <w:top w:val="nil"/>
                <w:left w:val="nil"/>
                <w:bottom w:val="nil"/>
                <w:right w:val="nil"/>
                <w:between w:val="nil"/>
              </w:pBdr>
              <w:spacing w:after="160" w:line="276" w:lineRule="auto"/>
              <w:rPr>
                <w:rFonts w:ascii="Arial" w:eastAsia="Arial" w:hAnsi="Arial" w:cs="Arial"/>
                <w:color w:val="000000"/>
                <w:sz w:val="20"/>
                <w:szCs w:val="20"/>
              </w:rPr>
            </w:pPr>
            <w:r>
              <w:rPr>
                <w:rFonts w:ascii="Arial" w:eastAsia="Arial" w:hAnsi="Arial" w:cs="Arial"/>
                <w:color w:val="000000"/>
                <w:sz w:val="20"/>
                <w:szCs w:val="20"/>
              </w:rPr>
              <w:t>Molecular testing results may impact the patient’s eligibility for clinical trials and future therapeutic treatments</w:t>
            </w:r>
          </w:p>
        </w:tc>
        <w:tc>
          <w:tcPr>
            <w:tcW w:w="1701" w:type="dxa"/>
          </w:tcPr>
          <w:p w14:paraId="000000E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95.5%</w:t>
            </w:r>
          </w:p>
          <w:p w14:paraId="000000E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(42/44)</w:t>
            </w:r>
          </w:p>
        </w:tc>
      </w:tr>
      <w:tr w:rsidR="00BC52AF" w14:paraId="628B8C7C" w14:textId="77777777">
        <w:tc>
          <w:tcPr>
            <w:tcW w:w="1701" w:type="dxa"/>
          </w:tcPr>
          <w:p w14:paraId="000000E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E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Cases with a primary molecular genetic diagnosis should have a confirmatory enzyme activity test and/or an analysis of urinary GAGs to confirm the pathogenicity of the mutations when a variant of unknown significance is found</w:t>
            </w:r>
          </w:p>
        </w:tc>
        <w:tc>
          <w:tcPr>
            <w:tcW w:w="1701" w:type="dxa"/>
          </w:tcPr>
          <w:p w14:paraId="000000E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97.6%</w:t>
            </w:r>
          </w:p>
          <w:p w14:paraId="000000E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(40/41)</w:t>
            </w:r>
          </w:p>
        </w:tc>
      </w:tr>
      <w:tr w:rsidR="00BC52AF" w14:paraId="1E99645D" w14:textId="77777777">
        <w:tc>
          <w:tcPr>
            <w:tcW w:w="1701" w:type="dxa"/>
          </w:tcPr>
          <w:p w14:paraId="000000E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0E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Molecular genetic testing of both biological parents and the affected patient is preferred to only testing the affected patient, whenever possible</w:t>
            </w:r>
          </w:p>
        </w:tc>
        <w:tc>
          <w:tcPr>
            <w:tcW w:w="1701" w:type="dxa"/>
          </w:tcPr>
          <w:p w14:paraId="000000E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90.5%</w:t>
            </w:r>
          </w:p>
          <w:p w14:paraId="000000E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(38/42)</w:t>
            </w:r>
          </w:p>
        </w:tc>
      </w:tr>
      <w:tr w:rsidR="00BC52AF" w14:paraId="7DAC0C2A" w14:textId="77777777">
        <w:tc>
          <w:tcPr>
            <w:tcW w:w="1701" w:type="dxa"/>
          </w:tcPr>
          <w:p w14:paraId="000000E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ED" w14:textId="61C0A9A7" w:rsidR="00BC52AF" w:rsidRDefault="00E04452">
            <w:pPr>
              <w:spacing w:line="276" w:lineRule="auto"/>
              <w:rPr>
                <w:rFonts w:ascii="Arial" w:eastAsia="Arial" w:hAnsi="Arial" w:cs="Arial"/>
                <w:sz w:val="20"/>
                <w:szCs w:val="20"/>
              </w:rPr>
            </w:pPr>
            <w:r>
              <w:rPr>
                <w:rFonts w:ascii="Arial" w:eastAsia="Arial" w:hAnsi="Arial" w:cs="Arial"/>
                <w:sz w:val="20"/>
                <w:szCs w:val="20"/>
              </w:rPr>
              <w:t>Confirmation of diagnosis requires positive indicators of disease on two modes of testing: (</w:t>
            </w:r>
            <w:proofErr w:type="spellStart"/>
            <w:proofErr w:type="gramStart"/>
            <w:r>
              <w:rPr>
                <w:rFonts w:ascii="Arial" w:eastAsia="Arial" w:hAnsi="Arial" w:cs="Arial"/>
                <w:sz w:val="20"/>
                <w:szCs w:val="20"/>
              </w:rPr>
              <w:t>ie</w:t>
            </w:r>
            <w:proofErr w:type="spellEnd"/>
            <w:proofErr w:type="gramEnd"/>
            <w:r>
              <w:rPr>
                <w:rFonts w:ascii="Arial" w:eastAsia="Arial" w:hAnsi="Arial" w:cs="Arial"/>
                <w:sz w:val="20"/>
                <w:szCs w:val="20"/>
              </w:rPr>
              <w:t xml:space="preserve"> urine GAG + enzyme activity; urine GAG + molecular testing; enzyme activity + molecular testing)</w:t>
            </w:r>
          </w:p>
        </w:tc>
        <w:tc>
          <w:tcPr>
            <w:tcW w:w="1701" w:type="dxa"/>
          </w:tcPr>
          <w:p w14:paraId="000000E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90.0%</w:t>
            </w:r>
          </w:p>
          <w:p w14:paraId="000000E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(36/40)</w:t>
            </w:r>
          </w:p>
        </w:tc>
      </w:tr>
      <w:tr w:rsidR="00BC52AF" w14:paraId="4C5B92EE" w14:textId="77777777">
        <w:tc>
          <w:tcPr>
            <w:tcW w:w="1701" w:type="dxa"/>
          </w:tcPr>
          <w:p w14:paraId="000000F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F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In the presence of homozygosity for a known pathogenic MPS III mutation or heterozygosity for two known pathogenic mutations, a diagnosis can be made with reasonable confidence in a patient expressing a phenotype consistent with MPS III</w:t>
            </w:r>
          </w:p>
        </w:tc>
        <w:tc>
          <w:tcPr>
            <w:tcW w:w="1701" w:type="dxa"/>
          </w:tcPr>
          <w:p w14:paraId="000000F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89.7%</w:t>
            </w:r>
          </w:p>
          <w:p w14:paraId="000000F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(35/39)</w:t>
            </w:r>
          </w:p>
        </w:tc>
      </w:tr>
    </w:tbl>
    <w:p w14:paraId="350FED2E" w14:textId="77777777" w:rsidR="007A57FE" w:rsidRDefault="007A57FE">
      <w:pPr>
        <w:rPr>
          <w:rFonts w:ascii="Arial" w:eastAsia="Arial" w:hAnsi="Arial" w:cs="Arial"/>
          <w:b/>
        </w:rPr>
      </w:pPr>
      <w:r>
        <w:rPr>
          <w:rFonts w:ascii="Arial" w:eastAsia="Arial" w:hAnsi="Arial" w:cs="Arial"/>
          <w:b/>
        </w:rPr>
        <w:br w:type="page"/>
      </w:r>
    </w:p>
    <w:p w14:paraId="000000F5" w14:textId="579CCA76" w:rsidR="00BC52AF" w:rsidRDefault="00E04452" w:rsidP="00804B4C">
      <w:pPr>
        <w:spacing w:after="0" w:line="360" w:lineRule="auto"/>
        <w:rPr>
          <w:rFonts w:ascii="Arial" w:eastAsia="Arial" w:hAnsi="Arial" w:cs="Arial"/>
          <w:b/>
        </w:rPr>
      </w:pPr>
      <w:r>
        <w:rPr>
          <w:rFonts w:ascii="Arial" w:eastAsia="Arial" w:hAnsi="Arial" w:cs="Arial"/>
          <w:b/>
        </w:rPr>
        <w:lastRenderedPageBreak/>
        <w:t>B. Neurology</w:t>
      </w:r>
    </w:p>
    <w:tbl>
      <w:tblPr>
        <w:tblStyle w:val="a1"/>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70208F0C" w14:textId="77777777" w:rsidTr="00745713">
        <w:trPr>
          <w:tblHeader/>
        </w:trPr>
        <w:tc>
          <w:tcPr>
            <w:tcW w:w="1701" w:type="dxa"/>
            <w:vAlign w:val="center"/>
          </w:tcPr>
          <w:p w14:paraId="000000F6"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0F7"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0F8"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2C1CB05A" w14:textId="77777777">
        <w:tc>
          <w:tcPr>
            <w:tcW w:w="1701" w:type="dxa"/>
          </w:tcPr>
          <w:p w14:paraId="000000F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FA" w14:textId="20A5DC0F" w:rsidR="00BC52AF" w:rsidRDefault="00E04452">
            <w:pPr>
              <w:spacing w:line="276" w:lineRule="auto"/>
              <w:rPr>
                <w:rFonts w:ascii="Arial" w:eastAsia="Arial" w:hAnsi="Arial" w:cs="Arial"/>
                <w:sz w:val="20"/>
                <w:szCs w:val="20"/>
              </w:rPr>
            </w:pPr>
            <w:r>
              <w:rPr>
                <w:rFonts w:ascii="Arial" w:eastAsia="Arial" w:hAnsi="Arial" w:cs="Arial"/>
                <w:sz w:val="20"/>
                <w:szCs w:val="20"/>
              </w:rPr>
              <w:t>Regular neurologic assessments are recommended at baseline then every 6</w:t>
            </w:r>
            <w:r w:rsidR="00DD3B6B">
              <w:rPr>
                <w:rFonts w:ascii="Arial" w:eastAsia="Arial" w:hAnsi="Arial" w:cs="Arial"/>
                <w:sz w:val="20"/>
                <w:szCs w:val="20"/>
              </w:rPr>
              <w:t>–</w:t>
            </w:r>
            <w:r>
              <w:rPr>
                <w:rFonts w:ascii="Arial" w:eastAsia="Arial" w:hAnsi="Arial" w:cs="Arial"/>
                <w:sz w:val="20"/>
                <w:szCs w:val="20"/>
              </w:rPr>
              <w:t>12 months, and more frequently if clinically indicated. Monitor gross motor, fine motor, tone, sleep disturbances, seizure activity, disorders of movement and behavioral changes</w:t>
            </w:r>
          </w:p>
        </w:tc>
        <w:tc>
          <w:tcPr>
            <w:tcW w:w="1701" w:type="dxa"/>
          </w:tcPr>
          <w:p w14:paraId="000000F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96.3%</w:t>
            </w:r>
          </w:p>
          <w:p w14:paraId="000000F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(52/54)</w:t>
            </w:r>
          </w:p>
        </w:tc>
      </w:tr>
      <w:tr w:rsidR="00BC52AF" w14:paraId="63A6433C" w14:textId="77777777">
        <w:tc>
          <w:tcPr>
            <w:tcW w:w="1701" w:type="dxa"/>
          </w:tcPr>
          <w:p w14:paraId="000000F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0FE" w14:textId="15F7E7B2" w:rsidR="00BC52AF" w:rsidRDefault="00E04452">
            <w:pPr>
              <w:spacing w:line="276" w:lineRule="auto"/>
              <w:rPr>
                <w:rFonts w:ascii="Arial" w:eastAsia="Arial" w:hAnsi="Arial" w:cs="Arial"/>
                <w:sz w:val="20"/>
                <w:szCs w:val="20"/>
              </w:rPr>
            </w:pPr>
            <w:r>
              <w:rPr>
                <w:rFonts w:ascii="Arial" w:eastAsia="Arial" w:hAnsi="Arial" w:cs="Arial"/>
                <w:sz w:val="20"/>
                <w:szCs w:val="20"/>
              </w:rPr>
              <w:t>Walking/gait should be assessed at baseline then every 6</w:t>
            </w:r>
            <w:r w:rsidR="00DD3B6B">
              <w:rPr>
                <w:rFonts w:ascii="Arial" w:eastAsia="Arial" w:hAnsi="Arial" w:cs="Arial"/>
                <w:sz w:val="20"/>
                <w:szCs w:val="20"/>
              </w:rPr>
              <w:t>–</w:t>
            </w:r>
            <w:r>
              <w:rPr>
                <w:rFonts w:ascii="Arial" w:eastAsia="Arial" w:hAnsi="Arial" w:cs="Arial"/>
                <w:sz w:val="20"/>
                <w:szCs w:val="20"/>
              </w:rPr>
              <w:t>12 months and as needed. Monitor for functional impairments, interval therapy needs, medical equipment needs, bracing and other referrals</w:t>
            </w:r>
          </w:p>
        </w:tc>
        <w:tc>
          <w:tcPr>
            <w:tcW w:w="1701" w:type="dxa"/>
          </w:tcPr>
          <w:p w14:paraId="000000F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94.1%</w:t>
            </w:r>
          </w:p>
          <w:p w14:paraId="0000010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(48/51)</w:t>
            </w:r>
          </w:p>
        </w:tc>
      </w:tr>
      <w:tr w:rsidR="00BC52AF" w14:paraId="70E8C7D7" w14:textId="77777777">
        <w:tc>
          <w:tcPr>
            <w:tcW w:w="1701" w:type="dxa"/>
          </w:tcPr>
          <w:p w14:paraId="0000010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02" w14:textId="605F4EF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Children may require more time to initiate or complete a task due to the development of motor apraxia and challenges with motor planning which </w:t>
            </w:r>
            <w:sdt>
              <w:sdtPr>
                <w:tag w:val="goog_rdk_91"/>
                <w:id w:val="-119841501"/>
              </w:sdtPr>
              <w:sdtEndPr/>
              <w:sdtContent>
                <w:r>
                  <w:rPr>
                    <w:rFonts w:ascii="Arial" w:eastAsia="Arial" w:hAnsi="Arial" w:cs="Arial"/>
                    <w:sz w:val="20"/>
                    <w:szCs w:val="20"/>
                  </w:rPr>
                  <w:t>occur in MPS</w:t>
                </w:r>
                <w:r w:rsidR="00DD3B6B">
                  <w:rPr>
                    <w:rFonts w:ascii="Arial" w:eastAsia="Arial" w:hAnsi="Arial" w:cs="Arial"/>
                    <w:sz w:val="20"/>
                    <w:szCs w:val="20"/>
                  </w:rPr>
                  <w:t xml:space="preserve"> </w:t>
                </w:r>
              </w:sdtContent>
            </w:sdt>
            <w:r>
              <w:rPr>
                <w:rFonts w:ascii="Arial" w:eastAsia="Arial" w:hAnsi="Arial" w:cs="Arial"/>
                <w:sz w:val="20"/>
                <w:szCs w:val="20"/>
              </w:rPr>
              <w:t>III disease progression. This should be accommodated for in clinical exams, formal testing, and during educational and therapeutic activities</w:t>
            </w:r>
          </w:p>
        </w:tc>
        <w:tc>
          <w:tcPr>
            <w:tcW w:w="1701" w:type="dxa"/>
          </w:tcPr>
          <w:p w14:paraId="0000010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98.1%</w:t>
            </w:r>
          </w:p>
          <w:p w14:paraId="0000010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(53/54)</w:t>
            </w:r>
          </w:p>
        </w:tc>
      </w:tr>
      <w:tr w:rsidR="00BC52AF" w14:paraId="2D478508" w14:textId="77777777">
        <w:tc>
          <w:tcPr>
            <w:tcW w:w="1701" w:type="dxa"/>
          </w:tcPr>
          <w:p w14:paraId="0000010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06" w14:textId="1E35C5AB" w:rsidR="00BC52AF" w:rsidRDefault="00E04452">
            <w:pPr>
              <w:spacing w:line="276" w:lineRule="auto"/>
              <w:rPr>
                <w:rFonts w:ascii="Arial" w:eastAsia="Arial" w:hAnsi="Arial" w:cs="Arial"/>
                <w:sz w:val="20"/>
                <w:szCs w:val="20"/>
              </w:rPr>
            </w:pPr>
            <w:r>
              <w:rPr>
                <w:rFonts w:ascii="Arial" w:eastAsia="Arial" w:hAnsi="Arial" w:cs="Arial"/>
                <w:sz w:val="20"/>
                <w:szCs w:val="20"/>
              </w:rPr>
              <w:t>High</w:t>
            </w:r>
            <w:r w:rsidR="00DD3B6B">
              <w:rPr>
                <w:rFonts w:ascii="Arial" w:eastAsia="Arial" w:hAnsi="Arial" w:cs="Arial"/>
                <w:sz w:val="20"/>
                <w:szCs w:val="20"/>
              </w:rPr>
              <w:t>-</w:t>
            </w:r>
            <w:r>
              <w:rPr>
                <w:rFonts w:ascii="Arial" w:eastAsia="Arial" w:hAnsi="Arial" w:cs="Arial"/>
                <w:sz w:val="20"/>
                <w:szCs w:val="20"/>
              </w:rPr>
              <w:t>resolution MRI of the brain should be performed at baseline and as clinically indicated. [Note: Neurodegeneration in MPS III patients can be represented by decreases in cortical volume and increases in ventricular volume on MRI over time]</w:t>
            </w:r>
          </w:p>
        </w:tc>
        <w:tc>
          <w:tcPr>
            <w:tcW w:w="1701" w:type="dxa"/>
          </w:tcPr>
          <w:p w14:paraId="0000010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76.1%</w:t>
            </w:r>
          </w:p>
          <w:p w14:paraId="0000010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(35/46)</w:t>
            </w:r>
          </w:p>
        </w:tc>
      </w:tr>
      <w:tr w:rsidR="00BC52AF" w14:paraId="2BC75C8C" w14:textId="77777777">
        <w:tc>
          <w:tcPr>
            <w:tcW w:w="1701" w:type="dxa"/>
          </w:tcPr>
          <w:p w14:paraId="0000010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0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Triggers for ordering an MRI of the brain may include extreme behavioral changes, unexplained pain or distress, suspicion of headaches, suspicion of elevated intracranial pressure, sudden neurological or functional declines, </w:t>
            </w:r>
            <w:proofErr w:type="spellStart"/>
            <w:r>
              <w:rPr>
                <w:rFonts w:ascii="Arial" w:eastAsia="Arial" w:hAnsi="Arial" w:cs="Arial"/>
                <w:sz w:val="20"/>
                <w:szCs w:val="20"/>
              </w:rPr>
              <w:t>etc</w:t>
            </w:r>
            <w:proofErr w:type="spellEnd"/>
          </w:p>
        </w:tc>
        <w:tc>
          <w:tcPr>
            <w:tcW w:w="1701" w:type="dxa"/>
          </w:tcPr>
          <w:p w14:paraId="0000010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95.7%</w:t>
            </w:r>
          </w:p>
          <w:p w14:paraId="0000010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(45/47)</w:t>
            </w:r>
          </w:p>
        </w:tc>
      </w:tr>
      <w:tr w:rsidR="00BC52AF" w14:paraId="1A363C21" w14:textId="77777777">
        <w:tc>
          <w:tcPr>
            <w:tcW w:w="1701" w:type="dxa"/>
          </w:tcPr>
          <w:p w14:paraId="0000010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10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If diagnosed with MPS III in infancy, monitor for craniosynostosis</w:t>
            </w:r>
          </w:p>
        </w:tc>
        <w:tc>
          <w:tcPr>
            <w:tcW w:w="1701" w:type="dxa"/>
          </w:tcPr>
          <w:p w14:paraId="0000010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76.2%</w:t>
            </w:r>
          </w:p>
          <w:p w14:paraId="0000011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(30/39)</w:t>
            </w:r>
          </w:p>
        </w:tc>
      </w:tr>
      <w:tr w:rsidR="00BC52AF" w14:paraId="2DAD8C97" w14:textId="77777777">
        <w:tc>
          <w:tcPr>
            <w:tcW w:w="1701" w:type="dxa"/>
          </w:tcPr>
          <w:p w14:paraId="0000011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1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Recommend that clinicians monitor for and have a high index of suspicion for the development of movement disorders such as dystonia, ataxia, and dyskinesias (including tics, myoclonus, and choreoathetosis)</w:t>
            </w:r>
          </w:p>
        </w:tc>
        <w:tc>
          <w:tcPr>
            <w:tcW w:w="1701" w:type="dxa"/>
          </w:tcPr>
          <w:p w14:paraId="0000011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87.5%</w:t>
            </w:r>
          </w:p>
          <w:p w14:paraId="0000011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(42/48)</w:t>
            </w:r>
          </w:p>
        </w:tc>
      </w:tr>
      <w:tr w:rsidR="00BC52AF" w14:paraId="75F74515" w14:textId="77777777">
        <w:tc>
          <w:tcPr>
            <w:tcW w:w="1701" w:type="dxa"/>
          </w:tcPr>
          <w:p w14:paraId="0000011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1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Recommend that clinicians have a high index of suspicion in monitoring for epileptic activity (convulsive and non-convulsive) in patients with MPS III. Seizures can be subtle and may be difficult to recognize in patients who have cognitive deficits and significant baseline behavioral differences</w:t>
            </w:r>
          </w:p>
        </w:tc>
        <w:tc>
          <w:tcPr>
            <w:tcW w:w="1701" w:type="dxa"/>
          </w:tcPr>
          <w:p w14:paraId="0000011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100%</w:t>
            </w:r>
          </w:p>
          <w:p w14:paraId="0000011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(51/51)</w:t>
            </w:r>
          </w:p>
        </w:tc>
      </w:tr>
      <w:tr w:rsidR="00BC52AF" w14:paraId="2A223ABB" w14:textId="77777777">
        <w:tc>
          <w:tcPr>
            <w:tcW w:w="1701" w:type="dxa"/>
          </w:tcPr>
          <w:p w14:paraId="0000011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1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Both convulsive and non-convulsive epilepsy should be adequately treated according to the patient's individual needs and medication history</w:t>
            </w:r>
          </w:p>
        </w:tc>
        <w:tc>
          <w:tcPr>
            <w:tcW w:w="1701" w:type="dxa"/>
          </w:tcPr>
          <w:p w14:paraId="0000011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97.9%</w:t>
            </w:r>
          </w:p>
          <w:p w14:paraId="0000011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(46/47)</w:t>
            </w:r>
          </w:p>
        </w:tc>
      </w:tr>
      <w:tr w:rsidR="00BC52AF" w14:paraId="7E33D466" w14:textId="77777777">
        <w:tc>
          <w:tcPr>
            <w:tcW w:w="1701" w:type="dxa"/>
          </w:tcPr>
          <w:p w14:paraId="0000011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1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Preference should be given to anti-epileptic drugs with fewer drug-drug </w:t>
            </w:r>
            <w:proofErr w:type="gramStart"/>
            <w:r>
              <w:rPr>
                <w:rFonts w:ascii="Arial" w:eastAsia="Arial" w:hAnsi="Arial" w:cs="Arial"/>
                <w:sz w:val="20"/>
                <w:szCs w:val="20"/>
              </w:rPr>
              <w:t>interactions</w:t>
            </w:r>
            <w:proofErr w:type="gramEnd"/>
            <w:r>
              <w:rPr>
                <w:rFonts w:ascii="Arial" w:eastAsia="Arial" w:hAnsi="Arial" w:cs="Arial"/>
                <w:sz w:val="20"/>
                <w:szCs w:val="20"/>
              </w:rPr>
              <w:t xml:space="preserve"> and which do not require therapeutic drug level monitoring</w:t>
            </w:r>
          </w:p>
        </w:tc>
        <w:tc>
          <w:tcPr>
            <w:tcW w:w="1701" w:type="dxa"/>
          </w:tcPr>
          <w:p w14:paraId="0000011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95.3%</w:t>
            </w:r>
          </w:p>
          <w:p w14:paraId="0000012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(41/43)</w:t>
            </w:r>
          </w:p>
        </w:tc>
      </w:tr>
    </w:tbl>
    <w:p w14:paraId="52C9C905" w14:textId="77777777" w:rsidR="007A57FE" w:rsidRDefault="007A57FE">
      <w:pPr>
        <w:rPr>
          <w:rFonts w:ascii="Arial" w:eastAsia="Arial" w:hAnsi="Arial" w:cs="Arial"/>
          <w:b/>
        </w:rPr>
      </w:pPr>
      <w:r>
        <w:rPr>
          <w:rFonts w:ascii="Arial" w:eastAsia="Arial" w:hAnsi="Arial" w:cs="Arial"/>
          <w:b/>
        </w:rPr>
        <w:br w:type="page"/>
      </w:r>
    </w:p>
    <w:p w14:paraId="00000122" w14:textId="23060972" w:rsidR="00BC52AF" w:rsidRDefault="00E04452" w:rsidP="00804B4C">
      <w:pPr>
        <w:spacing w:after="0" w:line="360" w:lineRule="auto"/>
        <w:rPr>
          <w:rFonts w:ascii="Arial" w:eastAsia="Arial" w:hAnsi="Arial" w:cs="Arial"/>
          <w:b/>
        </w:rPr>
      </w:pPr>
      <w:r>
        <w:rPr>
          <w:rFonts w:ascii="Arial" w:eastAsia="Arial" w:hAnsi="Arial" w:cs="Arial"/>
          <w:b/>
        </w:rPr>
        <w:lastRenderedPageBreak/>
        <w:t>C. Considerations for neurobehavior, psychological and psychiatric care</w:t>
      </w:r>
    </w:p>
    <w:tbl>
      <w:tblPr>
        <w:tblStyle w:val="a2"/>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25683D4D" w14:textId="77777777" w:rsidTr="00745713">
        <w:trPr>
          <w:tblHeader/>
        </w:trPr>
        <w:tc>
          <w:tcPr>
            <w:tcW w:w="1701" w:type="dxa"/>
            <w:vAlign w:val="center"/>
          </w:tcPr>
          <w:p w14:paraId="00000123"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124"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125"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2B046A59" w14:textId="77777777">
        <w:tc>
          <w:tcPr>
            <w:tcW w:w="1701" w:type="dxa"/>
          </w:tcPr>
          <w:p w14:paraId="0000012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27" w14:textId="62804CA3"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Targeted behavioral/psychiatric medication prescribing should be accompanied by an evaluation of contraindicated risks, which is especially important given that MPS III is a multisystem disease and the impact of psychotropic medication on cardiac, </w:t>
            </w:r>
            <w:proofErr w:type="gramStart"/>
            <w:r>
              <w:rPr>
                <w:rFonts w:ascii="Arial" w:eastAsia="Arial" w:hAnsi="Arial" w:cs="Arial"/>
                <w:sz w:val="20"/>
                <w:szCs w:val="20"/>
              </w:rPr>
              <w:t>hepatic</w:t>
            </w:r>
            <w:proofErr w:type="gramEnd"/>
            <w:r>
              <w:rPr>
                <w:rFonts w:ascii="Arial" w:eastAsia="Arial" w:hAnsi="Arial" w:cs="Arial"/>
                <w:sz w:val="20"/>
                <w:szCs w:val="20"/>
              </w:rPr>
              <w:t xml:space="preserve"> and renal systems needs to be taken into account</w:t>
            </w:r>
          </w:p>
        </w:tc>
        <w:tc>
          <w:tcPr>
            <w:tcW w:w="1701" w:type="dxa"/>
          </w:tcPr>
          <w:p w14:paraId="0000012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97.9%</w:t>
            </w:r>
          </w:p>
          <w:p w14:paraId="0000012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(46/47)</w:t>
            </w:r>
          </w:p>
        </w:tc>
      </w:tr>
      <w:tr w:rsidR="00BC52AF" w14:paraId="637094B9" w14:textId="77777777">
        <w:tc>
          <w:tcPr>
            <w:tcW w:w="1701" w:type="dxa"/>
          </w:tcPr>
          <w:p w14:paraId="0000012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2B" w14:textId="6F08F329"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Recommend identifying and targeting psychiatric symptom clusters in the context of the developmental age equivalent profile of each child. Clusters include sleep, ADHD behaviors, social communication difficulties, speech and language difficulties, sensory </w:t>
            </w:r>
            <w:proofErr w:type="gramStart"/>
            <w:r>
              <w:rPr>
                <w:rFonts w:ascii="Arial" w:eastAsia="Arial" w:hAnsi="Arial" w:cs="Arial"/>
                <w:sz w:val="20"/>
                <w:szCs w:val="20"/>
              </w:rPr>
              <w:t>difficulties</w:t>
            </w:r>
            <w:proofErr w:type="gramEnd"/>
            <w:r>
              <w:rPr>
                <w:rFonts w:ascii="Arial" w:eastAsia="Arial" w:hAnsi="Arial" w:cs="Arial"/>
                <w:sz w:val="20"/>
                <w:szCs w:val="20"/>
              </w:rPr>
              <w:t xml:space="preserve"> and anxiety</w:t>
            </w:r>
          </w:p>
        </w:tc>
        <w:tc>
          <w:tcPr>
            <w:tcW w:w="1701" w:type="dxa"/>
          </w:tcPr>
          <w:p w14:paraId="0000012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93.3%</w:t>
            </w:r>
          </w:p>
          <w:p w14:paraId="0000012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(42/45)</w:t>
            </w:r>
          </w:p>
        </w:tc>
      </w:tr>
      <w:tr w:rsidR="00BC52AF" w14:paraId="7106667B" w14:textId="77777777">
        <w:tc>
          <w:tcPr>
            <w:tcW w:w="1701" w:type="dxa"/>
          </w:tcPr>
          <w:p w14:paraId="0000012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2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Regular monitoring of neurocognitive function is recommended to help families identify loss of skills and to support discussions focused on adjustment to disease progression, educational needs and supports in the later phases of the disease</w:t>
            </w:r>
          </w:p>
        </w:tc>
        <w:tc>
          <w:tcPr>
            <w:tcW w:w="1701" w:type="dxa"/>
          </w:tcPr>
          <w:p w14:paraId="0000013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90.2%</w:t>
            </w:r>
          </w:p>
          <w:p w14:paraId="0000013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(46/51)</w:t>
            </w:r>
          </w:p>
        </w:tc>
      </w:tr>
      <w:tr w:rsidR="00BC52AF" w14:paraId="1D965E64" w14:textId="77777777">
        <w:tc>
          <w:tcPr>
            <w:tcW w:w="1701" w:type="dxa"/>
          </w:tcPr>
          <w:p w14:paraId="0000013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3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ABA (</w:t>
            </w:r>
            <w:bookmarkStart w:id="2" w:name="_Hlk99024892"/>
            <w:r>
              <w:rPr>
                <w:rFonts w:ascii="Arial" w:eastAsia="Arial" w:hAnsi="Arial" w:cs="Arial"/>
                <w:sz w:val="20"/>
                <w:szCs w:val="20"/>
              </w:rPr>
              <w:t>applied behavioral analysis</w:t>
            </w:r>
            <w:bookmarkEnd w:id="2"/>
            <w:r>
              <w:rPr>
                <w:rFonts w:ascii="Arial" w:eastAsia="Arial" w:hAnsi="Arial" w:cs="Arial"/>
                <w:sz w:val="20"/>
                <w:szCs w:val="20"/>
              </w:rPr>
              <w:t xml:space="preserve">) therapy, where available and tailored to the individual child, should be supported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enhance communication skills, maintain motor abilities, and reduce unsafe behaviors as it has been found to be beneficial for some children with Sanfilippo syndrome</w:t>
            </w:r>
          </w:p>
        </w:tc>
        <w:tc>
          <w:tcPr>
            <w:tcW w:w="1701" w:type="dxa"/>
          </w:tcPr>
          <w:p w14:paraId="0000013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90.7%</w:t>
            </w:r>
          </w:p>
          <w:p w14:paraId="0000013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(39/43)</w:t>
            </w:r>
          </w:p>
        </w:tc>
      </w:tr>
      <w:tr w:rsidR="00BC52AF" w14:paraId="2CAFF6C6" w14:textId="77777777">
        <w:tc>
          <w:tcPr>
            <w:tcW w:w="1701" w:type="dxa"/>
          </w:tcPr>
          <w:p w14:paraId="0000013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3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When evaluating and monitoring adaptive behavior skills, it is recommended to use the Vineland Adaptive Behavior Scale as at least one of the measures</w:t>
            </w:r>
          </w:p>
        </w:tc>
        <w:tc>
          <w:tcPr>
            <w:tcW w:w="1701" w:type="dxa"/>
          </w:tcPr>
          <w:p w14:paraId="0000013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83.7%</w:t>
            </w:r>
          </w:p>
          <w:p w14:paraId="0000013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(36/43)</w:t>
            </w:r>
          </w:p>
        </w:tc>
      </w:tr>
      <w:tr w:rsidR="00BC52AF" w14:paraId="759AD89A" w14:textId="77777777">
        <w:tc>
          <w:tcPr>
            <w:tcW w:w="1701" w:type="dxa"/>
          </w:tcPr>
          <w:p w14:paraId="0000013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3B" w14:textId="39A5297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When considering behavior-modifying medications, careful consideration of any physical problem such as pain, musculoskeletal problems, gastrointestinal disturbances, seizures, dental problems, communication challenges, </w:t>
            </w:r>
            <w:proofErr w:type="spellStart"/>
            <w:r>
              <w:rPr>
                <w:rFonts w:ascii="Arial" w:eastAsia="Arial" w:hAnsi="Arial" w:cs="Arial"/>
                <w:sz w:val="20"/>
                <w:szCs w:val="20"/>
              </w:rPr>
              <w:t>etc</w:t>
            </w:r>
            <w:proofErr w:type="spellEnd"/>
            <w:r>
              <w:rPr>
                <w:rFonts w:ascii="Arial" w:eastAsia="Arial" w:hAnsi="Arial" w:cs="Arial"/>
                <w:sz w:val="20"/>
                <w:szCs w:val="20"/>
              </w:rPr>
              <w:t xml:space="preserve"> is necessary to formulating a proper treatment strategy</w:t>
            </w:r>
          </w:p>
        </w:tc>
        <w:tc>
          <w:tcPr>
            <w:tcW w:w="1701" w:type="dxa"/>
          </w:tcPr>
          <w:p w14:paraId="0000013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100%</w:t>
            </w:r>
          </w:p>
          <w:p w14:paraId="0000013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(50/50)</w:t>
            </w:r>
          </w:p>
        </w:tc>
      </w:tr>
      <w:tr w:rsidR="00BC52AF" w14:paraId="50748182" w14:textId="77777777">
        <w:tc>
          <w:tcPr>
            <w:tcW w:w="1701" w:type="dxa"/>
          </w:tcPr>
          <w:p w14:paraId="0000013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3F" w14:textId="4A0200A7" w:rsidR="00BC52AF" w:rsidRDefault="00E04452">
            <w:pPr>
              <w:spacing w:line="276" w:lineRule="auto"/>
              <w:rPr>
                <w:rFonts w:ascii="Arial" w:eastAsia="Arial" w:hAnsi="Arial" w:cs="Arial"/>
                <w:sz w:val="20"/>
                <w:szCs w:val="20"/>
              </w:rPr>
            </w:pPr>
            <w:r>
              <w:rPr>
                <w:rFonts w:ascii="Arial" w:eastAsia="Arial" w:hAnsi="Arial" w:cs="Arial"/>
                <w:sz w:val="20"/>
                <w:szCs w:val="20"/>
              </w:rPr>
              <w:t>Use of stimulant medications, mood stabilizers, antipsychotics and antianxiety drugs may be considered on a case-by-case basis and with short</w:t>
            </w:r>
            <w:r w:rsidR="00DD3B6B">
              <w:rPr>
                <w:rFonts w:ascii="Arial" w:eastAsia="Arial" w:hAnsi="Arial" w:cs="Arial"/>
                <w:sz w:val="20"/>
                <w:szCs w:val="20"/>
              </w:rPr>
              <w:t>-</w:t>
            </w:r>
            <w:r>
              <w:rPr>
                <w:rFonts w:ascii="Arial" w:eastAsia="Arial" w:hAnsi="Arial" w:cs="Arial"/>
                <w:sz w:val="20"/>
                <w:szCs w:val="20"/>
              </w:rPr>
              <w:t>term trials after review of potential risks and benefits with the patient’s family</w:t>
            </w:r>
          </w:p>
        </w:tc>
        <w:tc>
          <w:tcPr>
            <w:tcW w:w="1701" w:type="dxa"/>
          </w:tcPr>
          <w:p w14:paraId="0000014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95.7%</w:t>
            </w:r>
          </w:p>
          <w:p w14:paraId="0000014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(45/47)</w:t>
            </w:r>
          </w:p>
        </w:tc>
      </w:tr>
      <w:tr w:rsidR="00BC52AF" w14:paraId="209931EB" w14:textId="77777777">
        <w:tc>
          <w:tcPr>
            <w:tcW w:w="1701" w:type="dxa"/>
          </w:tcPr>
          <w:p w14:paraId="0000014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4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Recommend developmental testing be performed in an environment familiar to the child by a tester who has established rapport with the patient and has familiarized themselves with the behavioral characteristics of MPS III prior to testing</w:t>
            </w:r>
          </w:p>
        </w:tc>
        <w:tc>
          <w:tcPr>
            <w:tcW w:w="1701" w:type="dxa"/>
          </w:tcPr>
          <w:p w14:paraId="0000014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88.2%</w:t>
            </w:r>
          </w:p>
          <w:p w14:paraId="0000014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(45/51)</w:t>
            </w:r>
          </w:p>
        </w:tc>
      </w:tr>
      <w:tr w:rsidR="00BC52AF" w14:paraId="301CC81C" w14:textId="77777777">
        <w:tc>
          <w:tcPr>
            <w:tcW w:w="1701" w:type="dxa"/>
          </w:tcPr>
          <w:p w14:paraId="0000014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4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Behavioral symptoms require a holistic approach of understanding the behavior in context of the cognitive skill level, creating a safe home and school environment for the child, providing routine and structure in addition to any pharmacologic approaches</w:t>
            </w:r>
          </w:p>
        </w:tc>
        <w:tc>
          <w:tcPr>
            <w:tcW w:w="1701" w:type="dxa"/>
          </w:tcPr>
          <w:p w14:paraId="0000014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100%</w:t>
            </w:r>
          </w:p>
          <w:p w14:paraId="0000014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(50/50)</w:t>
            </w:r>
          </w:p>
        </w:tc>
      </w:tr>
    </w:tbl>
    <w:p w14:paraId="63027753" w14:textId="77777777" w:rsidR="007A57FE" w:rsidRDefault="007A57FE">
      <w:pPr>
        <w:rPr>
          <w:rFonts w:ascii="Arial" w:eastAsia="Arial" w:hAnsi="Arial" w:cs="Arial"/>
          <w:b/>
        </w:rPr>
      </w:pPr>
      <w:r>
        <w:rPr>
          <w:rFonts w:ascii="Arial" w:eastAsia="Arial" w:hAnsi="Arial" w:cs="Arial"/>
          <w:b/>
        </w:rPr>
        <w:br w:type="page"/>
      </w:r>
    </w:p>
    <w:p w14:paraId="0000014B" w14:textId="223193DE" w:rsidR="00BC52AF" w:rsidRDefault="00E04452" w:rsidP="00804B4C">
      <w:pPr>
        <w:spacing w:after="0" w:line="360" w:lineRule="auto"/>
        <w:rPr>
          <w:rFonts w:ascii="Arial" w:eastAsia="Arial" w:hAnsi="Arial" w:cs="Arial"/>
          <w:b/>
        </w:rPr>
      </w:pPr>
      <w:r>
        <w:rPr>
          <w:rFonts w:ascii="Arial" w:eastAsia="Arial" w:hAnsi="Arial" w:cs="Arial"/>
          <w:b/>
        </w:rPr>
        <w:lastRenderedPageBreak/>
        <w:t>D. Respiratory management</w:t>
      </w:r>
    </w:p>
    <w:tbl>
      <w:tblPr>
        <w:tblStyle w:val="a3"/>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5B359570" w14:textId="77777777" w:rsidTr="00745713">
        <w:trPr>
          <w:tblHeader/>
        </w:trPr>
        <w:tc>
          <w:tcPr>
            <w:tcW w:w="1701" w:type="dxa"/>
            <w:vAlign w:val="center"/>
          </w:tcPr>
          <w:p w14:paraId="0000014C"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14D"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14E"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31B2DD87" w14:textId="77777777">
        <w:tc>
          <w:tcPr>
            <w:tcW w:w="1701" w:type="dxa"/>
          </w:tcPr>
          <w:p w14:paraId="0000014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5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Recommend high index of suspicion for diagnosis of pneumonia and consideration of early diagnostic radiology since patients with MPS III do not always show typical signs of illness until infection becomes more overwhelming</w:t>
            </w:r>
          </w:p>
        </w:tc>
        <w:tc>
          <w:tcPr>
            <w:tcW w:w="1701" w:type="dxa"/>
          </w:tcPr>
          <w:p w14:paraId="0000015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97.7%</w:t>
            </w:r>
          </w:p>
          <w:p w14:paraId="0000015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(43/44)</w:t>
            </w:r>
          </w:p>
        </w:tc>
      </w:tr>
      <w:tr w:rsidR="00BC52AF" w14:paraId="35E956D7" w14:textId="77777777">
        <w:tc>
          <w:tcPr>
            <w:tcW w:w="1701" w:type="dxa"/>
          </w:tcPr>
          <w:p w14:paraId="0000015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5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Recommend early treatment of pneumonia/suspected lung infection with antibiotics due to potential for rapid decompensation and difficulty monitoring clinical wellness in children with MPS III</w:t>
            </w:r>
          </w:p>
        </w:tc>
        <w:tc>
          <w:tcPr>
            <w:tcW w:w="1701" w:type="dxa"/>
          </w:tcPr>
          <w:p w14:paraId="0000015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97.5%</w:t>
            </w:r>
          </w:p>
          <w:p w14:paraId="0000015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(39/40)</w:t>
            </w:r>
          </w:p>
        </w:tc>
      </w:tr>
      <w:tr w:rsidR="00BC52AF" w14:paraId="53B544EE" w14:textId="77777777">
        <w:tc>
          <w:tcPr>
            <w:tcW w:w="1701" w:type="dxa"/>
          </w:tcPr>
          <w:p w14:paraId="0000015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5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Routine childhood vaccinations should be recommended as well as annual flu shot and the 23-valent pneumococcal vaccine (Pneumovax 23)</w:t>
            </w:r>
          </w:p>
        </w:tc>
        <w:tc>
          <w:tcPr>
            <w:tcW w:w="1701" w:type="dxa"/>
          </w:tcPr>
          <w:p w14:paraId="0000015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95.3%</w:t>
            </w:r>
          </w:p>
          <w:p w14:paraId="0000015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(41/43)</w:t>
            </w:r>
          </w:p>
        </w:tc>
      </w:tr>
      <w:tr w:rsidR="00BC52AF" w14:paraId="6C223B98" w14:textId="77777777">
        <w:tc>
          <w:tcPr>
            <w:tcW w:w="1701" w:type="dxa"/>
          </w:tcPr>
          <w:p w14:paraId="0000015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5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All individuals with MPS III should have baseline respiratory and sleep evaluation (note, if respiratory medicine and sleep medicine are not combined, separate respiratory medicine and sleep referrals are recommended)</w:t>
            </w:r>
          </w:p>
        </w:tc>
        <w:tc>
          <w:tcPr>
            <w:tcW w:w="1701" w:type="dxa"/>
          </w:tcPr>
          <w:p w14:paraId="0000015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93.0%</w:t>
            </w:r>
          </w:p>
          <w:p w14:paraId="0000015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(40/43)</w:t>
            </w:r>
          </w:p>
        </w:tc>
      </w:tr>
      <w:tr w:rsidR="00BC52AF" w14:paraId="78552DF3" w14:textId="77777777">
        <w:tc>
          <w:tcPr>
            <w:tcW w:w="1701" w:type="dxa"/>
          </w:tcPr>
          <w:p w14:paraId="0000015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6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Baseline respiratory system focused history should include the following: sleep hygiene, quality and duration, symptoms of sleep disordered breathing, history of respiratory symptoms (</w:t>
            </w:r>
            <w:proofErr w:type="spellStart"/>
            <w:proofErr w:type="gramStart"/>
            <w:r>
              <w:rPr>
                <w:rFonts w:ascii="Arial" w:eastAsia="Arial" w:hAnsi="Arial" w:cs="Arial"/>
                <w:sz w:val="20"/>
                <w:szCs w:val="20"/>
              </w:rPr>
              <w:t>eg</w:t>
            </w:r>
            <w:proofErr w:type="spellEnd"/>
            <w:proofErr w:type="gramEnd"/>
            <w:r>
              <w:rPr>
                <w:rFonts w:ascii="Arial" w:eastAsia="Arial" w:hAnsi="Arial" w:cs="Arial"/>
                <w:sz w:val="20"/>
                <w:szCs w:val="20"/>
              </w:rPr>
              <w:t xml:space="preserve"> chronic cough), history of pneumonia, history of oral secretions, history of difficulty feeding, history of gastroesophageal disease and history of nasal secretions/ congestion should be reviewed</w:t>
            </w:r>
          </w:p>
        </w:tc>
        <w:tc>
          <w:tcPr>
            <w:tcW w:w="1701" w:type="dxa"/>
          </w:tcPr>
          <w:p w14:paraId="0000016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95.2%</w:t>
            </w:r>
          </w:p>
          <w:p w14:paraId="0000016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(40/42)</w:t>
            </w:r>
          </w:p>
        </w:tc>
      </w:tr>
      <w:tr w:rsidR="00BC52AF" w14:paraId="76D0CDAB" w14:textId="77777777">
        <w:tc>
          <w:tcPr>
            <w:tcW w:w="1701" w:type="dxa"/>
          </w:tcPr>
          <w:p w14:paraId="0000016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64" w14:textId="4288660F" w:rsidR="00BC52AF" w:rsidRDefault="00E04452">
            <w:pPr>
              <w:spacing w:line="276" w:lineRule="auto"/>
              <w:rPr>
                <w:rFonts w:ascii="Arial" w:eastAsia="Arial" w:hAnsi="Arial" w:cs="Arial"/>
                <w:sz w:val="20"/>
                <w:szCs w:val="20"/>
              </w:rPr>
            </w:pPr>
            <w:r>
              <w:rPr>
                <w:rFonts w:ascii="Arial" w:eastAsia="Arial" w:hAnsi="Arial" w:cs="Arial"/>
                <w:sz w:val="20"/>
                <w:szCs w:val="20"/>
              </w:rPr>
              <w:t>Baseline physical examination should include vital signs (including respiratory rate, heart rate, height, weight, oxygen saturations and non</w:t>
            </w:r>
            <w:r w:rsidR="00B742B4">
              <w:rPr>
                <w:rFonts w:ascii="Arial" w:eastAsia="Arial" w:hAnsi="Arial" w:cs="Arial"/>
                <w:sz w:val="20"/>
                <w:szCs w:val="20"/>
              </w:rPr>
              <w:t>-</w:t>
            </w:r>
            <w:r>
              <w:rPr>
                <w:rFonts w:ascii="Arial" w:eastAsia="Arial" w:hAnsi="Arial" w:cs="Arial"/>
                <w:sz w:val="20"/>
                <w:szCs w:val="20"/>
              </w:rPr>
              <w:t>invasive carbon dioxide measure if available) and routine respiratory examination</w:t>
            </w:r>
          </w:p>
        </w:tc>
        <w:tc>
          <w:tcPr>
            <w:tcW w:w="1701" w:type="dxa"/>
          </w:tcPr>
          <w:p w14:paraId="0000016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100%</w:t>
            </w:r>
          </w:p>
          <w:p w14:paraId="0000016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(44/44)</w:t>
            </w:r>
          </w:p>
        </w:tc>
      </w:tr>
      <w:tr w:rsidR="00BC52AF" w14:paraId="436F05D8" w14:textId="77777777">
        <w:tc>
          <w:tcPr>
            <w:tcW w:w="1701" w:type="dxa"/>
          </w:tcPr>
          <w:p w14:paraId="0000016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6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Diagnosis and management of sleep apnea should be under the guidance of a respiratory physician. This may require the introduction of CPAP or other interventions</w:t>
            </w:r>
          </w:p>
        </w:tc>
        <w:tc>
          <w:tcPr>
            <w:tcW w:w="1701" w:type="dxa"/>
          </w:tcPr>
          <w:p w14:paraId="0000016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82.2%</w:t>
            </w:r>
          </w:p>
          <w:p w14:paraId="0000016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(37/45)</w:t>
            </w:r>
          </w:p>
        </w:tc>
      </w:tr>
      <w:tr w:rsidR="00BC52AF" w14:paraId="153FF887" w14:textId="77777777">
        <w:tc>
          <w:tcPr>
            <w:tcW w:w="1701" w:type="dxa"/>
          </w:tcPr>
          <w:p w14:paraId="0000016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6C" w14:textId="37A49413" w:rsidR="00BC52AF" w:rsidRDefault="00E04452">
            <w:pPr>
              <w:spacing w:line="276" w:lineRule="auto"/>
              <w:rPr>
                <w:rFonts w:ascii="Arial" w:eastAsia="Arial" w:hAnsi="Arial" w:cs="Arial"/>
                <w:sz w:val="20"/>
                <w:szCs w:val="20"/>
              </w:rPr>
            </w:pPr>
            <w:r>
              <w:rPr>
                <w:rFonts w:ascii="Arial" w:eastAsia="Arial" w:hAnsi="Arial" w:cs="Arial"/>
                <w:sz w:val="20"/>
                <w:szCs w:val="20"/>
              </w:rPr>
              <w:t>Ongoing respiratory and sleep medicine follow</w:t>
            </w:r>
            <w:r w:rsidR="00B742B4">
              <w:rPr>
                <w:rFonts w:ascii="Arial" w:eastAsia="Arial" w:hAnsi="Arial" w:cs="Arial"/>
                <w:sz w:val="20"/>
                <w:szCs w:val="20"/>
              </w:rPr>
              <w:t>-</w:t>
            </w:r>
            <w:r>
              <w:rPr>
                <w:rFonts w:ascii="Arial" w:eastAsia="Arial" w:hAnsi="Arial" w:cs="Arial"/>
                <w:sz w:val="20"/>
                <w:szCs w:val="20"/>
              </w:rPr>
              <w:t>up is recommended. The frequency of which will depend on the severity of the respiratory disease and sleep disordered breathing</w:t>
            </w:r>
          </w:p>
        </w:tc>
        <w:tc>
          <w:tcPr>
            <w:tcW w:w="1701" w:type="dxa"/>
          </w:tcPr>
          <w:p w14:paraId="0000016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90.9%</w:t>
            </w:r>
          </w:p>
          <w:p w14:paraId="0000016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(40/44)</w:t>
            </w:r>
          </w:p>
        </w:tc>
      </w:tr>
      <w:tr w:rsidR="00BC52AF" w14:paraId="522E0A57" w14:textId="77777777">
        <w:tc>
          <w:tcPr>
            <w:tcW w:w="1701" w:type="dxa"/>
          </w:tcPr>
          <w:p w14:paraId="0000016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7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Excessive oral secretions may be managed by manual suction and/or medications such as atropine or glycopyrrolate</w:t>
            </w:r>
          </w:p>
        </w:tc>
        <w:tc>
          <w:tcPr>
            <w:tcW w:w="1701" w:type="dxa"/>
          </w:tcPr>
          <w:p w14:paraId="0000017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89.4%</w:t>
            </w:r>
          </w:p>
          <w:p w14:paraId="0000017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(42/47)</w:t>
            </w:r>
          </w:p>
        </w:tc>
      </w:tr>
    </w:tbl>
    <w:p w14:paraId="00000173" w14:textId="77777777" w:rsidR="00BC52AF" w:rsidRDefault="00BC52AF" w:rsidP="000E0A02">
      <w:pPr>
        <w:spacing w:after="0" w:line="360" w:lineRule="auto"/>
        <w:rPr>
          <w:rFonts w:ascii="Arial" w:eastAsia="Arial" w:hAnsi="Arial" w:cs="Arial"/>
        </w:rPr>
      </w:pPr>
    </w:p>
    <w:p w14:paraId="00000174" w14:textId="70A89686" w:rsidR="00BC52AF" w:rsidRDefault="00E04452" w:rsidP="00804B4C">
      <w:pPr>
        <w:spacing w:after="0" w:line="360" w:lineRule="auto"/>
        <w:rPr>
          <w:rFonts w:ascii="Arial" w:eastAsia="Arial" w:hAnsi="Arial" w:cs="Arial"/>
          <w:b/>
        </w:rPr>
      </w:pPr>
      <w:r>
        <w:rPr>
          <w:rFonts w:ascii="Arial" w:eastAsia="Arial" w:hAnsi="Arial" w:cs="Arial"/>
          <w:b/>
        </w:rPr>
        <w:t>E. Sleep</w:t>
      </w:r>
    </w:p>
    <w:tbl>
      <w:tblPr>
        <w:tblStyle w:val="a4"/>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4B4F8764" w14:textId="77777777" w:rsidTr="00745713">
        <w:tc>
          <w:tcPr>
            <w:tcW w:w="1701" w:type="dxa"/>
            <w:vAlign w:val="center"/>
          </w:tcPr>
          <w:p w14:paraId="00000175"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176"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177"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4509F4B9" w14:textId="77777777">
        <w:tc>
          <w:tcPr>
            <w:tcW w:w="1701" w:type="dxa"/>
          </w:tcPr>
          <w:p w14:paraId="0000017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7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In patients with sleep disturbance, the medical workup should include consideration of the presence of disordered movement or seizure activity, iron deficiency in the setting of restless legs, pain or intercurrent illness, esophageal reflux, dental </w:t>
            </w:r>
            <w:proofErr w:type="gramStart"/>
            <w:r>
              <w:rPr>
                <w:rFonts w:ascii="Arial" w:eastAsia="Arial" w:hAnsi="Arial" w:cs="Arial"/>
                <w:sz w:val="20"/>
                <w:szCs w:val="20"/>
              </w:rPr>
              <w:t>disease</w:t>
            </w:r>
            <w:proofErr w:type="gramEnd"/>
            <w:r>
              <w:rPr>
                <w:rFonts w:ascii="Arial" w:eastAsia="Arial" w:hAnsi="Arial" w:cs="Arial"/>
                <w:sz w:val="20"/>
                <w:szCs w:val="20"/>
              </w:rPr>
              <w:t xml:space="preserve"> and disordered breathing during sleep</w:t>
            </w:r>
          </w:p>
        </w:tc>
        <w:tc>
          <w:tcPr>
            <w:tcW w:w="1701" w:type="dxa"/>
          </w:tcPr>
          <w:p w14:paraId="0000017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97.8%</w:t>
            </w:r>
          </w:p>
          <w:p w14:paraId="0000017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(44/45)</w:t>
            </w:r>
          </w:p>
        </w:tc>
      </w:tr>
      <w:tr w:rsidR="00BC52AF" w14:paraId="29FE3E8A" w14:textId="77777777">
        <w:tc>
          <w:tcPr>
            <w:tcW w:w="1701" w:type="dxa"/>
          </w:tcPr>
          <w:p w14:paraId="0000017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7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Circadian rhythm disruption is a well-accepted complication of Sanfilippo syndrome that may be partly addressed by melatonin supplementation</w:t>
            </w:r>
          </w:p>
        </w:tc>
        <w:tc>
          <w:tcPr>
            <w:tcW w:w="1701" w:type="dxa"/>
          </w:tcPr>
          <w:p w14:paraId="0000017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97.6%</w:t>
            </w:r>
          </w:p>
          <w:p w14:paraId="0000017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(41/42)</w:t>
            </w:r>
          </w:p>
        </w:tc>
      </w:tr>
      <w:tr w:rsidR="00BC52AF" w14:paraId="19B20C1A" w14:textId="77777777">
        <w:tc>
          <w:tcPr>
            <w:tcW w:w="1701" w:type="dxa"/>
          </w:tcPr>
          <w:p w14:paraId="0000018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lastRenderedPageBreak/>
              <w:t>Core</w:t>
            </w:r>
          </w:p>
        </w:tc>
        <w:tc>
          <w:tcPr>
            <w:tcW w:w="11194" w:type="dxa"/>
          </w:tcPr>
          <w:p w14:paraId="00000181" w14:textId="3FD1606A" w:rsidR="00BC52AF" w:rsidRDefault="00E04452">
            <w:pPr>
              <w:spacing w:line="276" w:lineRule="auto"/>
              <w:rPr>
                <w:rFonts w:ascii="Arial" w:eastAsia="Arial" w:hAnsi="Arial" w:cs="Arial"/>
                <w:sz w:val="20"/>
                <w:szCs w:val="20"/>
              </w:rPr>
            </w:pPr>
            <w:r>
              <w:rPr>
                <w:rFonts w:ascii="Arial" w:eastAsia="Arial" w:hAnsi="Arial" w:cs="Arial"/>
                <w:sz w:val="20"/>
                <w:szCs w:val="20"/>
              </w:rPr>
              <w:t>If melatonin is started, it is recommended to begin at low doses of 0.5 mg and titrate to effect up to a maximum dose of 12</w:t>
            </w:r>
            <w:r w:rsidR="00B742B4">
              <w:rPr>
                <w:rFonts w:ascii="Arial" w:eastAsia="Arial" w:hAnsi="Arial" w:cs="Arial"/>
                <w:sz w:val="20"/>
                <w:szCs w:val="20"/>
              </w:rPr>
              <w:t xml:space="preserve"> </w:t>
            </w:r>
            <w:r>
              <w:rPr>
                <w:rFonts w:ascii="Arial" w:eastAsia="Arial" w:hAnsi="Arial" w:cs="Arial"/>
                <w:sz w:val="20"/>
                <w:szCs w:val="20"/>
              </w:rPr>
              <w:t>mg</w:t>
            </w:r>
          </w:p>
        </w:tc>
        <w:tc>
          <w:tcPr>
            <w:tcW w:w="1701" w:type="dxa"/>
          </w:tcPr>
          <w:p w14:paraId="0000018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85.0%</w:t>
            </w:r>
          </w:p>
          <w:p w14:paraId="0000018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(34/40)</w:t>
            </w:r>
          </w:p>
        </w:tc>
      </w:tr>
      <w:tr w:rsidR="00BC52AF" w14:paraId="5E86FE5C" w14:textId="77777777">
        <w:tc>
          <w:tcPr>
            <w:tcW w:w="1701" w:type="dxa"/>
          </w:tcPr>
          <w:p w14:paraId="0000018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8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Sleep disturbance in Sanfilippo syndrome should be addressed with a multimodal approach to include sleep hygiene counseling, implementing behavioral strategies, addressing safety of the environment, treating circadian rhythm disturbance and other comorbid medical factors</w:t>
            </w:r>
          </w:p>
        </w:tc>
        <w:tc>
          <w:tcPr>
            <w:tcW w:w="1701" w:type="dxa"/>
          </w:tcPr>
          <w:p w14:paraId="0000018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100%</w:t>
            </w:r>
          </w:p>
          <w:p w14:paraId="0000018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(46/46)</w:t>
            </w:r>
          </w:p>
        </w:tc>
      </w:tr>
      <w:tr w:rsidR="00BC52AF" w14:paraId="7BD9031C" w14:textId="77777777">
        <w:tc>
          <w:tcPr>
            <w:tcW w:w="1701" w:type="dxa"/>
          </w:tcPr>
          <w:p w14:paraId="0000018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8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Use of sleep diaries is encouraged for monitoring changes, evolution of sleep disturbance and response to interventions</w:t>
            </w:r>
          </w:p>
        </w:tc>
        <w:tc>
          <w:tcPr>
            <w:tcW w:w="1701" w:type="dxa"/>
          </w:tcPr>
          <w:p w14:paraId="0000018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84.4%</w:t>
            </w:r>
          </w:p>
          <w:p w14:paraId="0000018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(38/45)</w:t>
            </w:r>
          </w:p>
        </w:tc>
      </w:tr>
    </w:tbl>
    <w:p w14:paraId="0000018C" w14:textId="77777777" w:rsidR="00BC52AF" w:rsidRDefault="00BC52AF" w:rsidP="00804B4C">
      <w:pPr>
        <w:spacing w:after="0" w:line="360" w:lineRule="auto"/>
        <w:rPr>
          <w:rFonts w:ascii="Arial" w:eastAsia="Arial" w:hAnsi="Arial" w:cs="Arial"/>
        </w:rPr>
      </w:pPr>
    </w:p>
    <w:p w14:paraId="00000190" w14:textId="77777777" w:rsidR="00BC52AF" w:rsidRDefault="00E04452" w:rsidP="00804B4C">
      <w:pPr>
        <w:spacing w:after="0" w:line="360" w:lineRule="auto"/>
        <w:rPr>
          <w:rFonts w:ascii="Arial" w:eastAsia="Arial" w:hAnsi="Arial" w:cs="Arial"/>
          <w:b/>
        </w:rPr>
      </w:pPr>
      <w:r>
        <w:rPr>
          <w:rFonts w:ascii="Arial" w:eastAsia="Arial" w:hAnsi="Arial" w:cs="Arial"/>
          <w:b/>
        </w:rPr>
        <w:t>F. Anesthesia and peri-operative care</w:t>
      </w:r>
    </w:p>
    <w:tbl>
      <w:tblPr>
        <w:tblStyle w:val="a5"/>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4F593465" w14:textId="77777777" w:rsidTr="00745713">
        <w:trPr>
          <w:tblHeader/>
        </w:trPr>
        <w:tc>
          <w:tcPr>
            <w:tcW w:w="1701" w:type="dxa"/>
            <w:vAlign w:val="center"/>
          </w:tcPr>
          <w:p w14:paraId="00000191"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192"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193"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2C3BDDD6" w14:textId="77777777">
        <w:tc>
          <w:tcPr>
            <w:tcW w:w="1701" w:type="dxa"/>
          </w:tcPr>
          <w:p w14:paraId="0000019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9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Sedation/anesthesia events should always be conducted in the hospital setting with experienced anesthesia personnel available and ready to manage complex airway emergencies</w:t>
            </w:r>
          </w:p>
        </w:tc>
        <w:tc>
          <w:tcPr>
            <w:tcW w:w="1701" w:type="dxa"/>
          </w:tcPr>
          <w:p w14:paraId="0000019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94.3%</w:t>
            </w:r>
          </w:p>
          <w:p w14:paraId="0000019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(50/53)</w:t>
            </w:r>
          </w:p>
        </w:tc>
      </w:tr>
      <w:tr w:rsidR="00BC52AF" w14:paraId="0FBA17BD" w14:textId="77777777">
        <w:tc>
          <w:tcPr>
            <w:tcW w:w="1701" w:type="dxa"/>
          </w:tcPr>
          <w:p w14:paraId="0000019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9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All attempts should be made to coordinate procedures and diagnostics which will require sedation with the multidisciplinary team such that the number of anesthesia events is minimized</w:t>
            </w:r>
          </w:p>
        </w:tc>
        <w:tc>
          <w:tcPr>
            <w:tcW w:w="1701" w:type="dxa"/>
          </w:tcPr>
          <w:p w14:paraId="0000019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98.1%</w:t>
            </w:r>
          </w:p>
          <w:p w14:paraId="0000019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(54/55)</w:t>
            </w:r>
          </w:p>
        </w:tc>
      </w:tr>
      <w:tr w:rsidR="00BC52AF" w14:paraId="712D5B97" w14:textId="77777777">
        <w:tc>
          <w:tcPr>
            <w:tcW w:w="1701" w:type="dxa"/>
          </w:tcPr>
          <w:p w14:paraId="0000019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9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Observe patient-centered accommodations for those with behavioral challenges and neuro-disability to include:</w:t>
            </w:r>
          </w:p>
          <w:p w14:paraId="0000019E" w14:textId="2D02294A" w:rsidR="00BC52AF" w:rsidRDefault="00E04452">
            <w:pPr>
              <w:numPr>
                <w:ilvl w:val="0"/>
                <w:numId w:val="5"/>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Parent/caregiver access to patient through anesthesia induction and upon</w:t>
            </w:r>
            <w:r w:rsidR="00AF50FD">
              <w:rPr>
                <w:rFonts w:ascii="Arial" w:eastAsia="Arial" w:hAnsi="Arial" w:cs="Arial"/>
                <w:color w:val="000000"/>
                <w:sz w:val="20"/>
                <w:szCs w:val="20"/>
              </w:rPr>
              <w:t xml:space="preserve"> </w:t>
            </w:r>
            <w:r>
              <w:rPr>
                <w:rFonts w:ascii="Arial" w:eastAsia="Arial" w:hAnsi="Arial" w:cs="Arial"/>
                <w:color w:val="000000"/>
                <w:sz w:val="20"/>
                <w:szCs w:val="20"/>
              </w:rPr>
              <w:t>emergence/recovery</w:t>
            </w:r>
          </w:p>
          <w:p w14:paraId="0000019F" w14:textId="05BFCAA4" w:rsidR="00BC52AF" w:rsidRDefault="00E04452">
            <w:pPr>
              <w:numPr>
                <w:ilvl w:val="0"/>
                <w:numId w:val="5"/>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Provision for low</w:t>
            </w:r>
            <w:r w:rsidR="00B742B4">
              <w:rPr>
                <w:rFonts w:ascii="Arial" w:eastAsia="Arial" w:hAnsi="Arial" w:cs="Arial"/>
                <w:color w:val="000000"/>
                <w:sz w:val="20"/>
                <w:szCs w:val="20"/>
              </w:rPr>
              <w:t>-</w:t>
            </w:r>
            <w:r>
              <w:rPr>
                <w:rFonts w:ascii="Arial" w:eastAsia="Arial" w:hAnsi="Arial" w:cs="Arial"/>
                <w:color w:val="000000"/>
                <w:sz w:val="20"/>
                <w:szCs w:val="20"/>
              </w:rPr>
              <w:t>stimulus environment with ability to secure/close door to reduce risk of child escaping</w:t>
            </w:r>
          </w:p>
          <w:p w14:paraId="000001A0" w14:textId="77777777" w:rsidR="00BC52AF" w:rsidRDefault="00E04452">
            <w:pPr>
              <w:numPr>
                <w:ilvl w:val="0"/>
                <w:numId w:val="5"/>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Use of distraction techniques and items</w:t>
            </w:r>
          </w:p>
          <w:p w14:paraId="000001A1" w14:textId="77777777" w:rsidR="00BC52AF" w:rsidRDefault="00E04452">
            <w:pPr>
              <w:numPr>
                <w:ilvl w:val="0"/>
                <w:numId w:val="5"/>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Consider safety concerns with regards to impulsivity, </w:t>
            </w:r>
            <w:proofErr w:type="gramStart"/>
            <w:r>
              <w:rPr>
                <w:rFonts w:ascii="Arial" w:eastAsia="Arial" w:hAnsi="Arial" w:cs="Arial"/>
                <w:color w:val="000000"/>
                <w:sz w:val="20"/>
                <w:szCs w:val="20"/>
              </w:rPr>
              <w:t>hyperactivity</w:t>
            </w:r>
            <w:proofErr w:type="gramEnd"/>
            <w:r>
              <w:rPr>
                <w:rFonts w:ascii="Arial" w:eastAsia="Arial" w:hAnsi="Arial" w:cs="Arial"/>
                <w:color w:val="000000"/>
                <w:sz w:val="20"/>
                <w:szCs w:val="20"/>
              </w:rPr>
              <w:t xml:space="preserve"> and flight risk</w:t>
            </w:r>
          </w:p>
          <w:p w14:paraId="000001A2" w14:textId="77777777" w:rsidR="00BC52AF" w:rsidRDefault="00E04452">
            <w:pPr>
              <w:numPr>
                <w:ilvl w:val="0"/>
                <w:numId w:val="5"/>
              </w:numPr>
              <w:pBdr>
                <w:top w:val="nil"/>
                <w:left w:val="nil"/>
                <w:bottom w:val="nil"/>
                <w:right w:val="nil"/>
                <w:between w:val="nil"/>
              </w:pBdr>
              <w:spacing w:after="160" w:line="276" w:lineRule="auto"/>
              <w:rPr>
                <w:rFonts w:ascii="Arial" w:eastAsia="Arial" w:hAnsi="Arial" w:cs="Arial"/>
                <w:color w:val="000000"/>
                <w:sz w:val="20"/>
                <w:szCs w:val="20"/>
              </w:rPr>
            </w:pPr>
            <w:r>
              <w:rPr>
                <w:rFonts w:ascii="Arial" w:eastAsia="Arial" w:hAnsi="Arial" w:cs="Arial"/>
                <w:color w:val="000000"/>
                <w:sz w:val="20"/>
                <w:szCs w:val="20"/>
              </w:rPr>
              <w:t>Provision for additional supervisory staff as appropriate to meet patient’s individual needs</w:t>
            </w:r>
          </w:p>
        </w:tc>
        <w:tc>
          <w:tcPr>
            <w:tcW w:w="1701" w:type="dxa"/>
          </w:tcPr>
          <w:p w14:paraId="000001A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96.4%</w:t>
            </w:r>
          </w:p>
          <w:p w14:paraId="000001A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(53/55)</w:t>
            </w:r>
          </w:p>
        </w:tc>
      </w:tr>
      <w:tr w:rsidR="00BC52AF" w14:paraId="741F96F4" w14:textId="77777777">
        <w:tc>
          <w:tcPr>
            <w:tcW w:w="1701" w:type="dxa"/>
          </w:tcPr>
          <w:p w14:paraId="000001A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A6" w14:textId="50A1FDDB" w:rsidR="00BC52AF" w:rsidRDefault="00E04452">
            <w:pPr>
              <w:spacing w:line="276" w:lineRule="auto"/>
              <w:rPr>
                <w:rFonts w:ascii="Arial" w:eastAsia="Arial" w:hAnsi="Arial" w:cs="Arial"/>
                <w:sz w:val="20"/>
                <w:szCs w:val="20"/>
              </w:rPr>
            </w:pPr>
            <w:r>
              <w:rPr>
                <w:rFonts w:ascii="Arial" w:eastAsia="Arial" w:hAnsi="Arial" w:cs="Arial"/>
                <w:sz w:val="20"/>
                <w:szCs w:val="20"/>
              </w:rPr>
              <w:t>Sedation/</w:t>
            </w:r>
            <w:r w:rsidR="00B742B4">
              <w:rPr>
                <w:rFonts w:ascii="Arial" w:eastAsia="Arial" w:hAnsi="Arial" w:cs="Arial"/>
                <w:sz w:val="20"/>
                <w:szCs w:val="20"/>
              </w:rPr>
              <w:t>g</w:t>
            </w:r>
            <w:r>
              <w:rPr>
                <w:rFonts w:ascii="Arial" w:eastAsia="Arial" w:hAnsi="Arial" w:cs="Arial"/>
                <w:sz w:val="20"/>
                <w:szCs w:val="20"/>
              </w:rPr>
              <w:t>eneral anesthesia with a native airway (without pharyngeal or laryngeal intubation) may be considered for patients with MPS III, though the use of standard airway maneuvers and adjuncts (</w:t>
            </w:r>
            <w:proofErr w:type="spellStart"/>
            <w:proofErr w:type="gramStart"/>
            <w:r>
              <w:rPr>
                <w:rFonts w:ascii="Arial" w:eastAsia="Arial" w:hAnsi="Arial" w:cs="Arial"/>
                <w:sz w:val="20"/>
                <w:szCs w:val="20"/>
              </w:rPr>
              <w:t>ie</w:t>
            </w:r>
            <w:proofErr w:type="spellEnd"/>
            <w:proofErr w:type="gramEnd"/>
            <w:r>
              <w:rPr>
                <w:rFonts w:ascii="Arial" w:eastAsia="Arial" w:hAnsi="Arial" w:cs="Arial"/>
                <w:sz w:val="20"/>
                <w:szCs w:val="20"/>
              </w:rPr>
              <w:t xml:space="preserve"> chin lift, shoulder roll, CPAP, oral/nasal airways) may be needed</w:t>
            </w:r>
          </w:p>
        </w:tc>
        <w:tc>
          <w:tcPr>
            <w:tcW w:w="1701" w:type="dxa"/>
          </w:tcPr>
          <w:p w14:paraId="000001A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86.1%</w:t>
            </w:r>
          </w:p>
          <w:p w14:paraId="000001A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(31/36)</w:t>
            </w:r>
          </w:p>
        </w:tc>
      </w:tr>
      <w:tr w:rsidR="00BC52AF" w14:paraId="7AEF0C71" w14:textId="77777777">
        <w:tc>
          <w:tcPr>
            <w:tcW w:w="1701" w:type="dxa"/>
          </w:tcPr>
          <w:p w14:paraId="000001A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A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Laryngeal Mask airway is a good alternative to tracheal intubation for many MPS III patients in whom a native airway is not feasible</w:t>
            </w:r>
          </w:p>
        </w:tc>
        <w:tc>
          <w:tcPr>
            <w:tcW w:w="1701" w:type="dxa"/>
          </w:tcPr>
          <w:p w14:paraId="000001A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85.3%</w:t>
            </w:r>
          </w:p>
          <w:p w14:paraId="000001A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(29/34)</w:t>
            </w:r>
          </w:p>
        </w:tc>
      </w:tr>
      <w:tr w:rsidR="00BC52AF" w14:paraId="3FBD4A5B" w14:textId="77777777">
        <w:tc>
          <w:tcPr>
            <w:tcW w:w="1701" w:type="dxa"/>
          </w:tcPr>
          <w:p w14:paraId="000001A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A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When preparing for anesthesia in the MPS III patient, providers should always be prepared for the potential of difficult laryngoscopy and intubation</w:t>
            </w:r>
          </w:p>
        </w:tc>
        <w:tc>
          <w:tcPr>
            <w:tcW w:w="1701" w:type="dxa"/>
          </w:tcPr>
          <w:p w14:paraId="000001A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93.0%</w:t>
            </w:r>
          </w:p>
          <w:p w14:paraId="000001B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(40/43)</w:t>
            </w:r>
          </w:p>
        </w:tc>
      </w:tr>
      <w:tr w:rsidR="00BC52AF" w14:paraId="5BDA4FE9" w14:textId="77777777">
        <w:tc>
          <w:tcPr>
            <w:tcW w:w="1701" w:type="dxa"/>
          </w:tcPr>
          <w:p w14:paraId="000001B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B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Unless contraindicated, chronic medications should be given on the day of anesthesia within the confines of fasting guidelines, particularly anticonvulsants and neurobehavioral medications</w:t>
            </w:r>
          </w:p>
        </w:tc>
        <w:tc>
          <w:tcPr>
            <w:tcW w:w="1701" w:type="dxa"/>
          </w:tcPr>
          <w:p w14:paraId="000001B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97.9%</w:t>
            </w:r>
          </w:p>
          <w:p w14:paraId="000001B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(46/47)</w:t>
            </w:r>
          </w:p>
        </w:tc>
      </w:tr>
      <w:tr w:rsidR="00BC52AF" w14:paraId="61388917" w14:textId="77777777">
        <w:tc>
          <w:tcPr>
            <w:tcW w:w="1701" w:type="dxa"/>
          </w:tcPr>
          <w:p w14:paraId="000001B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B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Pre-operative anesthetic review and airway assessment should be conducted prior to the day of scheduled procedure to allow time to have any necessary equipment and staff available for the sedation event</w:t>
            </w:r>
          </w:p>
        </w:tc>
        <w:tc>
          <w:tcPr>
            <w:tcW w:w="1701" w:type="dxa"/>
          </w:tcPr>
          <w:p w14:paraId="000001B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95.8</w:t>
            </w:r>
          </w:p>
          <w:p w14:paraId="000001B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(46/48)</w:t>
            </w:r>
          </w:p>
        </w:tc>
      </w:tr>
      <w:tr w:rsidR="00BC52AF" w14:paraId="50F02354" w14:textId="77777777">
        <w:tc>
          <w:tcPr>
            <w:tcW w:w="1701" w:type="dxa"/>
          </w:tcPr>
          <w:p w14:paraId="000001B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lastRenderedPageBreak/>
              <w:t>Supplemental</w:t>
            </w:r>
          </w:p>
        </w:tc>
        <w:tc>
          <w:tcPr>
            <w:tcW w:w="11194" w:type="dxa"/>
          </w:tcPr>
          <w:p w14:paraId="000001B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Cardiology review: in the absence of specific clinical concern, a pre-op/pre-anesthesia echocardiogram and electrocardiogram are recommended if no prior studies have been performed within the preceding 24 months (Echo) or 12 months (ECG)</w:t>
            </w:r>
          </w:p>
        </w:tc>
        <w:tc>
          <w:tcPr>
            <w:tcW w:w="1701" w:type="dxa"/>
          </w:tcPr>
          <w:p w14:paraId="000001B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88.1%</w:t>
            </w:r>
          </w:p>
          <w:p w14:paraId="000001B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(37/42)</w:t>
            </w:r>
          </w:p>
        </w:tc>
      </w:tr>
      <w:tr w:rsidR="00BC52AF" w14:paraId="27881D8A" w14:textId="77777777">
        <w:tc>
          <w:tcPr>
            <w:tcW w:w="1701" w:type="dxa"/>
          </w:tcPr>
          <w:p w14:paraId="000001B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1BE" w14:textId="1408ED37" w:rsidR="00BC52AF" w:rsidRDefault="00E04452">
            <w:pPr>
              <w:spacing w:line="276" w:lineRule="auto"/>
              <w:rPr>
                <w:rFonts w:ascii="Arial" w:eastAsia="Arial" w:hAnsi="Arial" w:cs="Arial"/>
                <w:sz w:val="20"/>
                <w:szCs w:val="20"/>
              </w:rPr>
            </w:pPr>
            <w:r>
              <w:rPr>
                <w:rFonts w:ascii="Arial" w:eastAsia="Arial" w:hAnsi="Arial" w:cs="Arial"/>
                <w:sz w:val="20"/>
                <w:szCs w:val="20"/>
              </w:rPr>
              <w:t>Pulmonary/respiratory: consider patient’s history of chronic respiratory disease, asthma, or episodes of post</w:t>
            </w:r>
            <w:r w:rsidR="00B742B4">
              <w:rPr>
                <w:rFonts w:ascii="Arial" w:eastAsia="Arial" w:hAnsi="Arial" w:cs="Arial"/>
                <w:sz w:val="20"/>
                <w:szCs w:val="20"/>
              </w:rPr>
              <w:t>-</w:t>
            </w:r>
            <w:r>
              <w:rPr>
                <w:rFonts w:ascii="Arial" w:eastAsia="Arial" w:hAnsi="Arial" w:cs="Arial"/>
                <w:sz w:val="20"/>
                <w:szCs w:val="20"/>
              </w:rPr>
              <w:t>sedation respiratory distress. (Note</w:t>
            </w:r>
            <w:r w:rsidR="00B742B4">
              <w:rPr>
                <w:rFonts w:ascii="Arial" w:eastAsia="Arial" w:hAnsi="Arial" w:cs="Arial"/>
                <w:sz w:val="20"/>
                <w:szCs w:val="20"/>
              </w:rPr>
              <w:t xml:space="preserve">: </w:t>
            </w:r>
            <w:r>
              <w:rPr>
                <w:rFonts w:ascii="Arial" w:eastAsia="Arial" w:hAnsi="Arial" w:cs="Arial"/>
                <w:sz w:val="20"/>
                <w:szCs w:val="20"/>
              </w:rPr>
              <w:t>Glossal hypertrophy is a known complication in some patients with MPS</w:t>
            </w:r>
            <w:r w:rsidR="00B742B4">
              <w:rPr>
                <w:rFonts w:ascii="Arial" w:eastAsia="Arial" w:hAnsi="Arial" w:cs="Arial"/>
                <w:sz w:val="20"/>
                <w:szCs w:val="20"/>
              </w:rPr>
              <w:t xml:space="preserve"> </w:t>
            </w:r>
            <w:r>
              <w:rPr>
                <w:rFonts w:ascii="Arial" w:eastAsia="Arial" w:hAnsi="Arial" w:cs="Arial"/>
                <w:sz w:val="20"/>
                <w:szCs w:val="20"/>
              </w:rPr>
              <w:t xml:space="preserve">III </w:t>
            </w:r>
            <w:r w:rsidR="00B26FC2">
              <w:rPr>
                <w:rFonts w:ascii="Arial" w:eastAsia="Arial" w:hAnsi="Arial" w:cs="Arial"/>
                <w:sz w:val="20"/>
                <w:szCs w:val="20"/>
              </w:rPr>
              <w:t>[</w:t>
            </w:r>
            <w:r>
              <w:rPr>
                <w:rFonts w:ascii="Arial" w:eastAsia="Arial" w:hAnsi="Arial" w:cs="Arial"/>
                <w:sz w:val="20"/>
                <w:szCs w:val="20"/>
              </w:rPr>
              <w:t>39% in one natural history study</w:t>
            </w:r>
            <w:r w:rsidR="00B26FC2">
              <w:rPr>
                <w:rFonts w:ascii="Arial" w:eastAsia="Arial" w:hAnsi="Arial" w:cs="Arial"/>
                <w:sz w:val="20"/>
                <w:szCs w:val="20"/>
              </w:rPr>
              <w:t>]</w:t>
            </w:r>
            <w:r>
              <w:rPr>
                <w:rFonts w:ascii="Arial" w:eastAsia="Arial" w:hAnsi="Arial" w:cs="Arial"/>
                <w:sz w:val="20"/>
                <w:szCs w:val="20"/>
              </w:rPr>
              <w:t xml:space="preserve"> and should be considered in the airway assessment)</w:t>
            </w:r>
          </w:p>
        </w:tc>
        <w:tc>
          <w:tcPr>
            <w:tcW w:w="1701" w:type="dxa"/>
          </w:tcPr>
          <w:p w14:paraId="000001B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95.6%</w:t>
            </w:r>
          </w:p>
          <w:p w14:paraId="000001C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(43/45)</w:t>
            </w:r>
          </w:p>
        </w:tc>
      </w:tr>
      <w:tr w:rsidR="00BC52AF" w14:paraId="2BE210AC" w14:textId="77777777">
        <w:tc>
          <w:tcPr>
            <w:tcW w:w="1701" w:type="dxa"/>
          </w:tcPr>
          <w:p w14:paraId="000001C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1C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Heme review: for invasive procedures, pre-operative complete blood count and coagulation profile (PT, PTT) is recommended if not done in the preceding month</w:t>
            </w:r>
          </w:p>
        </w:tc>
        <w:tc>
          <w:tcPr>
            <w:tcW w:w="1701" w:type="dxa"/>
          </w:tcPr>
          <w:p w14:paraId="000001C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76.6%</w:t>
            </w:r>
          </w:p>
          <w:p w14:paraId="000001C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(36/47)</w:t>
            </w:r>
          </w:p>
        </w:tc>
      </w:tr>
      <w:tr w:rsidR="00BC52AF" w14:paraId="1AA672A6" w14:textId="77777777">
        <w:tc>
          <w:tcPr>
            <w:tcW w:w="1701" w:type="dxa"/>
          </w:tcPr>
          <w:p w14:paraId="000001C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1C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Neurologic review: note patient’s baseline neurologic status to include presence of autonomic instability, seizures, spasticity, movement disorder, neurobehavioral </w:t>
            </w:r>
            <w:proofErr w:type="gramStart"/>
            <w:r>
              <w:rPr>
                <w:rFonts w:ascii="Arial" w:eastAsia="Arial" w:hAnsi="Arial" w:cs="Arial"/>
                <w:sz w:val="20"/>
                <w:szCs w:val="20"/>
              </w:rPr>
              <w:t>symptoms</w:t>
            </w:r>
            <w:proofErr w:type="gramEnd"/>
            <w:r>
              <w:rPr>
                <w:rFonts w:ascii="Arial" w:eastAsia="Arial" w:hAnsi="Arial" w:cs="Arial"/>
                <w:sz w:val="20"/>
                <w:szCs w:val="20"/>
              </w:rPr>
              <w:t xml:space="preserve"> and associated medications</w:t>
            </w:r>
          </w:p>
        </w:tc>
        <w:tc>
          <w:tcPr>
            <w:tcW w:w="1701" w:type="dxa"/>
          </w:tcPr>
          <w:p w14:paraId="000001C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98.0%</w:t>
            </w:r>
          </w:p>
          <w:p w14:paraId="000001C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(50/51)</w:t>
            </w:r>
          </w:p>
        </w:tc>
      </w:tr>
    </w:tbl>
    <w:p w14:paraId="000001C9" w14:textId="77777777" w:rsidR="00BC52AF" w:rsidRPr="00D8143B" w:rsidRDefault="00BC52AF" w:rsidP="007777F6">
      <w:pPr>
        <w:spacing w:after="0" w:line="360" w:lineRule="auto"/>
        <w:rPr>
          <w:rFonts w:ascii="Arial" w:eastAsia="Arial" w:hAnsi="Arial" w:cs="Arial"/>
          <w:bCs/>
        </w:rPr>
      </w:pPr>
    </w:p>
    <w:p w14:paraId="000001CA" w14:textId="77777777" w:rsidR="00BC52AF" w:rsidRDefault="00E04452" w:rsidP="00804B4C">
      <w:pPr>
        <w:spacing w:after="0" w:line="360" w:lineRule="auto"/>
        <w:rPr>
          <w:rFonts w:ascii="Arial" w:eastAsia="Arial" w:hAnsi="Arial" w:cs="Arial"/>
          <w:b/>
        </w:rPr>
      </w:pPr>
      <w:r>
        <w:rPr>
          <w:rFonts w:ascii="Arial" w:eastAsia="Arial" w:hAnsi="Arial" w:cs="Arial"/>
          <w:b/>
        </w:rPr>
        <w:t>G. ENT/audiology considerations</w:t>
      </w:r>
    </w:p>
    <w:tbl>
      <w:tblPr>
        <w:tblStyle w:val="a6"/>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7E890DD0" w14:textId="77777777" w:rsidTr="00745713">
        <w:trPr>
          <w:tblHeader/>
        </w:trPr>
        <w:tc>
          <w:tcPr>
            <w:tcW w:w="1701" w:type="dxa"/>
            <w:vAlign w:val="center"/>
          </w:tcPr>
          <w:p w14:paraId="000001CB"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1CC"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1CD"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6AE3D7A6" w14:textId="77777777">
        <w:tc>
          <w:tcPr>
            <w:tcW w:w="1701" w:type="dxa"/>
          </w:tcPr>
          <w:p w14:paraId="000001C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C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Otolaryngologists and audiologists should consider the diagnosis of MPS III in children presenting with recurrent otitis, chronic nasal congestion, and any degree of hearing loss</w:t>
            </w:r>
          </w:p>
        </w:tc>
        <w:tc>
          <w:tcPr>
            <w:tcW w:w="1701" w:type="dxa"/>
          </w:tcPr>
          <w:p w14:paraId="000001D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88.4%</w:t>
            </w:r>
          </w:p>
          <w:p w14:paraId="000001D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(38/43)</w:t>
            </w:r>
          </w:p>
        </w:tc>
      </w:tr>
      <w:tr w:rsidR="00BC52AF" w14:paraId="41D4FB82" w14:textId="77777777">
        <w:tc>
          <w:tcPr>
            <w:tcW w:w="1701" w:type="dxa"/>
          </w:tcPr>
          <w:p w14:paraId="000001D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D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Early and aggressive management of hearing impairment and ear effusion should be performed to optimize language development during critical developmental windows and reduce impact on behavioral problems</w:t>
            </w:r>
          </w:p>
        </w:tc>
        <w:tc>
          <w:tcPr>
            <w:tcW w:w="1701" w:type="dxa"/>
          </w:tcPr>
          <w:p w14:paraId="000001D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98.0%</w:t>
            </w:r>
          </w:p>
          <w:p w14:paraId="000001D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(50/51)</w:t>
            </w:r>
          </w:p>
        </w:tc>
      </w:tr>
      <w:tr w:rsidR="00BC52AF" w14:paraId="22C17BFA" w14:textId="77777777">
        <w:tc>
          <w:tcPr>
            <w:tcW w:w="1701" w:type="dxa"/>
          </w:tcPr>
          <w:p w14:paraId="000001D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D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ENT examination and audiologic testing should be done at baseline just after diagnosis</w:t>
            </w:r>
          </w:p>
        </w:tc>
        <w:tc>
          <w:tcPr>
            <w:tcW w:w="1701" w:type="dxa"/>
          </w:tcPr>
          <w:p w14:paraId="000001D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96.2%</w:t>
            </w:r>
          </w:p>
          <w:p w14:paraId="000001D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(51/53)</w:t>
            </w:r>
          </w:p>
        </w:tc>
      </w:tr>
      <w:tr w:rsidR="00BC52AF" w14:paraId="73BDDFD0" w14:textId="77777777">
        <w:tc>
          <w:tcPr>
            <w:tcW w:w="1701" w:type="dxa"/>
          </w:tcPr>
          <w:p w14:paraId="000001D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D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Audiology evaluation should include assessments of both air and bone conduction</w:t>
            </w:r>
          </w:p>
        </w:tc>
        <w:tc>
          <w:tcPr>
            <w:tcW w:w="1701" w:type="dxa"/>
          </w:tcPr>
          <w:p w14:paraId="000001D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93.5%</w:t>
            </w:r>
          </w:p>
          <w:p w14:paraId="000001D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(43/46)</w:t>
            </w:r>
          </w:p>
        </w:tc>
      </w:tr>
      <w:tr w:rsidR="00BC52AF" w14:paraId="56401F07" w14:textId="77777777">
        <w:tc>
          <w:tcPr>
            <w:tcW w:w="1701" w:type="dxa"/>
          </w:tcPr>
          <w:p w14:paraId="000001D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D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Where hearing assessment is needed and behavioral testing is not possible, ABR testing under sedation or general anesthesia should be considered</w:t>
            </w:r>
          </w:p>
        </w:tc>
        <w:tc>
          <w:tcPr>
            <w:tcW w:w="1701" w:type="dxa"/>
          </w:tcPr>
          <w:p w14:paraId="000001E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87.0%</w:t>
            </w:r>
          </w:p>
          <w:p w14:paraId="000001E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(40/46)</w:t>
            </w:r>
          </w:p>
        </w:tc>
      </w:tr>
      <w:tr w:rsidR="00BC52AF" w14:paraId="74F3421B" w14:textId="77777777">
        <w:tc>
          <w:tcPr>
            <w:tcW w:w="1701" w:type="dxa"/>
          </w:tcPr>
          <w:p w14:paraId="000001E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E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ENT and audiology follow-up of patients should occur at least every 12 months and more frequently if there are recurrent episodes of otitis or suspected changes in hearing</w:t>
            </w:r>
          </w:p>
        </w:tc>
        <w:tc>
          <w:tcPr>
            <w:tcW w:w="1701" w:type="dxa"/>
          </w:tcPr>
          <w:p w14:paraId="000001E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93.5%</w:t>
            </w:r>
          </w:p>
          <w:p w14:paraId="000001E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(43/46)</w:t>
            </w:r>
          </w:p>
        </w:tc>
      </w:tr>
      <w:tr w:rsidR="00BC52AF" w14:paraId="333BFB99" w14:textId="77777777">
        <w:tc>
          <w:tcPr>
            <w:tcW w:w="1701" w:type="dxa"/>
          </w:tcPr>
          <w:p w14:paraId="000001E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E7" w14:textId="456565F4" w:rsidR="00BC52AF" w:rsidRDefault="00E04452">
            <w:pPr>
              <w:spacing w:line="276" w:lineRule="auto"/>
              <w:rPr>
                <w:rFonts w:ascii="Arial" w:eastAsia="Arial" w:hAnsi="Arial" w:cs="Arial"/>
                <w:sz w:val="20"/>
                <w:szCs w:val="20"/>
              </w:rPr>
            </w:pPr>
            <w:r>
              <w:rPr>
                <w:rFonts w:ascii="Arial" w:eastAsia="Arial" w:hAnsi="Arial" w:cs="Arial"/>
                <w:sz w:val="20"/>
                <w:szCs w:val="20"/>
              </w:rPr>
              <w:t>When there is identified hearing loss or otitis media with effusion, follow-up should be more frequent and at least every 6 months</w:t>
            </w:r>
            <w:r w:rsidR="00D8143B">
              <w:rPr>
                <w:rFonts w:ascii="Arial" w:eastAsia="Arial" w:hAnsi="Arial" w:cs="Arial"/>
                <w:sz w:val="20"/>
                <w:szCs w:val="20"/>
              </w:rPr>
              <w:t>,</w:t>
            </w:r>
            <w:r>
              <w:rPr>
                <w:rFonts w:ascii="Arial" w:eastAsia="Arial" w:hAnsi="Arial" w:cs="Arial"/>
                <w:sz w:val="20"/>
                <w:szCs w:val="20"/>
              </w:rPr>
              <w:t xml:space="preserve"> based on the individual child</w:t>
            </w:r>
          </w:p>
        </w:tc>
        <w:tc>
          <w:tcPr>
            <w:tcW w:w="1701" w:type="dxa"/>
          </w:tcPr>
          <w:p w14:paraId="000001E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93.5%</w:t>
            </w:r>
          </w:p>
          <w:p w14:paraId="000001E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(43/46)</w:t>
            </w:r>
          </w:p>
        </w:tc>
      </w:tr>
      <w:tr w:rsidR="00BC52AF" w14:paraId="1F2FE4BE" w14:textId="77777777">
        <w:tc>
          <w:tcPr>
            <w:tcW w:w="1701" w:type="dxa"/>
          </w:tcPr>
          <w:p w14:paraId="000001E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1E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If undergoing anesthesia, consider closer evaluation of the airway with fiberoptic scope to monitor progression of airway obstruction</w:t>
            </w:r>
          </w:p>
        </w:tc>
        <w:tc>
          <w:tcPr>
            <w:tcW w:w="1701" w:type="dxa"/>
          </w:tcPr>
          <w:p w14:paraId="000001E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85.4%</w:t>
            </w:r>
          </w:p>
          <w:p w14:paraId="000001E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(35/41)</w:t>
            </w:r>
          </w:p>
        </w:tc>
      </w:tr>
      <w:tr w:rsidR="00BC52AF" w14:paraId="0B66FD6E" w14:textId="77777777">
        <w:tc>
          <w:tcPr>
            <w:tcW w:w="1701" w:type="dxa"/>
          </w:tcPr>
          <w:p w14:paraId="000001E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lastRenderedPageBreak/>
              <w:t>Core</w:t>
            </w:r>
          </w:p>
        </w:tc>
        <w:tc>
          <w:tcPr>
            <w:tcW w:w="11194" w:type="dxa"/>
          </w:tcPr>
          <w:p w14:paraId="000001E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If the patient has signs and symptoms of obstructive sleep apnea along with adenoid and/or tonsillar hypertrophy, removal of adenoids and/or tonsils should be performed without delay</w:t>
            </w:r>
          </w:p>
        </w:tc>
        <w:tc>
          <w:tcPr>
            <w:tcW w:w="1701" w:type="dxa"/>
          </w:tcPr>
          <w:p w14:paraId="000001F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84.6%</w:t>
            </w:r>
          </w:p>
          <w:p w14:paraId="000001F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(33/39)</w:t>
            </w:r>
          </w:p>
        </w:tc>
      </w:tr>
      <w:tr w:rsidR="00BC52AF" w14:paraId="0915257A" w14:textId="77777777">
        <w:tc>
          <w:tcPr>
            <w:tcW w:w="1701" w:type="dxa"/>
          </w:tcPr>
          <w:p w14:paraId="000001F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F3" w14:textId="77777777" w:rsidR="00BC52AF" w:rsidRDefault="00E04452">
            <w:pPr>
              <w:spacing w:line="276" w:lineRule="auto"/>
              <w:rPr>
                <w:rFonts w:ascii="Arial" w:eastAsia="Arial" w:hAnsi="Arial" w:cs="Arial"/>
                <w:sz w:val="20"/>
                <w:szCs w:val="20"/>
              </w:rPr>
            </w:pPr>
            <w:bookmarkStart w:id="3" w:name="_Hlk99025110"/>
            <w:r>
              <w:rPr>
                <w:rFonts w:ascii="Arial" w:eastAsia="Arial" w:hAnsi="Arial" w:cs="Arial"/>
                <w:sz w:val="20"/>
                <w:szCs w:val="20"/>
              </w:rPr>
              <w:t xml:space="preserve">Continuous positive airways pressure </w:t>
            </w:r>
            <w:bookmarkEnd w:id="3"/>
            <w:r>
              <w:rPr>
                <w:rFonts w:ascii="Arial" w:eastAsia="Arial" w:hAnsi="Arial" w:cs="Arial"/>
                <w:sz w:val="20"/>
                <w:szCs w:val="20"/>
              </w:rPr>
              <w:t xml:space="preserve">(CPAP) therapy should be considered for patients who display the presence of </w:t>
            </w:r>
            <w:bookmarkStart w:id="4" w:name="_Hlk99025593"/>
            <w:r>
              <w:rPr>
                <w:rFonts w:ascii="Arial" w:eastAsia="Arial" w:hAnsi="Arial" w:cs="Arial"/>
                <w:sz w:val="20"/>
                <w:szCs w:val="20"/>
              </w:rPr>
              <w:t xml:space="preserve">obstructive sleep apnea </w:t>
            </w:r>
            <w:bookmarkEnd w:id="4"/>
            <w:r>
              <w:rPr>
                <w:rFonts w:ascii="Arial" w:eastAsia="Arial" w:hAnsi="Arial" w:cs="Arial"/>
                <w:sz w:val="20"/>
                <w:szCs w:val="20"/>
              </w:rPr>
              <w:t>(OSA) which persists after adenoidectomy and/or tonsillectomy regardless of behavioral challenges</w:t>
            </w:r>
          </w:p>
        </w:tc>
        <w:tc>
          <w:tcPr>
            <w:tcW w:w="1701" w:type="dxa"/>
          </w:tcPr>
          <w:p w14:paraId="000001F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86.0%</w:t>
            </w:r>
          </w:p>
          <w:p w14:paraId="000001F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(37/43)</w:t>
            </w:r>
          </w:p>
        </w:tc>
      </w:tr>
      <w:tr w:rsidR="00BC52AF" w14:paraId="0B4B7BDC" w14:textId="77777777">
        <w:tc>
          <w:tcPr>
            <w:tcW w:w="1701" w:type="dxa"/>
          </w:tcPr>
          <w:p w14:paraId="000001F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F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Consultation with anesthesiology and multidisciplinary team should be done before (ENT) surgery</w:t>
            </w:r>
          </w:p>
        </w:tc>
        <w:tc>
          <w:tcPr>
            <w:tcW w:w="1701" w:type="dxa"/>
          </w:tcPr>
          <w:p w14:paraId="000001F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96.0%</w:t>
            </w:r>
          </w:p>
          <w:p w14:paraId="000001F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(48/50)</w:t>
            </w:r>
          </w:p>
        </w:tc>
      </w:tr>
      <w:tr w:rsidR="00BC52AF" w14:paraId="69DB65C9" w14:textId="77777777">
        <w:tc>
          <w:tcPr>
            <w:tcW w:w="1701" w:type="dxa"/>
          </w:tcPr>
          <w:p w14:paraId="000001F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1F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The hearing needs of the child should always be clearly documented in the child’s records and care plans with accompanying advice on communication and hearing supports, particularly in the educational setting</w:t>
            </w:r>
          </w:p>
        </w:tc>
        <w:tc>
          <w:tcPr>
            <w:tcW w:w="1701" w:type="dxa"/>
          </w:tcPr>
          <w:p w14:paraId="000001F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100%</w:t>
            </w:r>
          </w:p>
          <w:p w14:paraId="000001F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(55/55)</w:t>
            </w:r>
          </w:p>
        </w:tc>
      </w:tr>
      <w:tr w:rsidR="00BC52AF" w14:paraId="20DCB912" w14:textId="77777777">
        <w:tc>
          <w:tcPr>
            <w:tcW w:w="1701" w:type="dxa"/>
          </w:tcPr>
          <w:p w14:paraId="000001F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1F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Any surgery, especially airway procedures, should be done as soon as possible after the diagnosis of the patient, before morphologic changes due to GAG accumulation in and around the airway take place, to decrease the complication rate, </w:t>
            </w:r>
            <w:proofErr w:type="gramStart"/>
            <w:r>
              <w:rPr>
                <w:rFonts w:ascii="Arial" w:eastAsia="Arial" w:hAnsi="Arial" w:cs="Arial"/>
                <w:sz w:val="20"/>
                <w:szCs w:val="20"/>
              </w:rPr>
              <w:t>morbidity</w:t>
            </w:r>
            <w:proofErr w:type="gramEnd"/>
            <w:r>
              <w:rPr>
                <w:rFonts w:ascii="Arial" w:eastAsia="Arial" w:hAnsi="Arial" w:cs="Arial"/>
                <w:sz w:val="20"/>
                <w:szCs w:val="20"/>
              </w:rPr>
              <w:t xml:space="preserve"> and mortality</w:t>
            </w:r>
          </w:p>
        </w:tc>
        <w:tc>
          <w:tcPr>
            <w:tcW w:w="1701" w:type="dxa"/>
          </w:tcPr>
          <w:p w14:paraId="0000020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78.0%</w:t>
            </w:r>
          </w:p>
          <w:p w14:paraId="0000020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(32/41)</w:t>
            </w:r>
          </w:p>
        </w:tc>
      </w:tr>
      <w:tr w:rsidR="00BC52AF" w14:paraId="4EB4B457" w14:textId="77777777">
        <w:tc>
          <w:tcPr>
            <w:tcW w:w="1701" w:type="dxa"/>
          </w:tcPr>
          <w:p w14:paraId="0000020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03" w14:textId="77777777" w:rsidR="00BC52AF" w:rsidRDefault="00E04452">
            <w:pPr>
              <w:spacing w:line="276" w:lineRule="auto"/>
            </w:pPr>
            <w:r>
              <w:rPr>
                <w:rFonts w:ascii="Arial" w:eastAsia="Arial" w:hAnsi="Arial" w:cs="Arial"/>
                <w:sz w:val="20"/>
                <w:szCs w:val="20"/>
              </w:rPr>
              <w:t>If conductive type of hearing loss is detected due to effusion in the ear (lasting more than 2 months bilaterally or 4 months unilaterally), grommets (ventilation tubes) should be inserted without delay to maximize hearing and reduce symptoms</w:t>
            </w:r>
          </w:p>
        </w:tc>
        <w:tc>
          <w:tcPr>
            <w:tcW w:w="1701" w:type="dxa"/>
          </w:tcPr>
          <w:p w14:paraId="0000020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89.5%</w:t>
            </w:r>
          </w:p>
          <w:p w14:paraId="0000020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(34/38)</w:t>
            </w:r>
          </w:p>
        </w:tc>
      </w:tr>
      <w:tr w:rsidR="00BC52AF" w14:paraId="05774E6B" w14:textId="77777777">
        <w:tc>
          <w:tcPr>
            <w:tcW w:w="1701" w:type="dxa"/>
          </w:tcPr>
          <w:p w14:paraId="0000020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20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The increased likelihood of return of the </w:t>
            </w:r>
            <w:bookmarkStart w:id="5" w:name="_Hlk99025536"/>
            <w:r>
              <w:rPr>
                <w:rFonts w:ascii="Arial" w:eastAsia="Arial" w:hAnsi="Arial" w:cs="Arial"/>
                <w:sz w:val="20"/>
                <w:szCs w:val="20"/>
              </w:rPr>
              <w:t xml:space="preserve">otitis media with effusion </w:t>
            </w:r>
            <w:bookmarkEnd w:id="5"/>
            <w:r>
              <w:rPr>
                <w:rFonts w:ascii="Arial" w:eastAsia="Arial" w:hAnsi="Arial" w:cs="Arial"/>
                <w:sz w:val="20"/>
                <w:szCs w:val="20"/>
              </w:rPr>
              <w:t xml:space="preserve">(OME) once the grommets have fallen out should be </w:t>
            </w:r>
            <w:proofErr w:type="gramStart"/>
            <w:r>
              <w:rPr>
                <w:rFonts w:ascii="Arial" w:eastAsia="Arial" w:hAnsi="Arial" w:cs="Arial"/>
                <w:sz w:val="20"/>
                <w:szCs w:val="20"/>
              </w:rPr>
              <w:t>taken into account</w:t>
            </w:r>
            <w:proofErr w:type="gramEnd"/>
            <w:r>
              <w:rPr>
                <w:rFonts w:ascii="Arial" w:eastAsia="Arial" w:hAnsi="Arial" w:cs="Arial"/>
                <w:sz w:val="20"/>
                <w:szCs w:val="20"/>
              </w:rPr>
              <w:t xml:space="preserve"> when considering the use of longer-term ventilation tubes</w:t>
            </w:r>
          </w:p>
        </w:tc>
        <w:tc>
          <w:tcPr>
            <w:tcW w:w="1701" w:type="dxa"/>
          </w:tcPr>
          <w:p w14:paraId="0000020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94.7%</w:t>
            </w:r>
          </w:p>
          <w:p w14:paraId="0000020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(36/38)</w:t>
            </w:r>
          </w:p>
        </w:tc>
      </w:tr>
      <w:tr w:rsidR="00BC52AF" w14:paraId="4D08060F" w14:textId="77777777">
        <w:tc>
          <w:tcPr>
            <w:tcW w:w="1701" w:type="dxa"/>
          </w:tcPr>
          <w:p w14:paraId="0000020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0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‘Behind the ear’ (BTE) hearing aids should be considered for patients with hearing loss</w:t>
            </w:r>
          </w:p>
        </w:tc>
        <w:tc>
          <w:tcPr>
            <w:tcW w:w="1701" w:type="dxa"/>
          </w:tcPr>
          <w:p w14:paraId="0000020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87.5%</w:t>
            </w:r>
          </w:p>
          <w:p w14:paraId="0000020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(35/40)</w:t>
            </w:r>
          </w:p>
        </w:tc>
      </w:tr>
      <w:tr w:rsidR="00BC52AF" w14:paraId="47DD4737" w14:textId="77777777">
        <w:tc>
          <w:tcPr>
            <w:tcW w:w="1701" w:type="dxa"/>
          </w:tcPr>
          <w:p w14:paraId="0000020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0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Behavior symptoms of the child should not be used as an excuse to not trial hearing aids, especially in the educational setting</w:t>
            </w:r>
          </w:p>
        </w:tc>
        <w:tc>
          <w:tcPr>
            <w:tcW w:w="1701" w:type="dxa"/>
          </w:tcPr>
          <w:p w14:paraId="0000021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92.6%</w:t>
            </w:r>
          </w:p>
          <w:p w14:paraId="0000021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(50/54)</w:t>
            </w:r>
          </w:p>
        </w:tc>
      </w:tr>
      <w:tr w:rsidR="00BC52AF" w14:paraId="0F01D3B0" w14:textId="77777777">
        <w:tc>
          <w:tcPr>
            <w:tcW w:w="1701" w:type="dxa"/>
          </w:tcPr>
          <w:p w14:paraId="0000021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1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Decisions on use of hearing devices should be made in close collaboration with the family</w:t>
            </w:r>
          </w:p>
        </w:tc>
        <w:tc>
          <w:tcPr>
            <w:tcW w:w="1701" w:type="dxa"/>
          </w:tcPr>
          <w:p w14:paraId="0000021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98.1%</w:t>
            </w:r>
          </w:p>
          <w:p w14:paraId="0000021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(53/54)</w:t>
            </w:r>
          </w:p>
        </w:tc>
      </w:tr>
      <w:tr w:rsidR="00BC52AF" w14:paraId="5422BE15" w14:textId="77777777">
        <w:tc>
          <w:tcPr>
            <w:tcW w:w="1701" w:type="dxa"/>
          </w:tcPr>
          <w:p w14:paraId="0000021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21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Bone conduction hearing devices may be considered for patients who do not tolerate BTE hearing aids and have a significant component of conductive hearing loss. Bone conduction devices will not assist with sensorineural hearing loss</w:t>
            </w:r>
          </w:p>
        </w:tc>
        <w:tc>
          <w:tcPr>
            <w:tcW w:w="1701" w:type="dxa"/>
          </w:tcPr>
          <w:p w14:paraId="0000021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81.8%</w:t>
            </w:r>
          </w:p>
          <w:p w14:paraId="0000021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(27/33)</w:t>
            </w:r>
          </w:p>
        </w:tc>
      </w:tr>
      <w:tr w:rsidR="00BC52AF" w14:paraId="53E31FD7" w14:textId="77777777">
        <w:tc>
          <w:tcPr>
            <w:tcW w:w="1701" w:type="dxa"/>
          </w:tcPr>
          <w:p w14:paraId="0000021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1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ENT surgery remains a fundamental therapeutic procedure for reducing the frequency and severity of ear infections and for relieving the symptoms of upper airway obstruction, even if these interventions are not definitive</w:t>
            </w:r>
          </w:p>
        </w:tc>
        <w:tc>
          <w:tcPr>
            <w:tcW w:w="1701" w:type="dxa"/>
          </w:tcPr>
          <w:p w14:paraId="0000021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87.5%</w:t>
            </w:r>
          </w:p>
          <w:p w14:paraId="0000021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(35/40)</w:t>
            </w:r>
          </w:p>
        </w:tc>
      </w:tr>
    </w:tbl>
    <w:p w14:paraId="0000021E" w14:textId="77777777" w:rsidR="00BC52AF" w:rsidRPr="00804B4C" w:rsidRDefault="00BC52AF" w:rsidP="007777F6">
      <w:pPr>
        <w:spacing w:after="0" w:line="360" w:lineRule="auto"/>
        <w:rPr>
          <w:rFonts w:ascii="Arial" w:eastAsia="Arial" w:hAnsi="Arial" w:cs="Arial"/>
          <w:bCs/>
        </w:rPr>
      </w:pPr>
    </w:p>
    <w:p w14:paraId="0000021F" w14:textId="77777777" w:rsidR="00BC52AF" w:rsidRDefault="00E04452" w:rsidP="00804B4C">
      <w:pPr>
        <w:spacing w:after="0" w:line="360" w:lineRule="auto"/>
        <w:rPr>
          <w:rFonts w:ascii="Arial" w:eastAsia="Arial" w:hAnsi="Arial" w:cs="Arial"/>
          <w:b/>
        </w:rPr>
      </w:pPr>
      <w:r>
        <w:rPr>
          <w:rFonts w:ascii="Arial" w:eastAsia="Arial" w:hAnsi="Arial" w:cs="Arial"/>
          <w:b/>
        </w:rPr>
        <w:t>H. Ophthalmology</w:t>
      </w:r>
    </w:p>
    <w:tbl>
      <w:tblPr>
        <w:tblStyle w:val="a7"/>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4B4970BE" w14:textId="77777777" w:rsidTr="00745713">
        <w:trPr>
          <w:tblHeader/>
        </w:trPr>
        <w:tc>
          <w:tcPr>
            <w:tcW w:w="1701" w:type="dxa"/>
            <w:vAlign w:val="center"/>
          </w:tcPr>
          <w:p w14:paraId="00000220"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221"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222"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5B77099B" w14:textId="77777777">
        <w:tc>
          <w:tcPr>
            <w:tcW w:w="1701" w:type="dxa"/>
          </w:tcPr>
          <w:p w14:paraId="0000022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2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Recommend full ophthalmologic evaluation by pediatric ophthalmologist at time of diagnosis and yearly or sooner if clinically indicated</w:t>
            </w:r>
          </w:p>
        </w:tc>
        <w:tc>
          <w:tcPr>
            <w:tcW w:w="1701" w:type="dxa"/>
          </w:tcPr>
          <w:p w14:paraId="0000022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90.7%</w:t>
            </w:r>
          </w:p>
          <w:p w14:paraId="0000022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(39/43)</w:t>
            </w:r>
          </w:p>
        </w:tc>
      </w:tr>
      <w:tr w:rsidR="00BC52AF" w14:paraId="00B85E52" w14:textId="77777777">
        <w:tc>
          <w:tcPr>
            <w:tcW w:w="1701" w:type="dxa"/>
          </w:tcPr>
          <w:p w14:paraId="0000022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lastRenderedPageBreak/>
              <w:t>Core</w:t>
            </w:r>
          </w:p>
        </w:tc>
        <w:tc>
          <w:tcPr>
            <w:tcW w:w="11194" w:type="dxa"/>
          </w:tcPr>
          <w:p w14:paraId="0000022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Ophthalmologic assessment should include assessment of vision in both eyes, orthoptic assessment, refraction, examination of anterior and posterior segment of the eye to include examination of the cornea, </w:t>
            </w:r>
            <w:proofErr w:type="gramStart"/>
            <w:r>
              <w:rPr>
                <w:rFonts w:ascii="Arial" w:eastAsia="Arial" w:hAnsi="Arial" w:cs="Arial"/>
                <w:sz w:val="20"/>
                <w:szCs w:val="20"/>
              </w:rPr>
              <w:t>retina</w:t>
            </w:r>
            <w:proofErr w:type="gramEnd"/>
            <w:r>
              <w:rPr>
                <w:rFonts w:ascii="Arial" w:eastAsia="Arial" w:hAnsi="Arial" w:cs="Arial"/>
                <w:sz w:val="20"/>
                <w:szCs w:val="20"/>
              </w:rPr>
              <w:t xml:space="preserve"> and optic nerve; and measurement of </w:t>
            </w:r>
            <w:bookmarkStart w:id="6" w:name="_Hlk99025275"/>
            <w:r>
              <w:rPr>
                <w:rFonts w:ascii="Arial" w:eastAsia="Arial" w:hAnsi="Arial" w:cs="Arial"/>
                <w:sz w:val="20"/>
                <w:szCs w:val="20"/>
              </w:rPr>
              <w:t>intraocular pressur</w:t>
            </w:r>
            <w:bookmarkEnd w:id="6"/>
            <w:r>
              <w:rPr>
                <w:rFonts w:ascii="Arial" w:eastAsia="Arial" w:hAnsi="Arial" w:cs="Arial"/>
                <w:sz w:val="20"/>
                <w:szCs w:val="20"/>
              </w:rPr>
              <w:t>e (IOP)</w:t>
            </w:r>
          </w:p>
        </w:tc>
        <w:tc>
          <w:tcPr>
            <w:tcW w:w="1701" w:type="dxa"/>
          </w:tcPr>
          <w:p w14:paraId="0000022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94.4%</w:t>
            </w:r>
          </w:p>
          <w:p w14:paraId="0000022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(34/36)</w:t>
            </w:r>
          </w:p>
        </w:tc>
      </w:tr>
      <w:tr w:rsidR="00BC52AF" w14:paraId="3C072F8E" w14:textId="77777777">
        <w:tc>
          <w:tcPr>
            <w:tcW w:w="1701" w:type="dxa"/>
          </w:tcPr>
          <w:p w14:paraId="0000022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2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If retinopathy is clinical suspected (due to symptoms of nyctalopia, visual field loss or reduction in vision, or signs of pigmentary retinal change), then electroretinogram may be helpful in confirming the diagnosis</w:t>
            </w:r>
          </w:p>
        </w:tc>
        <w:tc>
          <w:tcPr>
            <w:tcW w:w="1701" w:type="dxa"/>
          </w:tcPr>
          <w:p w14:paraId="0000022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93.1%</w:t>
            </w:r>
          </w:p>
          <w:p w14:paraId="0000022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(27/29)</w:t>
            </w:r>
          </w:p>
        </w:tc>
      </w:tr>
      <w:tr w:rsidR="00BC52AF" w14:paraId="7AB8242A" w14:textId="77777777">
        <w:tc>
          <w:tcPr>
            <w:tcW w:w="1701" w:type="dxa"/>
          </w:tcPr>
          <w:p w14:paraId="0000022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3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Some patients with significant behavioral challenges will require examination under anesthesia in which case risk/benefit must be weighed</w:t>
            </w:r>
          </w:p>
        </w:tc>
        <w:tc>
          <w:tcPr>
            <w:tcW w:w="1701" w:type="dxa"/>
          </w:tcPr>
          <w:p w14:paraId="0000023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95.5%</w:t>
            </w:r>
          </w:p>
          <w:p w14:paraId="0000023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(42/44)</w:t>
            </w:r>
          </w:p>
        </w:tc>
      </w:tr>
      <w:tr w:rsidR="00BC52AF" w14:paraId="055052CD" w14:textId="77777777">
        <w:tc>
          <w:tcPr>
            <w:tcW w:w="1701" w:type="dxa"/>
          </w:tcPr>
          <w:p w14:paraId="0000023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3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Patients with MPS III and retinal/visual impairment should be provided access to low vision supports and services in the home, community, and educational settings. Vision impairments and supports should be included as part of the </w:t>
            </w:r>
            <w:bookmarkStart w:id="7" w:name="_Hlk99025244"/>
            <w:r>
              <w:rPr>
                <w:rFonts w:ascii="Arial" w:eastAsia="Arial" w:hAnsi="Arial" w:cs="Arial"/>
                <w:sz w:val="20"/>
                <w:szCs w:val="20"/>
              </w:rPr>
              <w:t xml:space="preserve">individualized educational plan </w:t>
            </w:r>
            <w:bookmarkEnd w:id="7"/>
            <w:r>
              <w:rPr>
                <w:rFonts w:ascii="Arial" w:eastAsia="Arial" w:hAnsi="Arial" w:cs="Arial"/>
                <w:sz w:val="20"/>
                <w:szCs w:val="20"/>
              </w:rPr>
              <w:t>(IEP)</w:t>
            </w:r>
          </w:p>
        </w:tc>
        <w:tc>
          <w:tcPr>
            <w:tcW w:w="1701" w:type="dxa"/>
          </w:tcPr>
          <w:p w14:paraId="0000023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95.2%</w:t>
            </w:r>
          </w:p>
          <w:p w14:paraId="0000023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(40/42)</w:t>
            </w:r>
          </w:p>
        </w:tc>
      </w:tr>
    </w:tbl>
    <w:p w14:paraId="6CFF743A" w14:textId="77777777" w:rsidR="007777F6" w:rsidRPr="006318CA" w:rsidRDefault="007777F6" w:rsidP="007777F6">
      <w:pPr>
        <w:spacing w:after="0" w:line="360" w:lineRule="auto"/>
        <w:rPr>
          <w:rFonts w:ascii="Arial" w:eastAsia="Arial" w:hAnsi="Arial" w:cs="Arial"/>
          <w:bCs/>
        </w:rPr>
      </w:pPr>
    </w:p>
    <w:p w14:paraId="00000238" w14:textId="726B71BA" w:rsidR="00BC52AF" w:rsidRDefault="00E04452" w:rsidP="00804B4C">
      <w:pPr>
        <w:spacing w:after="0" w:line="360" w:lineRule="auto"/>
        <w:rPr>
          <w:rFonts w:ascii="Arial" w:eastAsia="Arial" w:hAnsi="Arial" w:cs="Arial"/>
          <w:b/>
        </w:rPr>
      </w:pPr>
      <w:r>
        <w:rPr>
          <w:rFonts w:ascii="Arial" w:eastAsia="Arial" w:hAnsi="Arial" w:cs="Arial"/>
          <w:b/>
        </w:rPr>
        <w:t>I. Dental</w:t>
      </w:r>
    </w:p>
    <w:tbl>
      <w:tblPr>
        <w:tblStyle w:val="a8"/>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7585398B" w14:textId="77777777" w:rsidTr="00745713">
        <w:trPr>
          <w:tblHeader/>
        </w:trPr>
        <w:tc>
          <w:tcPr>
            <w:tcW w:w="1701" w:type="dxa"/>
            <w:vAlign w:val="center"/>
          </w:tcPr>
          <w:p w14:paraId="00000239"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23A"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23B"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12FD76BF" w14:textId="77777777">
        <w:tc>
          <w:tcPr>
            <w:tcW w:w="1701" w:type="dxa"/>
          </w:tcPr>
          <w:p w14:paraId="0000023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3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Since patients with MPS disorders are at high risk for dental disease, basic good oral hygiene is recommended with twice daily brushing and avoidance of regular sugary drinks</w:t>
            </w:r>
          </w:p>
        </w:tc>
        <w:tc>
          <w:tcPr>
            <w:tcW w:w="1701" w:type="dxa"/>
          </w:tcPr>
          <w:p w14:paraId="0000023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98.0%</w:t>
            </w:r>
          </w:p>
          <w:p w14:paraId="0000023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(49/50)</w:t>
            </w:r>
          </w:p>
        </w:tc>
      </w:tr>
      <w:tr w:rsidR="00BC52AF" w14:paraId="20C12A92" w14:textId="77777777">
        <w:tc>
          <w:tcPr>
            <w:tcW w:w="1701" w:type="dxa"/>
          </w:tcPr>
          <w:p w14:paraId="0000024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4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In patients who have challenges clearing food from the oral cavity or who take daily sweetened liquid medications, offer water or wiping of the teeth after meals and snacks</w:t>
            </w:r>
          </w:p>
        </w:tc>
        <w:tc>
          <w:tcPr>
            <w:tcW w:w="1701" w:type="dxa"/>
          </w:tcPr>
          <w:p w14:paraId="0000024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97.8%</w:t>
            </w:r>
          </w:p>
          <w:p w14:paraId="0000024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(44/45)</w:t>
            </w:r>
          </w:p>
        </w:tc>
      </w:tr>
      <w:tr w:rsidR="00BC52AF" w14:paraId="2D8AEAD2" w14:textId="77777777">
        <w:tc>
          <w:tcPr>
            <w:tcW w:w="1701" w:type="dxa"/>
          </w:tcPr>
          <w:p w14:paraId="0000024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4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Dental sealants are recommended for MPS III patients to prevent and/or arrest dental caries in primary and/or permanent molars</w:t>
            </w:r>
          </w:p>
        </w:tc>
        <w:tc>
          <w:tcPr>
            <w:tcW w:w="1701" w:type="dxa"/>
          </w:tcPr>
          <w:p w14:paraId="0000024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90.0%</w:t>
            </w:r>
          </w:p>
          <w:p w14:paraId="0000024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(27/30)</w:t>
            </w:r>
          </w:p>
        </w:tc>
      </w:tr>
      <w:tr w:rsidR="00BC52AF" w14:paraId="455F5494" w14:textId="77777777">
        <w:tc>
          <w:tcPr>
            <w:tcW w:w="1701" w:type="dxa"/>
          </w:tcPr>
          <w:p w14:paraId="0000024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4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Dental sealants should be monitored for integrity at each dental visit and restored as indicted</w:t>
            </w:r>
          </w:p>
        </w:tc>
        <w:tc>
          <w:tcPr>
            <w:tcW w:w="1701" w:type="dxa"/>
          </w:tcPr>
          <w:p w14:paraId="0000024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88.2%</w:t>
            </w:r>
          </w:p>
          <w:p w14:paraId="0000024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(30/34)</w:t>
            </w:r>
          </w:p>
        </w:tc>
      </w:tr>
      <w:tr w:rsidR="00BC52AF" w14:paraId="753C86E2" w14:textId="77777777">
        <w:tc>
          <w:tcPr>
            <w:tcW w:w="1701" w:type="dxa"/>
          </w:tcPr>
          <w:p w14:paraId="0000024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24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Monitor for development of an open bite in children with MPS III with prolonged pacifier use</w:t>
            </w:r>
          </w:p>
        </w:tc>
        <w:tc>
          <w:tcPr>
            <w:tcW w:w="1701" w:type="dxa"/>
          </w:tcPr>
          <w:p w14:paraId="0000024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84.6%</w:t>
            </w:r>
          </w:p>
          <w:p w14:paraId="0000024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(33/39)</w:t>
            </w:r>
          </w:p>
        </w:tc>
      </w:tr>
      <w:tr w:rsidR="00BC52AF" w14:paraId="2E0F7321" w14:textId="77777777">
        <w:tc>
          <w:tcPr>
            <w:tcW w:w="1701" w:type="dxa"/>
          </w:tcPr>
          <w:p w14:paraId="0000025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25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Alternative oral sensory chewing devices, specifically designed for this need, are preferred alternatives to pacifier use</w:t>
            </w:r>
          </w:p>
        </w:tc>
        <w:tc>
          <w:tcPr>
            <w:tcW w:w="1701" w:type="dxa"/>
          </w:tcPr>
          <w:p w14:paraId="0000025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92.7%</w:t>
            </w:r>
          </w:p>
          <w:p w14:paraId="0000025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(38/41)</w:t>
            </w:r>
          </w:p>
        </w:tc>
      </w:tr>
      <w:tr w:rsidR="00BC52AF" w14:paraId="21C0898A" w14:textId="77777777">
        <w:tc>
          <w:tcPr>
            <w:tcW w:w="1701" w:type="dxa"/>
          </w:tcPr>
          <w:p w14:paraId="0000025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5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As brushing the teeth can be challenging in patients who dislike or do not understand this task, supports such as use of 3-sided toothbrush, bite block, and distraction techniques may be helpful</w:t>
            </w:r>
          </w:p>
        </w:tc>
        <w:tc>
          <w:tcPr>
            <w:tcW w:w="1701" w:type="dxa"/>
          </w:tcPr>
          <w:p w14:paraId="0000025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95.2%</w:t>
            </w:r>
          </w:p>
          <w:p w14:paraId="0000025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(40/42)</w:t>
            </w:r>
          </w:p>
        </w:tc>
      </w:tr>
      <w:tr w:rsidR="00BC52AF" w14:paraId="726930B9" w14:textId="77777777">
        <w:tc>
          <w:tcPr>
            <w:tcW w:w="1701" w:type="dxa"/>
          </w:tcPr>
          <w:p w14:paraId="0000025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5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Regular dental counseling, preventive applications and dental treatment must be included in the multidisciplinary team approach of MPS III patients</w:t>
            </w:r>
          </w:p>
        </w:tc>
        <w:tc>
          <w:tcPr>
            <w:tcW w:w="1701" w:type="dxa"/>
          </w:tcPr>
          <w:p w14:paraId="0000025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100%</w:t>
            </w:r>
          </w:p>
          <w:p w14:paraId="0000025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(49/49)</w:t>
            </w:r>
          </w:p>
        </w:tc>
      </w:tr>
      <w:tr w:rsidR="00BC52AF" w14:paraId="487F0EE2" w14:textId="77777777">
        <w:tc>
          <w:tcPr>
            <w:tcW w:w="1701" w:type="dxa"/>
          </w:tcPr>
          <w:p w14:paraId="0000025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25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Gingivitis may be treated with chlorhexidine application to gums with an oral sponge</w:t>
            </w:r>
          </w:p>
        </w:tc>
        <w:tc>
          <w:tcPr>
            <w:tcW w:w="1701" w:type="dxa"/>
          </w:tcPr>
          <w:p w14:paraId="0000025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76.7%</w:t>
            </w:r>
          </w:p>
          <w:p w14:paraId="0000025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lastRenderedPageBreak/>
              <w:t>(23/30)</w:t>
            </w:r>
          </w:p>
        </w:tc>
      </w:tr>
      <w:tr w:rsidR="00BC52AF" w14:paraId="4D6AE0AC" w14:textId="77777777">
        <w:tc>
          <w:tcPr>
            <w:tcW w:w="1701" w:type="dxa"/>
          </w:tcPr>
          <w:p w14:paraId="0000026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lastRenderedPageBreak/>
              <w:t>Core</w:t>
            </w:r>
          </w:p>
        </w:tc>
        <w:tc>
          <w:tcPr>
            <w:tcW w:w="11194" w:type="dxa"/>
          </w:tcPr>
          <w:p w14:paraId="0000026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If sedation is required for dental procedures, this should take place in a tertiary care facility with experienced anesthesia staff</w:t>
            </w:r>
          </w:p>
        </w:tc>
        <w:tc>
          <w:tcPr>
            <w:tcW w:w="1701" w:type="dxa"/>
          </w:tcPr>
          <w:p w14:paraId="0000026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91.5%</w:t>
            </w:r>
          </w:p>
          <w:p w14:paraId="0000026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(43/47)</w:t>
            </w:r>
          </w:p>
        </w:tc>
      </w:tr>
      <w:tr w:rsidR="00BC52AF" w14:paraId="183A07E5" w14:textId="77777777">
        <w:tc>
          <w:tcPr>
            <w:tcW w:w="1701" w:type="dxa"/>
          </w:tcPr>
          <w:p w14:paraId="0000026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6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Oral health problems should be ruled out in the setting of behavioral changes, agitation, distress, change in sleep patterns, change in eating habits, or a change in oral sensory behaviors</w:t>
            </w:r>
          </w:p>
        </w:tc>
        <w:tc>
          <w:tcPr>
            <w:tcW w:w="1701" w:type="dxa"/>
          </w:tcPr>
          <w:p w14:paraId="0000026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98.0%</w:t>
            </w:r>
          </w:p>
          <w:p w14:paraId="0000026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(50/51)</w:t>
            </w:r>
          </w:p>
        </w:tc>
      </w:tr>
    </w:tbl>
    <w:p w14:paraId="1F1ACA69" w14:textId="77777777" w:rsidR="007777F6" w:rsidRPr="006318CA" w:rsidRDefault="007777F6" w:rsidP="007777F6">
      <w:pPr>
        <w:spacing w:after="0" w:line="360" w:lineRule="auto"/>
        <w:rPr>
          <w:rFonts w:ascii="Arial" w:eastAsia="Arial" w:hAnsi="Arial" w:cs="Arial"/>
          <w:bCs/>
        </w:rPr>
      </w:pPr>
    </w:p>
    <w:p w14:paraId="00000269" w14:textId="5D4246CE" w:rsidR="00BC52AF" w:rsidRDefault="00E04452" w:rsidP="00804B4C">
      <w:pPr>
        <w:spacing w:after="0" w:line="360" w:lineRule="auto"/>
        <w:rPr>
          <w:rFonts w:ascii="Arial" w:eastAsia="Arial" w:hAnsi="Arial" w:cs="Arial"/>
          <w:b/>
        </w:rPr>
      </w:pPr>
      <w:r>
        <w:rPr>
          <w:rFonts w:ascii="Arial" w:eastAsia="Arial" w:hAnsi="Arial" w:cs="Arial"/>
          <w:b/>
        </w:rPr>
        <w:t>J. Nutritional and gastrointestinal management</w:t>
      </w:r>
    </w:p>
    <w:tbl>
      <w:tblPr>
        <w:tblStyle w:val="a9"/>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054D94C4" w14:textId="77777777" w:rsidTr="00745713">
        <w:trPr>
          <w:tblHeader/>
        </w:trPr>
        <w:tc>
          <w:tcPr>
            <w:tcW w:w="1701" w:type="dxa"/>
            <w:vAlign w:val="center"/>
          </w:tcPr>
          <w:p w14:paraId="0000026A"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26B"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26C"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0C50DC01" w14:textId="77777777">
        <w:tc>
          <w:tcPr>
            <w:tcW w:w="1701" w:type="dxa"/>
          </w:tcPr>
          <w:p w14:paraId="0000026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6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Recommend monitoring patients for gastroesophageal reflux and considering trial of anti-reflux medication and/or diet modification in the setting of increased behavioral distress, increased sleep disturbance, and/or other clinical signs are present</w:t>
            </w:r>
          </w:p>
        </w:tc>
        <w:tc>
          <w:tcPr>
            <w:tcW w:w="1701" w:type="dxa"/>
          </w:tcPr>
          <w:p w14:paraId="0000026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97.7%</w:t>
            </w:r>
          </w:p>
          <w:p w14:paraId="0000027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(42/43)</w:t>
            </w:r>
          </w:p>
        </w:tc>
      </w:tr>
      <w:tr w:rsidR="00BC52AF" w14:paraId="1514B9B4" w14:textId="77777777">
        <w:tc>
          <w:tcPr>
            <w:tcW w:w="1701" w:type="dxa"/>
          </w:tcPr>
          <w:p w14:paraId="0000027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7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Stooling issues can be a source of discomfort and distress for patients that may manifest through an increase in behavioral disturbances, heightened sleep disturbance or other alternative expressions of pain</w:t>
            </w:r>
          </w:p>
        </w:tc>
        <w:tc>
          <w:tcPr>
            <w:tcW w:w="1701" w:type="dxa"/>
          </w:tcPr>
          <w:p w14:paraId="0000027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97.9%</w:t>
            </w:r>
          </w:p>
          <w:p w14:paraId="0000027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(47/48)</w:t>
            </w:r>
          </w:p>
        </w:tc>
      </w:tr>
      <w:tr w:rsidR="00BC52AF" w14:paraId="5724EFBA" w14:textId="77777777">
        <w:tc>
          <w:tcPr>
            <w:tcW w:w="1701" w:type="dxa"/>
          </w:tcPr>
          <w:p w14:paraId="0000027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7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Non-infectious loose stools are common in patients with MPS III. This should be noted in the care plan, particularly for all care providers in the educational and therapeutic settings and should not be a cause for exclusion from those activities</w:t>
            </w:r>
          </w:p>
        </w:tc>
        <w:tc>
          <w:tcPr>
            <w:tcW w:w="1701" w:type="dxa"/>
          </w:tcPr>
          <w:p w14:paraId="0000027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88.6%</w:t>
            </w:r>
          </w:p>
          <w:p w14:paraId="0000027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(39/44)</w:t>
            </w:r>
          </w:p>
        </w:tc>
      </w:tr>
      <w:tr w:rsidR="00BC52AF" w14:paraId="3F0D9B65" w14:textId="77777777">
        <w:tc>
          <w:tcPr>
            <w:tcW w:w="1701" w:type="dxa"/>
          </w:tcPr>
          <w:p w14:paraId="0000027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7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Constipation can be a source of discomfort and behavioral disturbances, particularly as the patient loses mobility and experiences more neurologic impairment. Therapeutic maintenance regimens should aim for consistent and adequate elimination to maintain patient comfort and health</w:t>
            </w:r>
          </w:p>
        </w:tc>
        <w:tc>
          <w:tcPr>
            <w:tcW w:w="1701" w:type="dxa"/>
          </w:tcPr>
          <w:p w14:paraId="0000027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97.9%</w:t>
            </w:r>
          </w:p>
          <w:p w14:paraId="0000027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(46/47)</w:t>
            </w:r>
          </w:p>
        </w:tc>
      </w:tr>
      <w:tr w:rsidR="00BC52AF" w14:paraId="080F4FF4" w14:textId="77777777">
        <w:tc>
          <w:tcPr>
            <w:tcW w:w="1701" w:type="dxa"/>
          </w:tcPr>
          <w:p w14:paraId="0000027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7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Elevations in liver enzymes and hepatomegaly are common findings in MPS III but typically do not</w:t>
            </w:r>
          </w:p>
          <w:p w14:paraId="0000027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require intervention</w:t>
            </w:r>
          </w:p>
          <w:p w14:paraId="00000280" w14:textId="5C599B1E" w:rsidR="00BC52AF" w:rsidRDefault="00E04452">
            <w:pPr>
              <w:numPr>
                <w:ilvl w:val="0"/>
                <w:numId w:val="1"/>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ALT levels in MPS</w:t>
            </w:r>
            <w:r w:rsidR="004347BA">
              <w:rPr>
                <w:rFonts w:ascii="Arial" w:eastAsia="Arial" w:hAnsi="Arial" w:cs="Arial"/>
                <w:color w:val="000000"/>
                <w:sz w:val="20"/>
                <w:szCs w:val="20"/>
              </w:rPr>
              <w:t xml:space="preserve"> </w:t>
            </w:r>
            <w:r>
              <w:rPr>
                <w:rFonts w:ascii="Arial" w:eastAsia="Arial" w:hAnsi="Arial" w:cs="Arial"/>
                <w:color w:val="000000"/>
                <w:sz w:val="20"/>
                <w:szCs w:val="20"/>
              </w:rPr>
              <w:t>III A&amp;B may be seen up to 3.5-times upper limit of normal</w:t>
            </w:r>
          </w:p>
          <w:p w14:paraId="00000281" w14:textId="0437DC0C" w:rsidR="00BC52AF" w:rsidRDefault="00E04452">
            <w:pPr>
              <w:numPr>
                <w:ilvl w:val="0"/>
                <w:numId w:val="1"/>
              </w:numPr>
              <w:pBdr>
                <w:top w:val="nil"/>
                <w:left w:val="nil"/>
                <w:bottom w:val="nil"/>
                <w:right w:val="nil"/>
                <w:between w:val="nil"/>
              </w:pBdr>
              <w:spacing w:after="160" w:line="276" w:lineRule="auto"/>
              <w:rPr>
                <w:rFonts w:ascii="Arial" w:eastAsia="Arial" w:hAnsi="Arial" w:cs="Arial"/>
                <w:color w:val="000000"/>
                <w:sz w:val="20"/>
                <w:szCs w:val="20"/>
              </w:rPr>
            </w:pPr>
            <w:r>
              <w:rPr>
                <w:rFonts w:ascii="Arial" w:eastAsia="Arial" w:hAnsi="Arial" w:cs="Arial"/>
                <w:color w:val="000000"/>
                <w:sz w:val="20"/>
                <w:szCs w:val="20"/>
              </w:rPr>
              <w:t>AST levels in MPS</w:t>
            </w:r>
            <w:r w:rsidR="004347BA">
              <w:rPr>
                <w:rFonts w:ascii="Arial" w:eastAsia="Arial" w:hAnsi="Arial" w:cs="Arial"/>
                <w:color w:val="000000"/>
                <w:sz w:val="20"/>
                <w:szCs w:val="20"/>
              </w:rPr>
              <w:t xml:space="preserve"> </w:t>
            </w:r>
            <w:r>
              <w:rPr>
                <w:rFonts w:ascii="Arial" w:eastAsia="Arial" w:hAnsi="Arial" w:cs="Arial"/>
                <w:color w:val="000000"/>
                <w:sz w:val="20"/>
                <w:szCs w:val="20"/>
              </w:rPr>
              <w:t>III A&amp;B may be seen up to 1.5-times upper limit of normal</w:t>
            </w:r>
          </w:p>
        </w:tc>
        <w:tc>
          <w:tcPr>
            <w:tcW w:w="1701" w:type="dxa"/>
          </w:tcPr>
          <w:p w14:paraId="0000028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91.7%</w:t>
            </w:r>
          </w:p>
          <w:p w14:paraId="0000028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(33/36)</w:t>
            </w:r>
          </w:p>
        </w:tc>
      </w:tr>
      <w:tr w:rsidR="00BC52AF" w14:paraId="4E7B0A73" w14:textId="77777777">
        <w:tc>
          <w:tcPr>
            <w:tcW w:w="1701" w:type="dxa"/>
          </w:tcPr>
          <w:p w14:paraId="0000028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8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Hernias of the umbilicus and inguinal area are often found in patients with MPS III but do not routinely require intervention. Observation only and monitoring on routine exam is recommended unless they become large or symptomatic</w:t>
            </w:r>
          </w:p>
        </w:tc>
        <w:tc>
          <w:tcPr>
            <w:tcW w:w="1701" w:type="dxa"/>
          </w:tcPr>
          <w:p w14:paraId="0000028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89.7%</w:t>
            </w:r>
          </w:p>
          <w:p w14:paraId="0000028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(35/39)</w:t>
            </w:r>
          </w:p>
        </w:tc>
      </w:tr>
      <w:tr w:rsidR="00BC52AF" w14:paraId="614CAA34" w14:textId="77777777">
        <w:tc>
          <w:tcPr>
            <w:tcW w:w="1701" w:type="dxa"/>
          </w:tcPr>
          <w:p w14:paraId="0000028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8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Dietician referral is recommended for patients who have significantly self-limited diet, those experiencing weight loss or poor growth, sensory needs limiting proper nutrition, decline of </w:t>
            </w:r>
            <w:proofErr w:type="spellStart"/>
            <w:r>
              <w:rPr>
                <w:rFonts w:ascii="Arial" w:eastAsia="Arial" w:hAnsi="Arial" w:cs="Arial"/>
                <w:sz w:val="20"/>
                <w:szCs w:val="20"/>
              </w:rPr>
              <w:t>oromotor</w:t>
            </w:r>
            <w:proofErr w:type="spellEnd"/>
            <w:r>
              <w:rPr>
                <w:rFonts w:ascii="Arial" w:eastAsia="Arial" w:hAnsi="Arial" w:cs="Arial"/>
                <w:sz w:val="20"/>
                <w:szCs w:val="20"/>
              </w:rPr>
              <w:t xml:space="preserve"> skills impairing normal caloric intake in a reasonable time frame. Often referral should be made in conjunction with referral/consultation of a Speech Therapy Feeding specialist</w:t>
            </w:r>
          </w:p>
        </w:tc>
        <w:tc>
          <w:tcPr>
            <w:tcW w:w="1701" w:type="dxa"/>
          </w:tcPr>
          <w:p w14:paraId="0000028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95.9%</w:t>
            </w:r>
          </w:p>
          <w:p w14:paraId="0000028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(47/49)</w:t>
            </w:r>
          </w:p>
        </w:tc>
      </w:tr>
      <w:tr w:rsidR="00BC52AF" w14:paraId="552A7138" w14:textId="77777777">
        <w:tc>
          <w:tcPr>
            <w:tcW w:w="1701" w:type="dxa"/>
          </w:tcPr>
          <w:p w14:paraId="0000028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8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In cases of inadequate nutrition via oral feeding or presence of significant risk of aspiration or history of aspiration pneumonia, placement of an enteral feeding tube should be considered jointly with the family</w:t>
            </w:r>
          </w:p>
        </w:tc>
        <w:tc>
          <w:tcPr>
            <w:tcW w:w="1701" w:type="dxa"/>
          </w:tcPr>
          <w:p w14:paraId="0000028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93.8%</w:t>
            </w:r>
          </w:p>
          <w:p w14:paraId="0000028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(45/48)</w:t>
            </w:r>
          </w:p>
        </w:tc>
      </w:tr>
      <w:tr w:rsidR="00BC52AF" w14:paraId="58465380" w14:textId="77777777">
        <w:tc>
          <w:tcPr>
            <w:tcW w:w="1701" w:type="dxa"/>
          </w:tcPr>
          <w:p w14:paraId="0000029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29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Monitoring and restoration of micronutrient deficiencies is recommended to support metabolic functions</w:t>
            </w:r>
          </w:p>
        </w:tc>
        <w:tc>
          <w:tcPr>
            <w:tcW w:w="1701" w:type="dxa"/>
          </w:tcPr>
          <w:p w14:paraId="0000029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90.2%</w:t>
            </w:r>
          </w:p>
          <w:p w14:paraId="0000029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lastRenderedPageBreak/>
              <w:t>(37/41)</w:t>
            </w:r>
          </w:p>
        </w:tc>
      </w:tr>
    </w:tbl>
    <w:p w14:paraId="61D3E300" w14:textId="77777777" w:rsidR="007777F6" w:rsidRPr="006318CA" w:rsidRDefault="007777F6" w:rsidP="007777F6">
      <w:pPr>
        <w:spacing w:after="0" w:line="360" w:lineRule="auto"/>
        <w:rPr>
          <w:rFonts w:ascii="Arial" w:eastAsia="Arial" w:hAnsi="Arial" w:cs="Arial"/>
          <w:bCs/>
        </w:rPr>
      </w:pPr>
    </w:p>
    <w:p w14:paraId="00000295" w14:textId="6E01652A" w:rsidR="00BC52AF" w:rsidRDefault="00E04452" w:rsidP="00804B4C">
      <w:pPr>
        <w:spacing w:after="0" w:line="360" w:lineRule="auto"/>
        <w:rPr>
          <w:rFonts w:ascii="Arial" w:eastAsia="Arial" w:hAnsi="Arial" w:cs="Arial"/>
          <w:b/>
        </w:rPr>
      </w:pPr>
      <w:r>
        <w:rPr>
          <w:rFonts w:ascii="Arial" w:eastAsia="Arial" w:hAnsi="Arial" w:cs="Arial"/>
          <w:b/>
        </w:rPr>
        <w:t>K. Cardiology</w:t>
      </w:r>
    </w:p>
    <w:tbl>
      <w:tblPr>
        <w:tblStyle w:val="aa"/>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1CFE2D65" w14:textId="77777777" w:rsidTr="00745713">
        <w:tc>
          <w:tcPr>
            <w:tcW w:w="1701" w:type="dxa"/>
            <w:vAlign w:val="center"/>
          </w:tcPr>
          <w:p w14:paraId="00000296"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297"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298"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5E2031A3" w14:textId="77777777">
        <w:tc>
          <w:tcPr>
            <w:tcW w:w="1701" w:type="dxa"/>
          </w:tcPr>
          <w:p w14:paraId="0000029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9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All individuals with MPS III should have baseline cardiac evaluation at diagnosis to include a physical exam, vital signs, echocardiogram, and electrocardiogram</w:t>
            </w:r>
          </w:p>
        </w:tc>
        <w:tc>
          <w:tcPr>
            <w:tcW w:w="1701" w:type="dxa"/>
          </w:tcPr>
          <w:p w14:paraId="0000029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96.0%</w:t>
            </w:r>
          </w:p>
          <w:p w14:paraId="0000029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(48/50)</w:t>
            </w:r>
          </w:p>
        </w:tc>
      </w:tr>
      <w:tr w:rsidR="00BC52AF" w14:paraId="141D3207" w14:textId="77777777">
        <w:tc>
          <w:tcPr>
            <w:tcW w:w="1701" w:type="dxa"/>
          </w:tcPr>
          <w:p w14:paraId="0000029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9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Parents/caregivers should be encouraged to assist in strategies for calming and comforting the patient to complete the necessary tests and exam. If necessary, tests may be done under anesthesia when coordinated with other procedures</w:t>
            </w:r>
          </w:p>
        </w:tc>
        <w:tc>
          <w:tcPr>
            <w:tcW w:w="1701" w:type="dxa"/>
          </w:tcPr>
          <w:p w14:paraId="0000029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94.5%</w:t>
            </w:r>
          </w:p>
          <w:p w14:paraId="000002A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(52/55)</w:t>
            </w:r>
          </w:p>
        </w:tc>
      </w:tr>
      <w:tr w:rsidR="00BC52AF" w14:paraId="3F14FB07" w14:textId="77777777">
        <w:tc>
          <w:tcPr>
            <w:tcW w:w="1701" w:type="dxa"/>
          </w:tcPr>
          <w:p w14:paraId="000002A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A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Echocardiogram is recommended every 24 months if no abnormalities are noted at initial echocardiogram. If abnormalities are noted on initial or subsequent echocardiograms, frequency should increase to every 12 months. More frequent echocardiograms are to be performed as indicated based on the individual child's findings</w:t>
            </w:r>
          </w:p>
        </w:tc>
        <w:tc>
          <w:tcPr>
            <w:tcW w:w="1701" w:type="dxa"/>
          </w:tcPr>
          <w:p w14:paraId="000002A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86.0%</w:t>
            </w:r>
          </w:p>
          <w:p w14:paraId="000002A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(37/43)</w:t>
            </w:r>
          </w:p>
        </w:tc>
      </w:tr>
      <w:tr w:rsidR="00BC52AF" w14:paraId="22EF1622" w14:textId="77777777">
        <w:tc>
          <w:tcPr>
            <w:tcW w:w="1701" w:type="dxa"/>
          </w:tcPr>
          <w:p w14:paraId="000002A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A6" w14:textId="5C50849A"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12-lead </w:t>
            </w:r>
            <w:r w:rsidR="004347BA">
              <w:rPr>
                <w:rFonts w:ascii="Arial" w:eastAsia="Arial" w:hAnsi="Arial" w:cs="Arial"/>
                <w:sz w:val="20"/>
                <w:szCs w:val="20"/>
              </w:rPr>
              <w:t>e</w:t>
            </w:r>
            <w:r>
              <w:rPr>
                <w:rFonts w:ascii="Arial" w:eastAsia="Arial" w:hAnsi="Arial" w:cs="Arial"/>
                <w:sz w:val="20"/>
                <w:szCs w:val="20"/>
              </w:rPr>
              <w:t xml:space="preserve">lectrocardiogram and rhythm strip </w:t>
            </w:r>
            <w:proofErr w:type="gramStart"/>
            <w:r>
              <w:rPr>
                <w:rFonts w:ascii="Arial" w:eastAsia="Arial" w:hAnsi="Arial" w:cs="Arial"/>
                <w:sz w:val="20"/>
                <w:szCs w:val="20"/>
              </w:rPr>
              <w:t>is</w:t>
            </w:r>
            <w:proofErr w:type="gramEnd"/>
            <w:r>
              <w:rPr>
                <w:rFonts w:ascii="Arial" w:eastAsia="Arial" w:hAnsi="Arial" w:cs="Arial"/>
                <w:sz w:val="20"/>
                <w:szCs w:val="20"/>
              </w:rPr>
              <w:t xml:space="preserve"> recommended every 12 months and as needed due to difficulty assessing symptoms in patients with MPS III (Note: storage of heparan sulfate in the cardiac conduction system may trigger AV block)</w:t>
            </w:r>
          </w:p>
        </w:tc>
        <w:tc>
          <w:tcPr>
            <w:tcW w:w="1701" w:type="dxa"/>
          </w:tcPr>
          <w:p w14:paraId="000002A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81.0%</w:t>
            </w:r>
          </w:p>
          <w:p w14:paraId="000002A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(34/42)</w:t>
            </w:r>
          </w:p>
        </w:tc>
      </w:tr>
      <w:tr w:rsidR="00BC52AF" w14:paraId="4930E0FB" w14:textId="77777777">
        <w:tc>
          <w:tcPr>
            <w:tcW w:w="1701" w:type="dxa"/>
          </w:tcPr>
          <w:p w14:paraId="000002A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AA" w14:textId="03933286"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If </w:t>
            </w:r>
            <w:r w:rsidR="001A392E">
              <w:rPr>
                <w:rFonts w:ascii="Arial" w:eastAsia="Arial" w:hAnsi="Arial" w:cs="Arial"/>
                <w:sz w:val="20"/>
                <w:szCs w:val="20"/>
              </w:rPr>
              <w:t>e</w:t>
            </w:r>
            <w:r>
              <w:rPr>
                <w:rFonts w:ascii="Arial" w:eastAsia="Arial" w:hAnsi="Arial" w:cs="Arial"/>
                <w:sz w:val="20"/>
                <w:szCs w:val="20"/>
              </w:rPr>
              <w:t>lectrocardiogram is abnormal, a Holter monitor should be placed for 24-48 hours for a more thorough evaluation</w:t>
            </w:r>
          </w:p>
        </w:tc>
        <w:tc>
          <w:tcPr>
            <w:tcW w:w="1701" w:type="dxa"/>
          </w:tcPr>
          <w:p w14:paraId="000002A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80.5%</w:t>
            </w:r>
          </w:p>
          <w:p w14:paraId="000002A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(33/31)</w:t>
            </w:r>
          </w:p>
        </w:tc>
      </w:tr>
    </w:tbl>
    <w:p w14:paraId="18B8746F" w14:textId="77777777" w:rsidR="007777F6" w:rsidRPr="006318CA" w:rsidRDefault="007777F6" w:rsidP="007777F6">
      <w:pPr>
        <w:spacing w:after="0" w:line="360" w:lineRule="auto"/>
        <w:rPr>
          <w:rFonts w:ascii="Arial" w:eastAsia="Arial" w:hAnsi="Arial" w:cs="Arial"/>
          <w:bCs/>
        </w:rPr>
      </w:pPr>
    </w:p>
    <w:p w14:paraId="000002AE" w14:textId="77777777" w:rsidR="00BC52AF" w:rsidRDefault="00E04452" w:rsidP="00804B4C">
      <w:pPr>
        <w:spacing w:after="0" w:line="360" w:lineRule="auto"/>
        <w:rPr>
          <w:rFonts w:ascii="Arial" w:eastAsia="Arial" w:hAnsi="Arial" w:cs="Arial"/>
          <w:b/>
        </w:rPr>
      </w:pPr>
      <w:r>
        <w:rPr>
          <w:rFonts w:ascii="Arial" w:eastAsia="Arial" w:hAnsi="Arial" w:cs="Arial"/>
          <w:b/>
        </w:rPr>
        <w:t>L. Management of orthopedic complications</w:t>
      </w:r>
    </w:p>
    <w:tbl>
      <w:tblPr>
        <w:tblStyle w:val="ab"/>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7333D3B9" w14:textId="77777777" w:rsidTr="00745713">
        <w:trPr>
          <w:tblHeader/>
        </w:trPr>
        <w:tc>
          <w:tcPr>
            <w:tcW w:w="1701" w:type="dxa"/>
            <w:vAlign w:val="center"/>
          </w:tcPr>
          <w:p w14:paraId="000002AF"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2B0"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2B1"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264E588B" w14:textId="77777777">
        <w:tc>
          <w:tcPr>
            <w:tcW w:w="1701" w:type="dxa"/>
          </w:tcPr>
          <w:p w14:paraId="000002B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B3" w14:textId="4105EBDD"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Recommend pediatric orthopedic referral for baseline exam, scoliosis series </w:t>
            </w:r>
            <w:r w:rsidR="00A56532">
              <w:rPr>
                <w:rFonts w:ascii="Arial" w:eastAsia="Arial" w:hAnsi="Arial" w:cs="Arial"/>
                <w:sz w:val="20"/>
                <w:szCs w:val="20"/>
              </w:rPr>
              <w:t>X</w:t>
            </w:r>
            <w:r>
              <w:rPr>
                <w:rFonts w:ascii="Arial" w:eastAsia="Arial" w:hAnsi="Arial" w:cs="Arial"/>
                <w:sz w:val="20"/>
                <w:szCs w:val="20"/>
              </w:rPr>
              <w:t>-rays and bilateral hip X-rays at the time of diagnosis and every 1–2 years from age 7 onwards or sooner</w:t>
            </w:r>
            <w:r w:rsidR="001A392E">
              <w:rPr>
                <w:rFonts w:ascii="Arial" w:eastAsia="Arial" w:hAnsi="Arial" w:cs="Arial"/>
                <w:sz w:val="20"/>
                <w:szCs w:val="20"/>
              </w:rPr>
              <w:t>,</w:t>
            </w:r>
            <w:r>
              <w:rPr>
                <w:rFonts w:ascii="Arial" w:eastAsia="Arial" w:hAnsi="Arial" w:cs="Arial"/>
                <w:sz w:val="20"/>
                <w:szCs w:val="20"/>
              </w:rPr>
              <w:t xml:space="preserve"> if clinically indicated. Patients with significantly attenuated disease phenotypes may need less frequent monitoring</w:t>
            </w:r>
          </w:p>
        </w:tc>
        <w:tc>
          <w:tcPr>
            <w:tcW w:w="1701" w:type="dxa"/>
          </w:tcPr>
          <w:p w14:paraId="000002B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77.3%</w:t>
            </w:r>
          </w:p>
          <w:p w14:paraId="000002B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(34/44)</w:t>
            </w:r>
          </w:p>
        </w:tc>
      </w:tr>
      <w:tr w:rsidR="00BC52AF" w14:paraId="26A79B8C" w14:textId="77777777">
        <w:tc>
          <w:tcPr>
            <w:tcW w:w="1701" w:type="dxa"/>
          </w:tcPr>
          <w:p w14:paraId="000002B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B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After initial baseline full spine films, routine monitoring for cervical spine instability is not recommended unless there is clinical suspicion</w:t>
            </w:r>
          </w:p>
        </w:tc>
        <w:tc>
          <w:tcPr>
            <w:tcW w:w="1701" w:type="dxa"/>
          </w:tcPr>
          <w:p w14:paraId="000002B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90.2%</w:t>
            </w:r>
          </w:p>
          <w:p w14:paraId="000002B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(37/41)</w:t>
            </w:r>
          </w:p>
        </w:tc>
      </w:tr>
      <w:tr w:rsidR="00BC52AF" w14:paraId="0707158A" w14:textId="77777777">
        <w:tc>
          <w:tcPr>
            <w:tcW w:w="1701" w:type="dxa"/>
          </w:tcPr>
          <w:p w14:paraId="000002B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B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Monitor for other orthopedic findings at routine yearly visits: trigger finger, genu valgus deformity, femoral anteversion and tibial torsion that do not appear to improve or if are worsening with age</w:t>
            </w:r>
          </w:p>
        </w:tc>
        <w:tc>
          <w:tcPr>
            <w:tcW w:w="1701" w:type="dxa"/>
          </w:tcPr>
          <w:p w14:paraId="000002B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90.7%</w:t>
            </w:r>
          </w:p>
          <w:p w14:paraId="000002B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(39/43)</w:t>
            </w:r>
          </w:p>
        </w:tc>
      </w:tr>
      <w:tr w:rsidR="00BC52AF" w14:paraId="35D21425" w14:textId="77777777">
        <w:tc>
          <w:tcPr>
            <w:tcW w:w="1701" w:type="dxa"/>
          </w:tcPr>
          <w:p w14:paraId="000002B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BF" w14:textId="2621212E" w:rsidR="00BC52AF" w:rsidRDefault="00E04452">
            <w:pPr>
              <w:spacing w:line="276" w:lineRule="auto"/>
              <w:rPr>
                <w:rFonts w:ascii="Arial" w:eastAsia="Arial" w:hAnsi="Arial" w:cs="Arial"/>
                <w:sz w:val="20"/>
                <w:szCs w:val="20"/>
              </w:rPr>
            </w:pPr>
            <w:r>
              <w:rPr>
                <w:rFonts w:ascii="Arial" w:eastAsia="Arial" w:hAnsi="Arial" w:cs="Arial"/>
                <w:sz w:val="20"/>
                <w:szCs w:val="20"/>
              </w:rPr>
              <w:t>Secondary skeletal involvement in patients with MPS III may represent a considerable cause of morbidity (</w:t>
            </w:r>
            <w:proofErr w:type="spellStart"/>
            <w:proofErr w:type="gramStart"/>
            <w:r>
              <w:rPr>
                <w:rFonts w:ascii="Arial" w:eastAsia="Arial" w:hAnsi="Arial" w:cs="Arial"/>
                <w:sz w:val="20"/>
                <w:szCs w:val="20"/>
              </w:rPr>
              <w:t>ie</w:t>
            </w:r>
            <w:proofErr w:type="spellEnd"/>
            <w:proofErr w:type="gramEnd"/>
            <w:r>
              <w:rPr>
                <w:rFonts w:ascii="Arial" w:eastAsia="Arial" w:hAnsi="Arial" w:cs="Arial"/>
                <w:sz w:val="20"/>
                <w:szCs w:val="20"/>
              </w:rPr>
              <w:t xml:space="preserve"> osteonecrosis of femoral head) and intervention should be considered on a case</w:t>
            </w:r>
            <w:r w:rsidR="001A392E">
              <w:rPr>
                <w:rFonts w:ascii="Arial" w:eastAsia="Arial" w:hAnsi="Arial" w:cs="Arial"/>
                <w:sz w:val="20"/>
                <w:szCs w:val="20"/>
              </w:rPr>
              <w:t>-</w:t>
            </w:r>
            <w:r>
              <w:rPr>
                <w:rFonts w:ascii="Arial" w:eastAsia="Arial" w:hAnsi="Arial" w:cs="Arial"/>
                <w:sz w:val="20"/>
                <w:szCs w:val="20"/>
              </w:rPr>
              <w:t>by</w:t>
            </w:r>
            <w:r w:rsidR="001A392E">
              <w:rPr>
                <w:rFonts w:ascii="Arial" w:eastAsia="Arial" w:hAnsi="Arial" w:cs="Arial"/>
                <w:sz w:val="20"/>
                <w:szCs w:val="20"/>
              </w:rPr>
              <w:t>-</w:t>
            </w:r>
            <w:r>
              <w:rPr>
                <w:rFonts w:ascii="Arial" w:eastAsia="Arial" w:hAnsi="Arial" w:cs="Arial"/>
                <w:sz w:val="20"/>
                <w:szCs w:val="20"/>
              </w:rPr>
              <w:t>case basis</w:t>
            </w:r>
          </w:p>
        </w:tc>
        <w:tc>
          <w:tcPr>
            <w:tcW w:w="1701" w:type="dxa"/>
          </w:tcPr>
          <w:p w14:paraId="000002C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93.2%</w:t>
            </w:r>
          </w:p>
          <w:p w14:paraId="000002C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(41/44)</w:t>
            </w:r>
          </w:p>
        </w:tc>
      </w:tr>
      <w:tr w:rsidR="00BC52AF" w14:paraId="575B8E15" w14:textId="77777777">
        <w:tc>
          <w:tcPr>
            <w:tcW w:w="1701" w:type="dxa"/>
          </w:tcPr>
          <w:p w14:paraId="000002C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lastRenderedPageBreak/>
              <w:t>Supplemental</w:t>
            </w:r>
          </w:p>
        </w:tc>
        <w:tc>
          <w:tcPr>
            <w:tcW w:w="11194" w:type="dxa"/>
          </w:tcPr>
          <w:p w14:paraId="000002C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MPS III patients with progressed disease features and significant mobility limitations, should have vitamin D metabolism assessed and treated as indicated to reduce fracture risk</w:t>
            </w:r>
          </w:p>
        </w:tc>
        <w:tc>
          <w:tcPr>
            <w:tcW w:w="1701" w:type="dxa"/>
          </w:tcPr>
          <w:p w14:paraId="000002C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92.9%</w:t>
            </w:r>
          </w:p>
          <w:p w14:paraId="000002C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(39/42)</w:t>
            </w:r>
          </w:p>
        </w:tc>
      </w:tr>
      <w:tr w:rsidR="00BC52AF" w14:paraId="6E668FC5" w14:textId="77777777">
        <w:tc>
          <w:tcPr>
            <w:tcW w:w="1701" w:type="dxa"/>
          </w:tcPr>
          <w:p w14:paraId="000002C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2C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Recommended </w:t>
            </w:r>
            <w:r>
              <w:rPr>
                <w:rFonts w:ascii="Arial" w:eastAsia="Arial" w:hAnsi="Arial" w:cs="Arial"/>
                <w:i/>
                <w:sz w:val="20"/>
                <w:szCs w:val="20"/>
              </w:rPr>
              <w:t xml:space="preserve">pes </w:t>
            </w:r>
            <w:proofErr w:type="spellStart"/>
            <w:r>
              <w:rPr>
                <w:rFonts w:ascii="Arial" w:eastAsia="Arial" w:hAnsi="Arial" w:cs="Arial"/>
                <w:i/>
                <w:sz w:val="20"/>
                <w:szCs w:val="20"/>
              </w:rPr>
              <w:t>equinus</w:t>
            </w:r>
            <w:proofErr w:type="spellEnd"/>
            <w:r>
              <w:rPr>
                <w:rFonts w:ascii="Arial" w:eastAsia="Arial" w:hAnsi="Arial" w:cs="Arial"/>
                <w:sz w:val="20"/>
                <w:szCs w:val="20"/>
              </w:rPr>
              <w:t xml:space="preserve"> (toe-walking) management includes stretching and:</w:t>
            </w:r>
          </w:p>
          <w:p w14:paraId="000002C8" w14:textId="6002A538" w:rsidR="00BC52AF" w:rsidRDefault="00E04452">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Night</w:t>
            </w:r>
            <w:r w:rsidR="001A392E">
              <w:rPr>
                <w:rFonts w:ascii="Arial" w:eastAsia="Arial" w:hAnsi="Arial" w:cs="Arial"/>
                <w:color w:val="000000"/>
                <w:sz w:val="20"/>
                <w:szCs w:val="20"/>
              </w:rPr>
              <w:t>-</w:t>
            </w:r>
            <w:r>
              <w:rPr>
                <w:rFonts w:ascii="Arial" w:eastAsia="Arial" w:hAnsi="Arial" w:cs="Arial"/>
                <w:color w:val="000000"/>
                <w:sz w:val="20"/>
                <w:szCs w:val="20"/>
              </w:rPr>
              <w:t>time orthoses, but if not tolerated then</w:t>
            </w:r>
          </w:p>
          <w:p w14:paraId="000002C9" w14:textId="77777777" w:rsidR="00BC52AF" w:rsidRDefault="00E04452">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Daytime orthoses, and if not effective or tolerated</w:t>
            </w:r>
          </w:p>
          <w:p w14:paraId="000002CA" w14:textId="77777777" w:rsidR="00BC52AF" w:rsidRDefault="00E04452">
            <w:pPr>
              <w:numPr>
                <w:ilvl w:val="0"/>
                <w:numId w:val="2"/>
              </w:numPr>
              <w:pBdr>
                <w:top w:val="nil"/>
                <w:left w:val="nil"/>
                <w:bottom w:val="nil"/>
                <w:right w:val="nil"/>
                <w:between w:val="nil"/>
              </w:pBdr>
              <w:spacing w:after="160" w:line="276" w:lineRule="auto"/>
              <w:rPr>
                <w:rFonts w:ascii="Arial" w:eastAsia="Arial" w:hAnsi="Arial" w:cs="Arial"/>
                <w:color w:val="000000"/>
                <w:sz w:val="20"/>
                <w:szCs w:val="20"/>
              </w:rPr>
            </w:pPr>
            <w:r>
              <w:rPr>
                <w:rFonts w:ascii="Arial" w:eastAsia="Arial" w:hAnsi="Arial" w:cs="Arial"/>
                <w:color w:val="000000"/>
                <w:sz w:val="20"/>
                <w:szCs w:val="20"/>
              </w:rPr>
              <w:t xml:space="preserve">Consider surgical lengthening or </w:t>
            </w:r>
            <w:proofErr w:type="spellStart"/>
            <w:r>
              <w:rPr>
                <w:rFonts w:ascii="Arial" w:eastAsia="Arial" w:hAnsi="Arial" w:cs="Arial"/>
                <w:color w:val="000000"/>
                <w:sz w:val="20"/>
                <w:szCs w:val="20"/>
              </w:rPr>
              <w:t>botox</w:t>
            </w:r>
            <w:proofErr w:type="spellEnd"/>
            <w:r>
              <w:rPr>
                <w:rFonts w:ascii="Arial" w:eastAsia="Arial" w:hAnsi="Arial" w:cs="Arial"/>
                <w:color w:val="000000"/>
                <w:sz w:val="20"/>
                <w:szCs w:val="20"/>
              </w:rPr>
              <w:t xml:space="preserve"> to improve mobility and reduce risk of falls</w:t>
            </w:r>
          </w:p>
        </w:tc>
        <w:tc>
          <w:tcPr>
            <w:tcW w:w="1701" w:type="dxa"/>
          </w:tcPr>
          <w:p w14:paraId="000002C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87.5%</w:t>
            </w:r>
          </w:p>
          <w:p w14:paraId="000002C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(35/40)</w:t>
            </w:r>
          </w:p>
        </w:tc>
      </w:tr>
      <w:tr w:rsidR="00BC52AF" w14:paraId="6FA67817" w14:textId="77777777">
        <w:tc>
          <w:tcPr>
            <w:tcW w:w="1701" w:type="dxa"/>
          </w:tcPr>
          <w:p w14:paraId="000002C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2C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Orthopedic management of painful subluxation due to hip dysplasia in MPS III may be considered on a case-by-case basis</w:t>
            </w:r>
          </w:p>
        </w:tc>
        <w:tc>
          <w:tcPr>
            <w:tcW w:w="1701" w:type="dxa"/>
          </w:tcPr>
          <w:p w14:paraId="000002C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100%</w:t>
            </w:r>
          </w:p>
          <w:p w14:paraId="000002D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(42/42)</w:t>
            </w:r>
          </w:p>
        </w:tc>
      </w:tr>
      <w:tr w:rsidR="00BC52AF" w14:paraId="605A108D" w14:textId="77777777">
        <w:tc>
          <w:tcPr>
            <w:tcW w:w="1701" w:type="dxa"/>
          </w:tcPr>
          <w:p w14:paraId="000002D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D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Because pain may be difficult to assess and localize in MPS III patients with cognitive impairment and behavioral disturbances, radiographic studies of the hips should be considered in the evaluation of otherwise unexplained signs of discomfort or pain</w:t>
            </w:r>
          </w:p>
        </w:tc>
        <w:tc>
          <w:tcPr>
            <w:tcW w:w="1701" w:type="dxa"/>
          </w:tcPr>
          <w:p w14:paraId="000002D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88.6%</w:t>
            </w:r>
          </w:p>
          <w:p w14:paraId="000002D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(39/44)</w:t>
            </w:r>
          </w:p>
        </w:tc>
      </w:tr>
    </w:tbl>
    <w:p w14:paraId="64D9198D" w14:textId="77777777" w:rsidR="000E0A02" w:rsidRDefault="000E0A02">
      <w:pPr>
        <w:rPr>
          <w:rFonts w:ascii="Arial" w:eastAsia="Arial" w:hAnsi="Arial" w:cs="Arial"/>
          <w:b/>
        </w:rPr>
      </w:pPr>
      <w:r>
        <w:rPr>
          <w:rFonts w:ascii="Arial" w:eastAsia="Arial" w:hAnsi="Arial" w:cs="Arial"/>
          <w:b/>
        </w:rPr>
        <w:br w:type="page"/>
      </w:r>
    </w:p>
    <w:p w14:paraId="000002D6" w14:textId="025A7F7A" w:rsidR="00BC52AF" w:rsidRDefault="00E04452" w:rsidP="00804B4C">
      <w:pPr>
        <w:spacing w:after="0" w:line="360" w:lineRule="auto"/>
        <w:rPr>
          <w:rFonts w:ascii="Arial" w:eastAsia="Arial" w:hAnsi="Arial" w:cs="Arial"/>
          <w:b/>
        </w:rPr>
      </w:pPr>
      <w:r>
        <w:rPr>
          <w:rFonts w:ascii="Arial" w:eastAsia="Arial" w:hAnsi="Arial" w:cs="Arial"/>
          <w:b/>
        </w:rPr>
        <w:lastRenderedPageBreak/>
        <w:t>M. Management of pain and distress</w:t>
      </w:r>
    </w:p>
    <w:tbl>
      <w:tblPr>
        <w:tblStyle w:val="ac"/>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7A39D759" w14:textId="77777777" w:rsidTr="00745713">
        <w:trPr>
          <w:tblHeader/>
        </w:trPr>
        <w:tc>
          <w:tcPr>
            <w:tcW w:w="1701" w:type="dxa"/>
            <w:vAlign w:val="center"/>
          </w:tcPr>
          <w:p w14:paraId="000002D7"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2D8"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2D9"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18076147" w14:textId="77777777">
        <w:tc>
          <w:tcPr>
            <w:tcW w:w="1701" w:type="dxa"/>
          </w:tcPr>
          <w:p w14:paraId="000002D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D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Involvement of palliative care teams should begin early in the disease course to facilitate symptom management and build rapport over the course of the patient’s life</w:t>
            </w:r>
          </w:p>
        </w:tc>
        <w:tc>
          <w:tcPr>
            <w:tcW w:w="1701" w:type="dxa"/>
          </w:tcPr>
          <w:p w14:paraId="000002D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90.7%</w:t>
            </w:r>
          </w:p>
          <w:p w14:paraId="000002D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(49/54)</w:t>
            </w:r>
          </w:p>
        </w:tc>
      </w:tr>
      <w:tr w:rsidR="00BC52AF" w14:paraId="6E2BA2A7" w14:textId="77777777">
        <w:tc>
          <w:tcPr>
            <w:tcW w:w="1701" w:type="dxa"/>
          </w:tcPr>
          <w:p w14:paraId="000002D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D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After appropriate evaluation for treatable medical complications, management of pain should be a fundamental part of the care of patients with MPS III, with the aim of improving quality of life and maintaining mobility</w:t>
            </w:r>
          </w:p>
        </w:tc>
        <w:tc>
          <w:tcPr>
            <w:tcW w:w="1701" w:type="dxa"/>
          </w:tcPr>
          <w:p w14:paraId="000002E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98.1%</w:t>
            </w:r>
          </w:p>
          <w:p w14:paraId="000002E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(52/53)</w:t>
            </w:r>
          </w:p>
        </w:tc>
      </w:tr>
      <w:tr w:rsidR="00BC52AF" w14:paraId="1B0BD3E9" w14:textId="77777777">
        <w:tc>
          <w:tcPr>
            <w:tcW w:w="1701" w:type="dxa"/>
          </w:tcPr>
          <w:p w14:paraId="000002E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E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Recommend that clinicians are aware that pain in patients with cognitive impairment may be expressed via a variety of patient-specific pain behaviors and in non-classical ways</w:t>
            </w:r>
          </w:p>
        </w:tc>
        <w:tc>
          <w:tcPr>
            <w:tcW w:w="1701" w:type="dxa"/>
          </w:tcPr>
          <w:p w14:paraId="000002E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98.3%</w:t>
            </w:r>
          </w:p>
          <w:p w14:paraId="000002E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(57/58)</w:t>
            </w:r>
          </w:p>
        </w:tc>
      </w:tr>
      <w:tr w:rsidR="00BC52AF" w14:paraId="2FCD5335" w14:textId="77777777">
        <w:tc>
          <w:tcPr>
            <w:tcW w:w="1701" w:type="dxa"/>
          </w:tcPr>
          <w:p w14:paraId="000002E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E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There should be a low threshold for investigation of sources of pain in patients with escalating abnormal behaviors or acutely worsening sleep disturbances or signs of significantly increased agitation</w:t>
            </w:r>
          </w:p>
        </w:tc>
        <w:tc>
          <w:tcPr>
            <w:tcW w:w="1701" w:type="dxa"/>
          </w:tcPr>
          <w:p w14:paraId="000002E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98.1%</w:t>
            </w:r>
          </w:p>
          <w:p w14:paraId="000002E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(53/54)</w:t>
            </w:r>
          </w:p>
        </w:tc>
      </w:tr>
      <w:tr w:rsidR="00BC52AF" w14:paraId="72FDEF9E" w14:textId="77777777">
        <w:tc>
          <w:tcPr>
            <w:tcW w:w="1701" w:type="dxa"/>
          </w:tcPr>
          <w:p w14:paraId="000002E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E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Investigation for sources of pain in children with escalating abnormal behaviors, acutely worsening sleep disturbances, or significantly increased agitation might include consideration of:</w:t>
            </w:r>
          </w:p>
          <w:p w14:paraId="000002EC" w14:textId="77777777" w:rsidR="00BC52AF" w:rsidRDefault="00E04452">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Headaches (with consideration of elevated intracranial pressure)</w:t>
            </w:r>
          </w:p>
          <w:p w14:paraId="000002ED" w14:textId="0DACA42B" w:rsidR="00BC52AF" w:rsidRDefault="00E04452">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Abdominal discomfort (</w:t>
            </w:r>
            <w:proofErr w:type="spellStart"/>
            <w:proofErr w:type="gramStart"/>
            <w:r>
              <w:rPr>
                <w:rFonts w:ascii="Arial" w:eastAsia="Arial" w:hAnsi="Arial" w:cs="Arial"/>
                <w:color w:val="000000"/>
                <w:sz w:val="20"/>
                <w:szCs w:val="20"/>
              </w:rPr>
              <w:t>ie</w:t>
            </w:r>
            <w:proofErr w:type="spellEnd"/>
            <w:proofErr w:type="gramEnd"/>
            <w:r>
              <w:rPr>
                <w:rFonts w:ascii="Arial" w:eastAsia="Arial" w:hAnsi="Arial" w:cs="Arial"/>
                <w:color w:val="000000"/>
                <w:sz w:val="20"/>
                <w:szCs w:val="20"/>
              </w:rPr>
              <w:t xml:space="preserve"> acid reflux, ulcers, intestinal gas pain, constipation, </w:t>
            </w:r>
            <w:proofErr w:type="spellStart"/>
            <w:r>
              <w:rPr>
                <w:rFonts w:ascii="Arial" w:eastAsia="Arial" w:hAnsi="Arial" w:cs="Arial"/>
                <w:color w:val="000000"/>
                <w:sz w:val="20"/>
                <w:szCs w:val="20"/>
              </w:rPr>
              <w:t>etc</w:t>
            </w:r>
            <w:proofErr w:type="spellEnd"/>
            <w:r>
              <w:rPr>
                <w:rFonts w:ascii="Arial" w:eastAsia="Arial" w:hAnsi="Arial" w:cs="Arial"/>
                <w:color w:val="000000"/>
                <w:sz w:val="20"/>
                <w:szCs w:val="20"/>
              </w:rPr>
              <w:t>)</w:t>
            </w:r>
          </w:p>
          <w:p w14:paraId="000002EE" w14:textId="0D4AC7E4" w:rsidR="00BC52AF" w:rsidRDefault="00E04452">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Joint disease (</w:t>
            </w:r>
            <w:proofErr w:type="spellStart"/>
            <w:proofErr w:type="gramStart"/>
            <w:r>
              <w:rPr>
                <w:rFonts w:ascii="Arial" w:eastAsia="Arial" w:hAnsi="Arial" w:cs="Arial"/>
                <w:color w:val="000000"/>
                <w:sz w:val="20"/>
                <w:szCs w:val="20"/>
              </w:rPr>
              <w:t>ie</w:t>
            </w:r>
            <w:proofErr w:type="spellEnd"/>
            <w:proofErr w:type="gramEnd"/>
            <w:r>
              <w:rPr>
                <w:rFonts w:ascii="Arial" w:eastAsia="Arial" w:hAnsi="Arial" w:cs="Arial"/>
                <w:color w:val="000000"/>
                <w:sz w:val="20"/>
                <w:szCs w:val="20"/>
              </w:rPr>
              <w:t xml:space="preserve"> arthralgia/arthritis, osteonecrosis of femoral head, </w:t>
            </w:r>
            <w:proofErr w:type="spellStart"/>
            <w:r>
              <w:rPr>
                <w:rFonts w:ascii="Arial" w:eastAsia="Arial" w:hAnsi="Arial" w:cs="Arial"/>
                <w:color w:val="000000"/>
                <w:sz w:val="20"/>
                <w:szCs w:val="20"/>
              </w:rPr>
              <w:t>etc</w:t>
            </w:r>
            <w:proofErr w:type="spellEnd"/>
            <w:r>
              <w:rPr>
                <w:rFonts w:ascii="Arial" w:eastAsia="Arial" w:hAnsi="Arial" w:cs="Arial"/>
                <w:color w:val="000000"/>
                <w:sz w:val="20"/>
                <w:szCs w:val="20"/>
              </w:rPr>
              <w:t>)</w:t>
            </w:r>
          </w:p>
          <w:p w14:paraId="000002EF" w14:textId="4A933AFD" w:rsidR="00BC52AF" w:rsidRDefault="00E04452">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ENT (</w:t>
            </w:r>
            <w:proofErr w:type="spellStart"/>
            <w:proofErr w:type="gramStart"/>
            <w:r>
              <w:rPr>
                <w:rFonts w:ascii="Arial" w:eastAsia="Arial" w:hAnsi="Arial" w:cs="Arial"/>
                <w:color w:val="000000"/>
                <w:sz w:val="20"/>
                <w:szCs w:val="20"/>
              </w:rPr>
              <w:t>ie</w:t>
            </w:r>
            <w:proofErr w:type="spellEnd"/>
            <w:proofErr w:type="gramEnd"/>
            <w:r>
              <w:rPr>
                <w:rFonts w:ascii="Arial" w:eastAsia="Arial" w:hAnsi="Arial" w:cs="Arial"/>
                <w:color w:val="000000"/>
                <w:sz w:val="20"/>
                <w:szCs w:val="20"/>
              </w:rPr>
              <w:t xml:space="preserve"> otitis, sinusitis)</w:t>
            </w:r>
          </w:p>
          <w:p w14:paraId="000002F0" w14:textId="0EC29ADB" w:rsidR="00BC52AF" w:rsidRDefault="00E04452">
            <w:pPr>
              <w:numPr>
                <w:ilvl w:val="0"/>
                <w:numId w:val="3"/>
              </w:numPr>
              <w:pBdr>
                <w:top w:val="nil"/>
                <w:left w:val="nil"/>
                <w:bottom w:val="nil"/>
                <w:right w:val="nil"/>
                <w:between w:val="nil"/>
              </w:pBdr>
              <w:spacing w:after="160" w:line="276" w:lineRule="auto"/>
              <w:rPr>
                <w:rFonts w:ascii="Arial" w:eastAsia="Arial" w:hAnsi="Arial" w:cs="Arial"/>
                <w:color w:val="000000"/>
                <w:sz w:val="20"/>
                <w:szCs w:val="20"/>
              </w:rPr>
            </w:pPr>
            <w:r>
              <w:rPr>
                <w:rFonts w:ascii="Arial" w:eastAsia="Arial" w:hAnsi="Arial" w:cs="Arial"/>
                <w:color w:val="000000"/>
                <w:sz w:val="20"/>
                <w:szCs w:val="20"/>
              </w:rPr>
              <w:t>Dental</w:t>
            </w:r>
            <w:r w:rsidR="001A392E">
              <w:rPr>
                <w:rFonts w:ascii="Arial" w:eastAsia="Arial" w:hAnsi="Arial" w:cs="Arial"/>
                <w:color w:val="000000"/>
                <w:sz w:val="20"/>
                <w:szCs w:val="20"/>
              </w:rPr>
              <w:t>-</w:t>
            </w:r>
            <w:r>
              <w:rPr>
                <w:rFonts w:ascii="Arial" w:eastAsia="Arial" w:hAnsi="Arial" w:cs="Arial"/>
                <w:color w:val="000000"/>
                <w:sz w:val="20"/>
                <w:szCs w:val="20"/>
              </w:rPr>
              <w:t>related pain</w:t>
            </w:r>
          </w:p>
        </w:tc>
        <w:tc>
          <w:tcPr>
            <w:tcW w:w="1701" w:type="dxa"/>
          </w:tcPr>
          <w:p w14:paraId="000002F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98.0%</w:t>
            </w:r>
          </w:p>
          <w:p w14:paraId="000002F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(50/51)</w:t>
            </w:r>
          </w:p>
        </w:tc>
      </w:tr>
      <w:tr w:rsidR="00BC52AF" w14:paraId="12DE78A9" w14:textId="77777777">
        <w:tc>
          <w:tcPr>
            <w:tcW w:w="1701" w:type="dxa"/>
          </w:tcPr>
          <w:p w14:paraId="000002F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F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In the case of persistent pain, distress or agitation for which outpatient evaluation has been unrevealing, admission to hospital for thorough, efficient medical workup is recommended, to include:</w:t>
            </w:r>
          </w:p>
          <w:p w14:paraId="000002F5" w14:textId="64316D2F" w:rsidR="00BC52AF" w:rsidRDefault="00E04452">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Hip and spine </w:t>
            </w:r>
            <w:r w:rsidR="001A392E">
              <w:rPr>
                <w:rFonts w:ascii="Arial" w:eastAsia="Arial" w:hAnsi="Arial" w:cs="Arial"/>
                <w:color w:val="000000"/>
                <w:sz w:val="20"/>
                <w:szCs w:val="20"/>
              </w:rPr>
              <w:t>X</w:t>
            </w:r>
            <w:r>
              <w:rPr>
                <w:rFonts w:ascii="Arial" w:eastAsia="Arial" w:hAnsi="Arial" w:cs="Arial"/>
                <w:color w:val="000000"/>
                <w:sz w:val="20"/>
                <w:szCs w:val="20"/>
              </w:rPr>
              <w:t>-ray</w:t>
            </w:r>
          </w:p>
          <w:p w14:paraId="000002F6" w14:textId="77777777" w:rsidR="00BC52AF" w:rsidRDefault="00E04452">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Dental examination (decay)</w:t>
            </w:r>
          </w:p>
          <w:p w14:paraId="000002F7" w14:textId="77777777" w:rsidR="00BC52AF" w:rsidRDefault="00E04452">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Abdominal imaging (constipation, other obstruction, </w:t>
            </w:r>
            <w:proofErr w:type="spellStart"/>
            <w:r>
              <w:rPr>
                <w:rFonts w:ascii="Arial" w:eastAsia="Arial" w:hAnsi="Arial" w:cs="Arial"/>
                <w:color w:val="000000"/>
                <w:sz w:val="20"/>
                <w:szCs w:val="20"/>
              </w:rPr>
              <w:t>etc</w:t>
            </w:r>
            <w:proofErr w:type="spellEnd"/>
            <w:r>
              <w:rPr>
                <w:rFonts w:ascii="Arial" w:eastAsia="Arial" w:hAnsi="Arial" w:cs="Arial"/>
                <w:color w:val="000000"/>
                <w:sz w:val="20"/>
                <w:szCs w:val="20"/>
              </w:rPr>
              <w:t>)</w:t>
            </w:r>
          </w:p>
          <w:p w14:paraId="000002F8" w14:textId="77777777" w:rsidR="00BC52AF" w:rsidRDefault="00E04452">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Eye exam (consider elevated intraocular pressure)</w:t>
            </w:r>
          </w:p>
          <w:p w14:paraId="000002F9" w14:textId="77777777" w:rsidR="00BC52AF" w:rsidRDefault="00E04452">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Complete blood count with differential (infection, anemia)</w:t>
            </w:r>
          </w:p>
          <w:p w14:paraId="000002FA" w14:textId="77777777" w:rsidR="00BC52AF" w:rsidRDefault="00E04452">
            <w:pPr>
              <w:numPr>
                <w:ilvl w:val="0"/>
                <w:numId w:val="4"/>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Electrolytes (electrolyte imbalances, acidosis)</w:t>
            </w:r>
          </w:p>
          <w:p w14:paraId="000002FB" w14:textId="77777777" w:rsidR="00BC52AF" w:rsidRDefault="00E04452">
            <w:pPr>
              <w:numPr>
                <w:ilvl w:val="0"/>
                <w:numId w:val="2"/>
              </w:numPr>
              <w:pBdr>
                <w:top w:val="nil"/>
                <w:left w:val="nil"/>
                <w:bottom w:val="nil"/>
                <w:right w:val="nil"/>
                <w:between w:val="nil"/>
              </w:pBdr>
              <w:spacing w:after="160" w:line="276" w:lineRule="auto"/>
              <w:rPr>
                <w:rFonts w:ascii="Arial" w:eastAsia="Arial" w:hAnsi="Arial" w:cs="Arial"/>
                <w:color w:val="000000"/>
                <w:sz w:val="20"/>
                <w:szCs w:val="20"/>
              </w:rPr>
            </w:pPr>
            <w:r>
              <w:rPr>
                <w:rFonts w:ascii="Arial" w:eastAsia="Arial" w:hAnsi="Arial" w:cs="Arial"/>
                <w:color w:val="000000"/>
                <w:sz w:val="20"/>
                <w:szCs w:val="20"/>
              </w:rPr>
              <w:t>Brain scans if above are not revealing source of distress (hydrocephalus, intracranial bleed)</w:t>
            </w:r>
          </w:p>
        </w:tc>
        <w:tc>
          <w:tcPr>
            <w:tcW w:w="1701" w:type="dxa"/>
          </w:tcPr>
          <w:p w14:paraId="000002F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86.0%</w:t>
            </w:r>
          </w:p>
          <w:p w14:paraId="000002F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(43/50)</w:t>
            </w:r>
          </w:p>
        </w:tc>
      </w:tr>
      <w:tr w:rsidR="00BC52AF" w14:paraId="7BC7B366" w14:textId="77777777">
        <w:tc>
          <w:tcPr>
            <w:tcW w:w="1701" w:type="dxa"/>
          </w:tcPr>
          <w:p w14:paraId="000002F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2F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Recommend that standardized pain assessments, appropriate for the patient’s cognitive level, and/or caregiver proxy assessments are included in the regular follow-up visits for patients with MPS III. For patients who have limited communicative ability, the NCCPC-R is recommended</w:t>
            </w:r>
          </w:p>
        </w:tc>
        <w:tc>
          <w:tcPr>
            <w:tcW w:w="1701" w:type="dxa"/>
          </w:tcPr>
          <w:p w14:paraId="0000030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81.1%</w:t>
            </w:r>
          </w:p>
          <w:p w14:paraId="0000030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(30/37)</w:t>
            </w:r>
          </w:p>
        </w:tc>
      </w:tr>
    </w:tbl>
    <w:p w14:paraId="724A3ABF" w14:textId="77777777" w:rsidR="007777F6" w:rsidRDefault="007777F6" w:rsidP="007777F6">
      <w:pPr>
        <w:spacing w:after="0" w:line="360" w:lineRule="auto"/>
        <w:rPr>
          <w:rFonts w:ascii="Arial" w:eastAsia="Arial" w:hAnsi="Arial" w:cs="Arial"/>
          <w:b/>
        </w:rPr>
      </w:pPr>
    </w:p>
    <w:p w14:paraId="2809D4A3" w14:textId="77777777" w:rsidR="00A92102" w:rsidRDefault="00A92102">
      <w:pPr>
        <w:rPr>
          <w:rFonts w:ascii="Arial" w:eastAsia="Arial" w:hAnsi="Arial" w:cs="Arial"/>
          <w:b/>
        </w:rPr>
      </w:pPr>
      <w:r>
        <w:rPr>
          <w:rFonts w:ascii="Arial" w:eastAsia="Arial" w:hAnsi="Arial" w:cs="Arial"/>
          <w:b/>
        </w:rPr>
        <w:br w:type="page"/>
      </w:r>
    </w:p>
    <w:p w14:paraId="00000303" w14:textId="13BBD5E8" w:rsidR="00BC52AF" w:rsidRDefault="00E04452" w:rsidP="00804B4C">
      <w:pPr>
        <w:spacing w:after="0" w:line="360" w:lineRule="auto"/>
        <w:rPr>
          <w:rFonts w:ascii="Arial" w:eastAsia="Arial" w:hAnsi="Arial" w:cs="Arial"/>
          <w:b/>
        </w:rPr>
      </w:pPr>
      <w:r>
        <w:rPr>
          <w:rFonts w:ascii="Arial" w:eastAsia="Arial" w:hAnsi="Arial" w:cs="Arial"/>
          <w:b/>
        </w:rPr>
        <w:lastRenderedPageBreak/>
        <w:t>N. Special education, physical, occupational, speech and complementary therapy interventions</w:t>
      </w:r>
    </w:p>
    <w:tbl>
      <w:tblPr>
        <w:tblStyle w:val="ad"/>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373A3F40" w14:textId="77777777" w:rsidTr="00745713">
        <w:trPr>
          <w:tblHeader/>
        </w:trPr>
        <w:tc>
          <w:tcPr>
            <w:tcW w:w="1701" w:type="dxa"/>
            <w:vAlign w:val="center"/>
          </w:tcPr>
          <w:p w14:paraId="00000304"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305"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306"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50994301" w14:textId="77777777">
        <w:tc>
          <w:tcPr>
            <w:tcW w:w="1701" w:type="dxa"/>
          </w:tcPr>
          <w:p w14:paraId="0000030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0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Therapeutic support interventions should strive for maintenance of skills rather than require improvement for continued service</w:t>
            </w:r>
          </w:p>
        </w:tc>
        <w:tc>
          <w:tcPr>
            <w:tcW w:w="1701" w:type="dxa"/>
          </w:tcPr>
          <w:p w14:paraId="0000030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96.4%</w:t>
            </w:r>
          </w:p>
          <w:p w14:paraId="0000030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(53/55)</w:t>
            </w:r>
          </w:p>
        </w:tc>
      </w:tr>
      <w:tr w:rsidR="00BC52AF" w14:paraId="22AC6584" w14:textId="77777777">
        <w:tc>
          <w:tcPr>
            <w:tcW w:w="1701" w:type="dxa"/>
          </w:tcPr>
          <w:p w14:paraId="0000030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0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Rehabilitation therapeutic goals should focus on prolonging skills for as long as possible for improved quality of life and functional access to educational and social environments</w:t>
            </w:r>
          </w:p>
        </w:tc>
        <w:tc>
          <w:tcPr>
            <w:tcW w:w="1701" w:type="dxa"/>
          </w:tcPr>
          <w:p w14:paraId="0000030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98.1%</w:t>
            </w:r>
          </w:p>
          <w:p w14:paraId="0000030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(53/54)</w:t>
            </w:r>
          </w:p>
        </w:tc>
      </w:tr>
      <w:tr w:rsidR="00BC52AF" w14:paraId="4ABF3EDC" w14:textId="77777777">
        <w:tc>
          <w:tcPr>
            <w:tcW w:w="1701" w:type="dxa"/>
          </w:tcPr>
          <w:p w14:paraId="0000030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1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Rehabilitative therapies continue to be recommended even after decline in skills to maintain function at each interval for as long as possible</w:t>
            </w:r>
          </w:p>
        </w:tc>
        <w:tc>
          <w:tcPr>
            <w:tcW w:w="1701" w:type="dxa"/>
          </w:tcPr>
          <w:p w14:paraId="0000031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97.2%</w:t>
            </w:r>
          </w:p>
          <w:p w14:paraId="0000031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(51/55)</w:t>
            </w:r>
          </w:p>
        </w:tc>
      </w:tr>
      <w:tr w:rsidR="00BC52AF" w14:paraId="25DB69D2" w14:textId="77777777">
        <w:tc>
          <w:tcPr>
            <w:tcW w:w="1701" w:type="dxa"/>
          </w:tcPr>
          <w:p w14:paraId="0000031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14" w14:textId="6F5B67E7" w:rsidR="00BC52AF" w:rsidRDefault="00E04452">
            <w:pPr>
              <w:spacing w:line="276" w:lineRule="auto"/>
              <w:rPr>
                <w:rFonts w:ascii="Arial" w:eastAsia="Arial" w:hAnsi="Arial" w:cs="Arial"/>
                <w:sz w:val="20"/>
                <w:szCs w:val="20"/>
              </w:rPr>
            </w:pPr>
            <w:r>
              <w:rPr>
                <w:rFonts w:ascii="Arial" w:eastAsia="Arial" w:hAnsi="Arial" w:cs="Arial"/>
                <w:sz w:val="20"/>
                <w:szCs w:val="20"/>
              </w:rPr>
              <w:t>Consultation and ongoing training on the use of augmentative and alternative communication (AAC) methods or devices which are fit to purpose for the individual patient is recommended. Note that children with MPS III may require longer and more intensive therapy to achieve successful use of these methods</w:t>
            </w:r>
          </w:p>
        </w:tc>
        <w:tc>
          <w:tcPr>
            <w:tcW w:w="1701" w:type="dxa"/>
          </w:tcPr>
          <w:p w14:paraId="0000031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93.8%</w:t>
            </w:r>
          </w:p>
          <w:p w14:paraId="0000031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(45/48)</w:t>
            </w:r>
          </w:p>
        </w:tc>
      </w:tr>
      <w:tr w:rsidR="00BC52AF" w14:paraId="6D776657" w14:textId="77777777">
        <w:tc>
          <w:tcPr>
            <w:tcW w:w="1701" w:type="dxa"/>
          </w:tcPr>
          <w:p w14:paraId="0000031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1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AAC methods should be initiated by a trained professional and then generalized to use in home and educational settings as quickly as possible</w:t>
            </w:r>
          </w:p>
        </w:tc>
        <w:tc>
          <w:tcPr>
            <w:tcW w:w="1701" w:type="dxa"/>
          </w:tcPr>
          <w:p w14:paraId="0000031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93.6%</w:t>
            </w:r>
          </w:p>
          <w:p w14:paraId="0000031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(44/47)</w:t>
            </w:r>
          </w:p>
        </w:tc>
      </w:tr>
      <w:tr w:rsidR="00BC52AF" w14:paraId="189E1BA2" w14:textId="77777777">
        <w:tc>
          <w:tcPr>
            <w:tcW w:w="1701" w:type="dxa"/>
          </w:tcPr>
          <w:p w14:paraId="0000031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1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Use of AAC methods and devices are recommended to be trialed and if feasible, instituted as early as possible during maximal cognitive capacity and even prior to loss of verbal speech</w:t>
            </w:r>
          </w:p>
        </w:tc>
        <w:tc>
          <w:tcPr>
            <w:tcW w:w="1701" w:type="dxa"/>
          </w:tcPr>
          <w:p w14:paraId="0000031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89.4%</w:t>
            </w:r>
          </w:p>
          <w:p w14:paraId="0000031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(42/47)</w:t>
            </w:r>
          </w:p>
        </w:tc>
      </w:tr>
      <w:tr w:rsidR="00BC52AF" w14:paraId="0496CB6E" w14:textId="77777777">
        <w:tc>
          <w:tcPr>
            <w:tcW w:w="1701" w:type="dxa"/>
          </w:tcPr>
          <w:p w14:paraId="0000031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2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Assessment of safe feeding abilities and skills should be performed if clinically indicated at diagnosis and monitored at least yearly and more frequently as disease symptoms progress</w:t>
            </w:r>
          </w:p>
        </w:tc>
        <w:tc>
          <w:tcPr>
            <w:tcW w:w="1701" w:type="dxa"/>
          </w:tcPr>
          <w:p w14:paraId="0000032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98.0%</w:t>
            </w:r>
          </w:p>
          <w:p w14:paraId="0000032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(48/49)</w:t>
            </w:r>
          </w:p>
        </w:tc>
      </w:tr>
      <w:tr w:rsidR="00BC52AF" w14:paraId="2806E991" w14:textId="77777777">
        <w:tc>
          <w:tcPr>
            <w:tcW w:w="1701" w:type="dxa"/>
          </w:tcPr>
          <w:p w14:paraId="0000032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2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Patients with deterioration in feeding skills and/or poor weight gain should be considered for referrals to a feeding therapist, nutritionist and to gastroenterology for consideration of nutritional supplementation and/or gastrostomy feeding device</w:t>
            </w:r>
          </w:p>
        </w:tc>
        <w:tc>
          <w:tcPr>
            <w:tcW w:w="1701" w:type="dxa"/>
          </w:tcPr>
          <w:p w14:paraId="0000032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95.9%</w:t>
            </w:r>
          </w:p>
          <w:p w14:paraId="0000032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(47/49)</w:t>
            </w:r>
          </w:p>
        </w:tc>
      </w:tr>
      <w:tr w:rsidR="00BC52AF" w14:paraId="2C3B38C4" w14:textId="77777777">
        <w:tc>
          <w:tcPr>
            <w:tcW w:w="1701" w:type="dxa"/>
          </w:tcPr>
          <w:p w14:paraId="0000032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2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Diet/fluid modifications should be made using the </w:t>
            </w:r>
            <w:bookmarkStart w:id="8" w:name="_Hlk99025213"/>
            <w:r>
              <w:rPr>
                <w:rFonts w:ascii="Arial" w:eastAsia="Arial" w:hAnsi="Arial" w:cs="Arial"/>
                <w:sz w:val="20"/>
                <w:szCs w:val="20"/>
              </w:rPr>
              <w:t xml:space="preserve">International Dysphagia Diet Standardization Initiative </w:t>
            </w:r>
            <w:bookmarkEnd w:id="8"/>
            <w:r>
              <w:rPr>
                <w:rFonts w:ascii="Arial" w:eastAsia="Arial" w:hAnsi="Arial" w:cs="Arial"/>
                <w:sz w:val="20"/>
                <w:szCs w:val="20"/>
              </w:rPr>
              <w:t>(IDDSI) framework in consultation with a trained speech language feeding therapist</w:t>
            </w:r>
          </w:p>
        </w:tc>
        <w:tc>
          <w:tcPr>
            <w:tcW w:w="1701" w:type="dxa"/>
          </w:tcPr>
          <w:p w14:paraId="0000032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97.3%</w:t>
            </w:r>
          </w:p>
          <w:p w14:paraId="0000032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(36/37)</w:t>
            </w:r>
          </w:p>
        </w:tc>
      </w:tr>
      <w:tr w:rsidR="00BC52AF" w14:paraId="76FD8FEA" w14:textId="77777777">
        <w:tc>
          <w:tcPr>
            <w:tcW w:w="1701" w:type="dxa"/>
          </w:tcPr>
          <w:p w14:paraId="0000032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2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Bedside clinical feeding and swallowing assessments should be done at mealtimes and in a variety of settings (home/school) to observe any behavioral/cognitive challenges around mealtimes</w:t>
            </w:r>
          </w:p>
        </w:tc>
        <w:tc>
          <w:tcPr>
            <w:tcW w:w="1701" w:type="dxa"/>
          </w:tcPr>
          <w:p w14:paraId="0000032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97.8%</w:t>
            </w:r>
          </w:p>
          <w:p w14:paraId="0000032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(44/45)</w:t>
            </w:r>
          </w:p>
        </w:tc>
      </w:tr>
      <w:tr w:rsidR="00BC52AF" w14:paraId="7887069B" w14:textId="77777777">
        <w:tc>
          <w:tcPr>
            <w:tcW w:w="1701" w:type="dxa"/>
          </w:tcPr>
          <w:p w14:paraId="0000032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3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If red flags are present for pharyngeal dysfunction (cough, wet voice, recurrent lower respiratory tract infections) recommend referral for </w:t>
            </w:r>
            <w:bookmarkStart w:id="9" w:name="_Hlk99025716"/>
            <w:proofErr w:type="spellStart"/>
            <w:r>
              <w:rPr>
                <w:rFonts w:ascii="Arial" w:eastAsia="Arial" w:hAnsi="Arial" w:cs="Arial"/>
                <w:sz w:val="20"/>
                <w:szCs w:val="20"/>
              </w:rPr>
              <w:t>Videofluoroscopic</w:t>
            </w:r>
            <w:proofErr w:type="spellEnd"/>
            <w:r>
              <w:rPr>
                <w:rFonts w:ascii="Arial" w:eastAsia="Arial" w:hAnsi="Arial" w:cs="Arial"/>
                <w:sz w:val="20"/>
                <w:szCs w:val="20"/>
              </w:rPr>
              <w:t xml:space="preserve"> Swallowing Study </w:t>
            </w:r>
            <w:bookmarkEnd w:id="9"/>
            <w:r>
              <w:rPr>
                <w:rFonts w:ascii="Arial" w:eastAsia="Arial" w:hAnsi="Arial" w:cs="Arial"/>
                <w:sz w:val="20"/>
                <w:szCs w:val="20"/>
              </w:rPr>
              <w:t>(VFS) in consultation with a speech language feeding therapist</w:t>
            </w:r>
          </w:p>
        </w:tc>
        <w:tc>
          <w:tcPr>
            <w:tcW w:w="1701" w:type="dxa"/>
          </w:tcPr>
          <w:p w14:paraId="0000033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95.1%</w:t>
            </w:r>
          </w:p>
          <w:p w14:paraId="0000033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(39/41)</w:t>
            </w:r>
          </w:p>
        </w:tc>
      </w:tr>
      <w:tr w:rsidR="00BC52AF" w14:paraId="6F155939" w14:textId="77777777">
        <w:tc>
          <w:tcPr>
            <w:tcW w:w="1701" w:type="dxa"/>
          </w:tcPr>
          <w:p w14:paraId="0000033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3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Recommend that clinicians monitor for dysfluencies and speech apraxia which are noted symptoms of speech regression in MPS III patients</w:t>
            </w:r>
          </w:p>
        </w:tc>
        <w:tc>
          <w:tcPr>
            <w:tcW w:w="1701" w:type="dxa"/>
          </w:tcPr>
          <w:p w14:paraId="0000033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95.6%</w:t>
            </w:r>
          </w:p>
          <w:p w14:paraId="0000033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(43/45)</w:t>
            </w:r>
          </w:p>
        </w:tc>
      </w:tr>
      <w:tr w:rsidR="00BC52AF" w14:paraId="210CD5B9" w14:textId="77777777">
        <w:tc>
          <w:tcPr>
            <w:tcW w:w="1701" w:type="dxa"/>
          </w:tcPr>
          <w:p w14:paraId="0000033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3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Assess range of motion in upper and lower extremities at diagnosis and baseline visit to any new therapy provider and at regular intervals, at least every 6 months</w:t>
            </w:r>
          </w:p>
        </w:tc>
        <w:tc>
          <w:tcPr>
            <w:tcW w:w="1701" w:type="dxa"/>
          </w:tcPr>
          <w:p w14:paraId="0000033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82.2%</w:t>
            </w:r>
          </w:p>
          <w:p w14:paraId="0000033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(37/45)</w:t>
            </w:r>
          </w:p>
        </w:tc>
      </w:tr>
      <w:tr w:rsidR="00BC52AF" w14:paraId="046FD0FC" w14:textId="77777777">
        <w:tc>
          <w:tcPr>
            <w:tcW w:w="1701" w:type="dxa"/>
          </w:tcPr>
          <w:p w14:paraId="0000033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3C" w14:textId="11AD16E1" w:rsidR="00BC52AF" w:rsidRDefault="00E04452">
            <w:pPr>
              <w:spacing w:line="276" w:lineRule="auto"/>
              <w:rPr>
                <w:rFonts w:ascii="Arial" w:eastAsia="Arial" w:hAnsi="Arial" w:cs="Arial"/>
                <w:sz w:val="20"/>
                <w:szCs w:val="20"/>
              </w:rPr>
            </w:pPr>
            <w:r>
              <w:rPr>
                <w:rFonts w:ascii="Arial" w:eastAsia="Arial" w:hAnsi="Arial" w:cs="Arial"/>
                <w:sz w:val="20"/>
                <w:szCs w:val="20"/>
              </w:rPr>
              <w:t>Recommend using consistent established measurement tools to track motor skills over time, choosing measures that are most appropriate for the child (</w:t>
            </w:r>
            <w:proofErr w:type="spellStart"/>
            <w:proofErr w:type="gramStart"/>
            <w:r>
              <w:rPr>
                <w:rFonts w:ascii="Arial" w:eastAsia="Arial" w:hAnsi="Arial" w:cs="Arial"/>
                <w:sz w:val="20"/>
                <w:szCs w:val="20"/>
              </w:rPr>
              <w:t>eg</w:t>
            </w:r>
            <w:proofErr w:type="spellEnd"/>
            <w:proofErr w:type="gramEnd"/>
            <w:r>
              <w:rPr>
                <w:rFonts w:ascii="Arial" w:eastAsia="Arial" w:hAnsi="Arial" w:cs="Arial"/>
                <w:sz w:val="20"/>
                <w:szCs w:val="20"/>
              </w:rPr>
              <w:t xml:space="preserve"> </w:t>
            </w:r>
            <w:bookmarkStart w:id="10" w:name="_Hlk99025494"/>
            <w:r>
              <w:rPr>
                <w:rFonts w:ascii="Arial" w:eastAsia="Arial" w:hAnsi="Arial" w:cs="Arial"/>
                <w:sz w:val="20"/>
                <w:szCs w:val="20"/>
              </w:rPr>
              <w:t xml:space="preserve">Pediatric Evaluation of Disability Inventory </w:t>
            </w:r>
            <w:bookmarkEnd w:id="10"/>
            <w:r>
              <w:rPr>
                <w:rFonts w:ascii="Arial" w:eastAsia="Arial" w:hAnsi="Arial" w:cs="Arial"/>
                <w:sz w:val="20"/>
                <w:szCs w:val="20"/>
              </w:rPr>
              <w:t xml:space="preserve">[PEDI] or </w:t>
            </w:r>
            <w:bookmarkStart w:id="11" w:name="_Hlk99025459"/>
            <w:r>
              <w:rPr>
                <w:rFonts w:ascii="Arial" w:eastAsia="Arial" w:hAnsi="Arial" w:cs="Arial"/>
                <w:sz w:val="20"/>
                <w:szCs w:val="20"/>
              </w:rPr>
              <w:t xml:space="preserve">Functional Independence Measure </w:t>
            </w:r>
            <w:bookmarkEnd w:id="11"/>
            <w:r>
              <w:rPr>
                <w:rFonts w:ascii="Arial" w:eastAsia="Arial" w:hAnsi="Arial" w:cs="Arial"/>
                <w:sz w:val="20"/>
                <w:szCs w:val="20"/>
              </w:rPr>
              <w:t>[</w:t>
            </w:r>
            <w:r w:rsidR="004D409D">
              <w:rPr>
                <w:rFonts w:ascii="Arial" w:eastAsia="Arial" w:hAnsi="Arial" w:cs="Arial"/>
                <w:sz w:val="20"/>
                <w:szCs w:val="20"/>
              </w:rPr>
              <w:t>FIM</w:t>
            </w:r>
            <w:r>
              <w:rPr>
                <w:rFonts w:ascii="Arial" w:eastAsia="Arial" w:hAnsi="Arial" w:cs="Arial"/>
                <w:sz w:val="20"/>
                <w:szCs w:val="20"/>
              </w:rPr>
              <w:t>])</w:t>
            </w:r>
          </w:p>
        </w:tc>
        <w:tc>
          <w:tcPr>
            <w:tcW w:w="1701" w:type="dxa"/>
          </w:tcPr>
          <w:p w14:paraId="0000033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81.0%</w:t>
            </w:r>
          </w:p>
          <w:p w14:paraId="0000033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(34/42)</w:t>
            </w:r>
          </w:p>
        </w:tc>
      </w:tr>
      <w:tr w:rsidR="00BC52AF" w14:paraId="50B0FE8E" w14:textId="77777777">
        <w:tc>
          <w:tcPr>
            <w:tcW w:w="1701" w:type="dxa"/>
          </w:tcPr>
          <w:p w14:paraId="0000033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lastRenderedPageBreak/>
              <w:t>Core</w:t>
            </w:r>
          </w:p>
        </w:tc>
        <w:tc>
          <w:tcPr>
            <w:tcW w:w="11194" w:type="dxa"/>
          </w:tcPr>
          <w:p w14:paraId="00000340" w14:textId="0EA13030" w:rsidR="00BC52AF" w:rsidRDefault="00E04452">
            <w:pPr>
              <w:spacing w:line="276" w:lineRule="auto"/>
              <w:rPr>
                <w:rFonts w:ascii="Arial" w:eastAsia="Arial" w:hAnsi="Arial" w:cs="Arial"/>
                <w:sz w:val="20"/>
                <w:szCs w:val="20"/>
              </w:rPr>
            </w:pPr>
            <w:r>
              <w:rPr>
                <w:rFonts w:ascii="Arial" w:eastAsia="Arial" w:hAnsi="Arial" w:cs="Arial"/>
                <w:sz w:val="20"/>
                <w:szCs w:val="20"/>
              </w:rPr>
              <w:t xml:space="preserve">Proactive support is recommended to obtain adaptive equipment such as wheelchair/medical stroller, stander, bath seat, activity chair, safety beds, lifts, specialized car seats, </w:t>
            </w:r>
            <w:proofErr w:type="spellStart"/>
            <w:r>
              <w:rPr>
                <w:rFonts w:ascii="Arial" w:eastAsia="Arial" w:hAnsi="Arial" w:cs="Arial"/>
                <w:sz w:val="20"/>
                <w:szCs w:val="20"/>
              </w:rPr>
              <w:t>etc</w:t>
            </w:r>
            <w:proofErr w:type="spellEnd"/>
          </w:p>
        </w:tc>
        <w:tc>
          <w:tcPr>
            <w:tcW w:w="1701" w:type="dxa"/>
          </w:tcPr>
          <w:p w14:paraId="0000034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95.7%</w:t>
            </w:r>
          </w:p>
          <w:p w14:paraId="0000034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(44/46)</w:t>
            </w:r>
          </w:p>
        </w:tc>
      </w:tr>
      <w:tr w:rsidR="00BC52AF" w14:paraId="31227177" w14:textId="77777777">
        <w:tc>
          <w:tcPr>
            <w:tcW w:w="1701" w:type="dxa"/>
          </w:tcPr>
          <w:p w14:paraId="0000034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4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Orthotic bracing may be helpful for balance, foot/ankle positioning and to improve/maintain gait function and mobility longer</w:t>
            </w:r>
          </w:p>
        </w:tc>
        <w:tc>
          <w:tcPr>
            <w:tcW w:w="1701" w:type="dxa"/>
          </w:tcPr>
          <w:p w14:paraId="0000034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86.7%</w:t>
            </w:r>
          </w:p>
          <w:p w14:paraId="0000034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(39/45)</w:t>
            </w:r>
          </w:p>
        </w:tc>
      </w:tr>
      <w:tr w:rsidR="00BC52AF" w14:paraId="1167C0F1" w14:textId="77777777">
        <w:tc>
          <w:tcPr>
            <w:tcW w:w="1701" w:type="dxa"/>
          </w:tcPr>
          <w:p w14:paraId="0000034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48" w14:textId="32D8BFD4" w:rsidR="00BC52AF" w:rsidRDefault="00E04452">
            <w:pPr>
              <w:spacing w:line="276" w:lineRule="auto"/>
              <w:rPr>
                <w:rFonts w:ascii="Arial" w:eastAsia="Arial" w:hAnsi="Arial" w:cs="Arial"/>
                <w:sz w:val="20"/>
                <w:szCs w:val="20"/>
              </w:rPr>
            </w:pPr>
            <w:r>
              <w:rPr>
                <w:rFonts w:ascii="Arial" w:eastAsia="Arial" w:hAnsi="Arial" w:cs="Arial"/>
                <w:sz w:val="20"/>
                <w:szCs w:val="20"/>
              </w:rPr>
              <w:t>Physiotherapy/</w:t>
            </w:r>
            <w:r w:rsidR="00FB2F1E">
              <w:rPr>
                <w:rFonts w:ascii="Arial" w:eastAsia="Arial" w:hAnsi="Arial" w:cs="Arial"/>
                <w:sz w:val="20"/>
                <w:szCs w:val="20"/>
              </w:rPr>
              <w:t>p</w:t>
            </w:r>
            <w:r>
              <w:rPr>
                <w:rFonts w:ascii="Arial" w:eastAsia="Arial" w:hAnsi="Arial" w:cs="Arial"/>
                <w:sz w:val="20"/>
                <w:szCs w:val="20"/>
              </w:rPr>
              <w:t>hysical therapy should be considered as early as possible and be performed regularly prior to the decline of gross motor skills to maintain mobility and function</w:t>
            </w:r>
          </w:p>
        </w:tc>
        <w:tc>
          <w:tcPr>
            <w:tcW w:w="1701" w:type="dxa"/>
          </w:tcPr>
          <w:p w14:paraId="0000034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95.9%</w:t>
            </w:r>
          </w:p>
          <w:p w14:paraId="0000034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(47/49)</w:t>
            </w:r>
          </w:p>
        </w:tc>
      </w:tr>
    </w:tbl>
    <w:p w14:paraId="24BC981E" w14:textId="77777777" w:rsidR="007777F6" w:rsidRPr="006318CA" w:rsidRDefault="007777F6" w:rsidP="007777F6">
      <w:pPr>
        <w:spacing w:after="0" w:line="360" w:lineRule="auto"/>
        <w:rPr>
          <w:rFonts w:ascii="Arial" w:eastAsia="Arial" w:hAnsi="Arial" w:cs="Arial"/>
          <w:bCs/>
        </w:rPr>
      </w:pPr>
    </w:p>
    <w:p w14:paraId="0000034C" w14:textId="4043E6CE" w:rsidR="00BC52AF" w:rsidRDefault="00E04452" w:rsidP="00804B4C">
      <w:pPr>
        <w:spacing w:after="0" w:line="360" w:lineRule="auto"/>
        <w:rPr>
          <w:rFonts w:ascii="Arial" w:eastAsia="Arial" w:hAnsi="Arial" w:cs="Arial"/>
          <w:b/>
        </w:rPr>
      </w:pPr>
      <w:r>
        <w:rPr>
          <w:rFonts w:ascii="Arial" w:eastAsia="Arial" w:hAnsi="Arial" w:cs="Arial"/>
          <w:b/>
        </w:rPr>
        <w:t>O. General care</w:t>
      </w:r>
    </w:p>
    <w:tbl>
      <w:tblPr>
        <w:tblStyle w:val="ae"/>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5461A7CE" w14:textId="77777777" w:rsidTr="00745713">
        <w:trPr>
          <w:tblHeader/>
        </w:trPr>
        <w:tc>
          <w:tcPr>
            <w:tcW w:w="1701" w:type="dxa"/>
            <w:vAlign w:val="center"/>
          </w:tcPr>
          <w:p w14:paraId="0000034D"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34E"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34F"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416F63E6" w14:textId="77777777">
        <w:tc>
          <w:tcPr>
            <w:tcW w:w="1701" w:type="dxa"/>
          </w:tcPr>
          <w:p w14:paraId="0000035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51" w14:textId="5DD843AD" w:rsidR="00BC52AF" w:rsidRDefault="00E04452">
            <w:pPr>
              <w:spacing w:line="276" w:lineRule="auto"/>
              <w:rPr>
                <w:rFonts w:ascii="Arial" w:eastAsia="Arial" w:hAnsi="Arial" w:cs="Arial"/>
                <w:sz w:val="20"/>
                <w:szCs w:val="20"/>
              </w:rPr>
            </w:pPr>
            <w:r>
              <w:rPr>
                <w:rFonts w:ascii="Arial" w:eastAsia="Arial" w:hAnsi="Arial" w:cs="Arial"/>
                <w:sz w:val="20"/>
                <w:szCs w:val="20"/>
              </w:rPr>
              <w:t>Recommend multidisciplinary care model and medical home approach for long</w:t>
            </w:r>
            <w:r w:rsidR="00FB2F1E">
              <w:rPr>
                <w:rFonts w:ascii="Arial" w:eastAsia="Arial" w:hAnsi="Arial" w:cs="Arial"/>
                <w:sz w:val="20"/>
                <w:szCs w:val="20"/>
              </w:rPr>
              <w:t>-</w:t>
            </w:r>
            <w:r>
              <w:rPr>
                <w:rFonts w:ascii="Arial" w:eastAsia="Arial" w:hAnsi="Arial" w:cs="Arial"/>
                <w:sz w:val="20"/>
                <w:szCs w:val="20"/>
              </w:rPr>
              <w:t>term care coordination of patients with MPS III</w:t>
            </w:r>
          </w:p>
        </w:tc>
        <w:tc>
          <w:tcPr>
            <w:tcW w:w="1701" w:type="dxa"/>
          </w:tcPr>
          <w:p w14:paraId="0000035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100%</w:t>
            </w:r>
          </w:p>
          <w:p w14:paraId="0000035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(57/57)</w:t>
            </w:r>
          </w:p>
        </w:tc>
      </w:tr>
      <w:tr w:rsidR="00BC52AF" w14:paraId="69585521" w14:textId="77777777">
        <w:tc>
          <w:tcPr>
            <w:tcW w:w="1701" w:type="dxa"/>
          </w:tcPr>
          <w:p w14:paraId="0000035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55" w14:textId="13542787" w:rsidR="00BC52AF" w:rsidRDefault="00E04452">
            <w:pPr>
              <w:spacing w:line="276" w:lineRule="auto"/>
              <w:rPr>
                <w:rFonts w:ascii="Arial" w:eastAsia="Arial" w:hAnsi="Arial" w:cs="Arial"/>
                <w:sz w:val="20"/>
                <w:szCs w:val="20"/>
              </w:rPr>
            </w:pPr>
            <w:r>
              <w:rPr>
                <w:rFonts w:ascii="Arial" w:eastAsia="Arial" w:hAnsi="Arial" w:cs="Arial"/>
                <w:sz w:val="20"/>
                <w:szCs w:val="20"/>
              </w:rPr>
              <w:t>Growth should be monitored and plotted on MPS III</w:t>
            </w:r>
            <w:r w:rsidR="00FB2F1E">
              <w:rPr>
                <w:rFonts w:ascii="Arial" w:eastAsia="Arial" w:hAnsi="Arial" w:cs="Arial"/>
                <w:sz w:val="20"/>
                <w:szCs w:val="20"/>
              </w:rPr>
              <w:t>-</w:t>
            </w:r>
            <w:r>
              <w:rPr>
                <w:rFonts w:ascii="Arial" w:eastAsia="Arial" w:hAnsi="Arial" w:cs="Arial"/>
                <w:sz w:val="20"/>
                <w:szCs w:val="20"/>
              </w:rPr>
              <w:t>specific growth curves</w:t>
            </w:r>
          </w:p>
        </w:tc>
        <w:tc>
          <w:tcPr>
            <w:tcW w:w="1701" w:type="dxa"/>
          </w:tcPr>
          <w:p w14:paraId="0000035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86.0%</w:t>
            </w:r>
          </w:p>
          <w:p w14:paraId="0000035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(43/50)</w:t>
            </w:r>
          </w:p>
        </w:tc>
      </w:tr>
      <w:tr w:rsidR="00BC52AF" w14:paraId="7CC6C660" w14:textId="77777777">
        <w:tc>
          <w:tcPr>
            <w:tcW w:w="1701" w:type="dxa"/>
          </w:tcPr>
          <w:p w14:paraId="0000035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5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Immunizations should be given per routine standard of care schedule</w:t>
            </w:r>
          </w:p>
        </w:tc>
        <w:tc>
          <w:tcPr>
            <w:tcW w:w="1701" w:type="dxa"/>
          </w:tcPr>
          <w:p w14:paraId="0000035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100%</w:t>
            </w:r>
          </w:p>
          <w:p w14:paraId="0000035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(49/49)</w:t>
            </w:r>
          </w:p>
        </w:tc>
      </w:tr>
      <w:tr w:rsidR="00BC52AF" w14:paraId="70B54696" w14:textId="77777777">
        <w:tc>
          <w:tcPr>
            <w:tcW w:w="1701" w:type="dxa"/>
          </w:tcPr>
          <w:p w14:paraId="0000035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5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Yearly influenza vaccine is recommended</w:t>
            </w:r>
          </w:p>
        </w:tc>
        <w:tc>
          <w:tcPr>
            <w:tcW w:w="1701" w:type="dxa"/>
          </w:tcPr>
          <w:p w14:paraId="0000035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97.9%</w:t>
            </w:r>
          </w:p>
          <w:p w14:paraId="0000035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(47/48)</w:t>
            </w:r>
          </w:p>
        </w:tc>
      </w:tr>
      <w:tr w:rsidR="00BC52AF" w14:paraId="7561D01D" w14:textId="77777777">
        <w:tc>
          <w:tcPr>
            <w:tcW w:w="1701" w:type="dxa"/>
          </w:tcPr>
          <w:p w14:paraId="0000036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6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Pneumovax 23 is recommended for patients with MPS III, in accordance with guidelines for those who are at increased risk of pneumococcal disease</w:t>
            </w:r>
          </w:p>
        </w:tc>
        <w:tc>
          <w:tcPr>
            <w:tcW w:w="1701" w:type="dxa"/>
          </w:tcPr>
          <w:p w14:paraId="0000036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86.0%</w:t>
            </w:r>
          </w:p>
          <w:p w14:paraId="0000036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(37/43)</w:t>
            </w:r>
          </w:p>
        </w:tc>
      </w:tr>
      <w:tr w:rsidR="00BC52AF" w14:paraId="4479F0D4" w14:textId="77777777">
        <w:tc>
          <w:tcPr>
            <w:tcW w:w="1701" w:type="dxa"/>
          </w:tcPr>
          <w:p w14:paraId="0000036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6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Management of hygiene and cessation of menstrual cycles may be considered via hormonal therapies if in concert with family’s care goals</w:t>
            </w:r>
          </w:p>
        </w:tc>
        <w:tc>
          <w:tcPr>
            <w:tcW w:w="1701" w:type="dxa"/>
          </w:tcPr>
          <w:p w14:paraId="0000036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87.2%</w:t>
            </w:r>
          </w:p>
          <w:p w14:paraId="0000036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(41/47)</w:t>
            </w:r>
          </w:p>
        </w:tc>
      </w:tr>
      <w:tr w:rsidR="00BC52AF" w14:paraId="1518DE71" w14:textId="77777777">
        <w:tc>
          <w:tcPr>
            <w:tcW w:w="1701" w:type="dxa"/>
          </w:tcPr>
          <w:p w14:paraId="0000036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69" w14:textId="437C1021" w:rsidR="00BC52AF" w:rsidRDefault="00E04452">
            <w:pPr>
              <w:spacing w:line="276" w:lineRule="auto"/>
              <w:rPr>
                <w:rFonts w:ascii="Arial" w:eastAsia="Arial" w:hAnsi="Arial" w:cs="Arial"/>
                <w:sz w:val="20"/>
                <w:szCs w:val="20"/>
              </w:rPr>
            </w:pPr>
            <w:r>
              <w:rPr>
                <w:rFonts w:ascii="Arial" w:eastAsia="Arial" w:hAnsi="Arial" w:cs="Arial"/>
                <w:sz w:val="20"/>
                <w:szCs w:val="20"/>
              </w:rPr>
              <w:t>Supportive equipment needs should be discussed, and appropriate prescriptions/referrals made every 6 months (</w:t>
            </w:r>
            <w:proofErr w:type="spellStart"/>
            <w:proofErr w:type="gramStart"/>
            <w:r>
              <w:rPr>
                <w:rFonts w:ascii="Arial" w:eastAsia="Arial" w:hAnsi="Arial" w:cs="Arial"/>
                <w:sz w:val="20"/>
                <w:szCs w:val="20"/>
              </w:rPr>
              <w:t>ie</w:t>
            </w:r>
            <w:proofErr w:type="spellEnd"/>
            <w:proofErr w:type="gramEnd"/>
            <w:r>
              <w:rPr>
                <w:rFonts w:ascii="Arial" w:eastAsia="Arial" w:hAnsi="Arial" w:cs="Arial"/>
                <w:sz w:val="20"/>
                <w:szCs w:val="20"/>
              </w:rPr>
              <w:t xml:space="preserve"> safe bathing equipment, safe vehicle transport chairs/ramps, seating in home, specialty beds, orthotics, </w:t>
            </w:r>
            <w:proofErr w:type="spellStart"/>
            <w:r>
              <w:rPr>
                <w:rFonts w:ascii="Arial" w:eastAsia="Arial" w:hAnsi="Arial" w:cs="Arial"/>
                <w:sz w:val="20"/>
                <w:szCs w:val="20"/>
              </w:rPr>
              <w:t>etc</w:t>
            </w:r>
            <w:proofErr w:type="spellEnd"/>
            <w:r>
              <w:rPr>
                <w:rFonts w:ascii="Arial" w:eastAsia="Arial" w:hAnsi="Arial" w:cs="Arial"/>
                <w:sz w:val="20"/>
                <w:szCs w:val="20"/>
              </w:rPr>
              <w:t>)</w:t>
            </w:r>
          </w:p>
        </w:tc>
        <w:tc>
          <w:tcPr>
            <w:tcW w:w="1701" w:type="dxa"/>
          </w:tcPr>
          <w:p w14:paraId="0000036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96.2%</w:t>
            </w:r>
          </w:p>
          <w:p w14:paraId="0000036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(50/52)</w:t>
            </w:r>
          </w:p>
        </w:tc>
      </w:tr>
      <w:tr w:rsidR="00BC52AF" w14:paraId="761A5E54" w14:textId="77777777">
        <w:tc>
          <w:tcPr>
            <w:tcW w:w="1701" w:type="dxa"/>
          </w:tcPr>
          <w:p w14:paraId="0000036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6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Environmental safety adaptations are recommended due to patients’ lack of safety sense, and cognitive decline with preserved motor skills</w:t>
            </w:r>
          </w:p>
        </w:tc>
        <w:tc>
          <w:tcPr>
            <w:tcW w:w="1701" w:type="dxa"/>
          </w:tcPr>
          <w:p w14:paraId="0000036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100%</w:t>
            </w:r>
          </w:p>
          <w:p w14:paraId="0000036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(57/57)</w:t>
            </w:r>
          </w:p>
        </w:tc>
      </w:tr>
      <w:tr w:rsidR="00BC52AF" w14:paraId="6CA1AF14" w14:textId="77777777">
        <w:tc>
          <w:tcPr>
            <w:tcW w:w="1701" w:type="dxa"/>
          </w:tcPr>
          <w:p w14:paraId="0000037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7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Grouping procedures that require anesthesia is recommended as much as possible</w:t>
            </w:r>
          </w:p>
        </w:tc>
        <w:tc>
          <w:tcPr>
            <w:tcW w:w="1701" w:type="dxa"/>
          </w:tcPr>
          <w:p w14:paraId="0000037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98.2%</w:t>
            </w:r>
          </w:p>
          <w:p w14:paraId="0000037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(55/56)</w:t>
            </w:r>
          </w:p>
        </w:tc>
      </w:tr>
      <w:tr w:rsidR="00BC52AF" w14:paraId="11C68822" w14:textId="77777777">
        <w:tc>
          <w:tcPr>
            <w:tcW w:w="1701" w:type="dxa"/>
          </w:tcPr>
          <w:p w14:paraId="0000037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7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Cognitive impairment and the progressive nature of MPS III should not preclude a patients’ access to vision, hearing, behavioral or any other support services</w:t>
            </w:r>
          </w:p>
        </w:tc>
        <w:tc>
          <w:tcPr>
            <w:tcW w:w="1701" w:type="dxa"/>
          </w:tcPr>
          <w:p w14:paraId="0000037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100%</w:t>
            </w:r>
          </w:p>
          <w:p w14:paraId="0000037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(58/58)</w:t>
            </w:r>
          </w:p>
        </w:tc>
      </w:tr>
      <w:tr w:rsidR="00BC52AF" w14:paraId="08612931" w14:textId="77777777">
        <w:tc>
          <w:tcPr>
            <w:tcW w:w="1701" w:type="dxa"/>
          </w:tcPr>
          <w:p w14:paraId="0000037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lastRenderedPageBreak/>
              <w:t>Core</w:t>
            </w:r>
          </w:p>
        </w:tc>
        <w:tc>
          <w:tcPr>
            <w:tcW w:w="11194" w:type="dxa"/>
          </w:tcPr>
          <w:p w14:paraId="00000379" w14:textId="1B22ECFD" w:rsidR="00BC52AF" w:rsidRDefault="00E04452">
            <w:pPr>
              <w:spacing w:line="276" w:lineRule="auto"/>
              <w:rPr>
                <w:rFonts w:ascii="Arial" w:eastAsia="Arial" w:hAnsi="Arial" w:cs="Arial"/>
                <w:sz w:val="20"/>
                <w:szCs w:val="20"/>
              </w:rPr>
            </w:pPr>
            <w:r>
              <w:rPr>
                <w:rFonts w:ascii="Arial" w:eastAsia="Arial" w:hAnsi="Arial" w:cs="Arial"/>
                <w:sz w:val="20"/>
                <w:szCs w:val="20"/>
              </w:rPr>
              <w:t>Recommend counseling caregivers on the natural history of disease progression in the absence of a disease</w:t>
            </w:r>
            <w:r w:rsidR="00FB2F1E">
              <w:rPr>
                <w:rFonts w:ascii="Arial" w:eastAsia="Arial" w:hAnsi="Arial" w:cs="Arial"/>
                <w:sz w:val="20"/>
                <w:szCs w:val="20"/>
              </w:rPr>
              <w:t>-</w:t>
            </w:r>
            <w:r>
              <w:rPr>
                <w:rFonts w:ascii="Arial" w:eastAsia="Arial" w:hAnsi="Arial" w:cs="Arial"/>
                <w:sz w:val="20"/>
                <w:szCs w:val="20"/>
              </w:rPr>
              <w:t xml:space="preserve">modifying treatment, at the time of diagnosis and periodically thereafter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plan appropriately and normalize their experiences with the disease process</w:t>
            </w:r>
          </w:p>
        </w:tc>
        <w:tc>
          <w:tcPr>
            <w:tcW w:w="1701" w:type="dxa"/>
          </w:tcPr>
          <w:p w14:paraId="0000037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96.4%</w:t>
            </w:r>
          </w:p>
          <w:p w14:paraId="0000037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(54/56)</w:t>
            </w:r>
          </w:p>
        </w:tc>
      </w:tr>
      <w:tr w:rsidR="00BC52AF" w14:paraId="1275F00E" w14:textId="77777777">
        <w:tc>
          <w:tcPr>
            <w:tcW w:w="1701" w:type="dxa"/>
          </w:tcPr>
          <w:p w14:paraId="0000037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7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Proactive, intermittent assessment of caregivers’ anxiety, depression and chronic traumatic stress with appropriate referral is indicated</w:t>
            </w:r>
          </w:p>
        </w:tc>
        <w:tc>
          <w:tcPr>
            <w:tcW w:w="1701" w:type="dxa"/>
          </w:tcPr>
          <w:p w14:paraId="0000037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100%</w:t>
            </w:r>
          </w:p>
          <w:p w14:paraId="0000037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(57/57)</w:t>
            </w:r>
          </w:p>
        </w:tc>
      </w:tr>
      <w:tr w:rsidR="00BC52AF" w14:paraId="518705DA" w14:textId="77777777">
        <w:tc>
          <w:tcPr>
            <w:tcW w:w="1701" w:type="dxa"/>
          </w:tcPr>
          <w:p w14:paraId="00000380"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81"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Service needs of the family and child should be monitored regularly as these needs vary in intensity and type depending on the age and extent of the child’s disease progression</w:t>
            </w:r>
          </w:p>
        </w:tc>
        <w:tc>
          <w:tcPr>
            <w:tcW w:w="1701" w:type="dxa"/>
          </w:tcPr>
          <w:p w14:paraId="00000382"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98.3%</w:t>
            </w:r>
          </w:p>
          <w:p w14:paraId="00000383"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(57/58)</w:t>
            </w:r>
          </w:p>
        </w:tc>
      </w:tr>
      <w:tr w:rsidR="00BC52AF" w14:paraId="43F861F3" w14:textId="77777777">
        <w:tc>
          <w:tcPr>
            <w:tcW w:w="1701" w:type="dxa"/>
          </w:tcPr>
          <w:p w14:paraId="00000384"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8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Recommend connecting caregivers to relevant patient advocacy organizations, governmental support services and other community resources, checking back in to assess needs and additional referrals in an ongoing manner</w:t>
            </w:r>
          </w:p>
        </w:tc>
        <w:tc>
          <w:tcPr>
            <w:tcW w:w="1701" w:type="dxa"/>
          </w:tcPr>
          <w:p w14:paraId="0000038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96.5%</w:t>
            </w:r>
          </w:p>
          <w:p w14:paraId="0000038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(55/57)</w:t>
            </w:r>
          </w:p>
        </w:tc>
      </w:tr>
      <w:tr w:rsidR="00BC52AF" w14:paraId="2AD27461" w14:textId="77777777">
        <w:tc>
          <w:tcPr>
            <w:tcW w:w="1701" w:type="dxa"/>
          </w:tcPr>
          <w:p w14:paraId="0000038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8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Recommend early quality educational experiences for maximal developmental gains and interval skill maintenance</w:t>
            </w:r>
          </w:p>
        </w:tc>
        <w:tc>
          <w:tcPr>
            <w:tcW w:w="1701" w:type="dxa"/>
          </w:tcPr>
          <w:p w14:paraId="0000038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92.9%</w:t>
            </w:r>
          </w:p>
          <w:p w14:paraId="0000038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(52/56)</w:t>
            </w:r>
          </w:p>
        </w:tc>
      </w:tr>
      <w:tr w:rsidR="00BC52AF" w14:paraId="66C7838E" w14:textId="77777777">
        <w:tc>
          <w:tcPr>
            <w:tcW w:w="1701" w:type="dxa"/>
          </w:tcPr>
          <w:p w14:paraId="0000038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8D"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An individual aide in the school setting is recommended for maintaining safety of the child and others in the classroom as well as to maximize the child's attention and supports in educational tasks</w:t>
            </w:r>
          </w:p>
        </w:tc>
        <w:tc>
          <w:tcPr>
            <w:tcW w:w="1701" w:type="dxa"/>
          </w:tcPr>
          <w:p w14:paraId="0000038E"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92.6%</w:t>
            </w:r>
          </w:p>
          <w:p w14:paraId="0000038F"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(50/54)</w:t>
            </w:r>
          </w:p>
        </w:tc>
      </w:tr>
    </w:tbl>
    <w:p w14:paraId="72246B92" w14:textId="77777777" w:rsidR="007777F6" w:rsidRPr="00FB2F1E" w:rsidRDefault="007777F6" w:rsidP="007777F6">
      <w:pPr>
        <w:spacing w:after="0" w:line="360" w:lineRule="auto"/>
        <w:rPr>
          <w:rFonts w:ascii="Arial" w:eastAsia="Arial" w:hAnsi="Arial" w:cs="Arial"/>
          <w:bCs/>
        </w:rPr>
      </w:pPr>
    </w:p>
    <w:p w14:paraId="00000391" w14:textId="77777777" w:rsidR="00BC52AF" w:rsidRDefault="00E04452" w:rsidP="00804B4C">
      <w:pPr>
        <w:spacing w:after="0" w:line="360" w:lineRule="auto"/>
        <w:rPr>
          <w:rFonts w:ascii="Arial" w:eastAsia="Arial" w:hAnsi="Arial" w:cs="Arial"/>
          <w:b/>
        </w:rPr>
      </w:pPr>
      <w:r>
        <w:rPr>
          <w:rFonts w:ascii="Arial" w:eastAsia="Arial" w:hAnsi="Arial" w:cs="Arial"/>
          <w:b/>
        </w:rPr>
        <w:t>P. Endocrinology</w:t>
      </w:r>
    </w:p>
    <w:tbl>
      <w:tblPr>
        <w:tblStyle w:val="af"/>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1194"/>
        <w:gridCol w:w="1701"/>
      </w:tblGrid>
      <w:tr w:rsidR="00BC52AF" w14:paraId="0F0EC205" w14:textId="77777777" w:rsidTr="00745713">
        <w:tc>
          <w:tcPr>
            <w:tcW w:w="1701" w:type="dxa"/>
            <w:vAlign w:val="center"/>
          </w:tcPr>
          <w:p w14:paraId="00000392"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Core/ supplemental</w:t>
            </w:r>
          </w:p>
        </w:tc>
        <w:tc>
          <w:tcPr>
            <w:tcW w:w="11194" w:type="dxa"/>
            <w:vAlign w:val="center"/>
          </w:tcPr>
          <w:p w14:paraId="00000393"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Recommendation</w:t>
            </w:r>
          </w:p>
        </w:tc>
        <w:tc>
          <w:tcPr>
            <w:tcW w:w="1701" w:type="dxa"/>
            <w:vAlign w:val="center"/>
          </w:tcPr>
          <w:p w14:paraId="00000394" w14:textId="77777777" w:rsidR="00BC52AF" w:rsidRDefault="00E04452" w:rsidP="007A57FE">
            <w:pPr>
              <w:spacing w:before="120" w:after="120"/>
              <w:rPr>
                <w:rFonts w:ascii="Arial" w:eastAsia="Arial" w:hAnsi="Arial" w:cs="Arial"/>
                <w:b/>
                <w:sz w:val="20"/>
                <w:szCs w:val="20"/>
              </w:rPr>
            </w:pPr>
            <w:r>
              <w:rPr>
                <w:rFonts w:ascii="Arial" w:eastAsia="Arial" w:hAnsi="Arial" w:cs="Arial"/>
                <w:b/>
                <w:sz w:val="20"/>
                <w:szCs w:val="20"/>
              </w:rPr>
              <w:t>Agree or strongly agree</w:t>
            </w:r>
          </w:p>
        </w:tc>
      </w:tr>
      <w:tr w:rsidR="00BC52AF" w14:paraId="4435EEB7" w14:textId="77777777">
        <w:tc>
          <w:tcPr>
            <w:tcW w:w="1701" w:type="dxa"/>
          </w:tcPr>
          <w:p w14:paraId="00000395"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Core</w:t>
            </w:r>
          </w:p>
        </w:tc>
        <w:tc>
          <w:tcPr>
            <w:tcW w:w="11194" w:type="dxa"/>
          </w:tcPr>
          <w:p w14:paraId="00000396"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Onset of puberty may be advanced in patients with MPS III. If signs of early puberty are present, referral to an endocrinology specialist is warranted. Use of GnRH agonist is not contraindicated in MPS III and should be considered in consultation with the family</w:t>
            </w:r>
          </w:p>
        </w:tc>
        <w:tc>
          <w:tcPr>
            <w:tcW w:w="1701" w:type="dxa"/>
          </w:tcPr>
          <w:p w14:paraId="00000397"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80.6%</w:t>
            </w:r>
          </w:p>
          <w:p w14:paraId="00000398"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(25/31)</w:t>
            </w:r>
          </w:p>
        </w:tc>
      </w:tr>
      <w:tr w:rsidR="00BC52AF" w14:paraId="6413C575" w14:textId="77777777">
        <w:tc>
          <w:tcPr>
            <w:tcW w:w="1701" w:type="dxa"/>
          </w:tcPr>
          <w:p w14:paraId="00000399"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Supplemental</w:t>
            </w:r>
          </w:p>
        </w:tc>
        <w:tc>
          <w:tcPr>
            <w:tcW w:w="11194" w:type="dxa"/>
          </w:tcPr>
          <w:p w14:paraId="0000039A"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Bone mineral density can be diminished in patients with advanced disease who are non-ambulatory. If there is concern for fracture risk, consider evaluation of bone mineral density (BMD). If abnormal, refer the patient to an endocrinology specialist. Use of bisphosphonates is not contraindicated in MPS III</w:t>
            </w:r>
          </w:p>
        </w:tc>
        <w:tc>
          <w:tcPr>
            <w:tcW w:w="1701" w:type="dxa"/>
          </w:tcPr>
          <w:p w14:paraId="0000039B"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86.5%</w:t>
            </w:r>
          </w:p>
          <w:p w14:paraId="0000039C" w14:textId="77777777" w:rsidR="00BC52AF" w:rsidRDefault="00E04452">
            <w:pPr>
              <w:spacing w:line="276" w:lineRule="auto"/>
              <w:rPr>
                <w:rFonts w:ascii="Arial" w:eastAsia="Arial" w:hAnsi="Arial" w:cs="Arial"/>
                <w:sz w:val="20"/>
                <w:szCs w:val="20"/>
              </w:rPr>
            </w:pPr>
            <w:r>
              <w:rPr>
                <w:rFonts w:ascii="Arial" w:eastAsia="Arial" w:hAnsi="Arial" w:cs="Arial"/>
                <w:sz w:val="20"/>
                <w:szCs w:val="20"/>
              </w:rPr>
              <w:t>(32/37)</w:t>
            </w:r>
          </w:p>
        </w:tc>
      </w:tr>
    </w:tbl>
    <w:p w14:paraId="04EB7379" w14:textId="2F8A193E" w:rsidR="00212EA8" w:rsidRPr="00613A28" w:rsidRDefault="00212EA8" w:rsidP="00212EA8">
      <w:pPr>
        <w:spacing w:before="120" w:after="0" w:line="240" w:lineRule="auto"/>
        <w:rPr>
          <w:rFonts w:ascii="Arial" w:hAnsi="Arial" w:cs="Arial"/>
          <w:sz w:val="20"/>
          <w:szCs w:val="20"/>
        </w:rPr>
      </w:pPr>
      <w:r w:rsidRPr="00613A28">
        <w:rPr>
          <w:rFonts w:ascii="Arial" w:hAnsi="Arial" w:cs="Arial"/>
          <w:sz w:val="20"/>
          <w:szCs w:val="20"/>
        </w:rPr>
        <w:t xml:space="preserve">AAC, </w:t>
      </w:r>
      <w:r w:rsidRPr="00613A28">
        <w:rPr>
          <w:rFonts w:ascii="Arial" w:eastAsia="Arial" w:hAnsi="Arial" w:cs="Arial"/>
          <w:sz w:val="20"/>
          <w:szCs w:val="20"/>
        </w:rPr>
        <w:t>augmentative and alternative communication</w:t>
      </w:r>
      <w:r>
        <w:rPr>
          <w:rFonts w:ascii="Arial" w:hAnsi="Arial" w:cs="Arial"/>
          <w:sz w:val="20"/>
          <w:szCs w:val="20"/>
        </w:rPr>
        <w:t xml:space="preserve">; </w:t>
      </w:r>
      <w:r w:rsidRPr="00613A28">
        <w:rPr>
          <w:rFonts w:ascii="Arial" w:hAnsi="Arial" w:cs="Arial"/>
          <w:sz w:val="20"/>
          <w:szCs w:val="20"/>
        </w:rPr>
        <w:t xml:space="preserve">ABA, </w:t>
      </w:r>
      <w:r w:rsidRPr="00613A28">
        <w:rPr>
          <w:rFonts w:ascii="Arial" w:eastAsia="Arial" w:hAnsi="Arial" w:cs="Arial"/>
          <w:sz w:val="20"/>
          <w:szCs w:val="20"/>
        </w:rPr>
        <w:t>applied behavioral analysis</w:t>
      </w:r>
      <w:r>
        <w:rPr>
          <w:rFonts w:ascii="Arial" w:hAnsi="Arial" w:cs="Arial"/>
          <w:sz w:val="20"/>
          <w:szCs w:val="20"/>
        </w:rPr>
        <w:t xml:space="preserve">; </w:t>
      </w:r>
      <w:r w:rsidRPr="00613A28">
        <w:rPr>
          <w:rFonts w:ascii="Arial" w:hAnsi="Arial" w:cs="Arial"/>
          <w:sz w:val="20"/>
          <w:szCs w:val="20"/>
        </w:rPr>
        <w:t xml:space="preserve">ABR, </w:t>
      </w:r>
      <w:r w:rsidR="00AF18D6" w:rsidRPr="00AF18D6">
        <w:rPr>
          <w:rFonts w:ascii="Arial" w:hAnsi="Arial" w:cs="Arial"/>
          <w:sz w:val="20"/>
          <w:szCs w:val="20"/>
        </w:rPr>
        <w:t>auditory brainstem response</w:t>
      </w:r>
      <w:r>
        <w:rPr>
          <w:rFonts w:ascii="Arial" w:hAnsi="Arial" w:cs="Arial"/>
          <w:sz w:val="20"/>
          <w:szCs w:val="20"/>
        </w:rPr>
        <w:t xml:space="preserve">; </w:t>
      </w:r>
      <w:r w:rsidRPr="00613A28">
        <w:rPr>
          <w:rFonts w:ascii="Arial" w:hAnsi="Arial" w:cs="Arial"/>
          <w:sz w:val="20"/>
          <w:szCs w:val="20"/>
        </w:rPr>
        <w:t xml:space="preserve">ADHD, </w:t>
      </w:r>
      <w:r>
        <w:rPr>
          <w:rFonts w:ascii="Arial" w:hAnsi="Arial" w:cs="Arial"/>
          <w:color w:val="202124"/>
          <w:sz w:val="20"/>
          <w:szCs w:val="20"/>
          <w:shd w:val="clear" w:color="auto" w:fill="FFFFFF"/>
        </w:rPr>
        <w:t>a</w:t>
      </w:r>
      <w:r w:rsidRPr="00613A28">
        <w:rPr>
          <w:rFonts w:ascii="Arial" w:hAnsi="Arial" w:cs="Arial"/>
          <w:color w:val="202124"/>
          <w:sz w:val="20"/>
          <w:szCs w:val="20"/>
          <w:shd w:val="clear" w:color="auto" w:fill="FFFFFF"/>
        </w:rPr>
        <w:t>ttention deficit hyperactivity disorder</w:t>
      </w:r>
      <w:r>
        <w:rPr>
          <w:rFonts w:ascii="Arial" w:hAnsi="Arial" w:cs="Arial"/>
          <w:sz w:val="20"/>
          <w:szCs w:val="20"/>
        </w:rPr>
        <w:t xml:space="preserve">; </w:t>
      </w:r>
      <w:r w:rsidRPr="00613A28">
        <w:rPr>
          <w:rFonts w:ascii="Arial" w:hAnsi="Arial" w:cs="Arial"/>
          <w:sz w:val="20"/>
          <w:szCs w:val="20"/>
        </w:rPr>
        <w:t xml:space="preserve">ALT, </w:t>
      </w:r>
      <w:r>
        <w:rPr>
          <w:rFonts w:ascii="Arial" w:hAnsi="Arial" w:cs="Arial"/>
          <w:sz w:val="20"/>
          <w:szCs w:val="20"/>
        </w:rPr>
        <w:t>a</w:t>
      </w:r>
      <w:r w:rsidRPr="00613A28">
        <w:rPr>
          <w:rFonts w:ascii="Arial" w:hAnsi="Arial" w:cs="Arial"/>
          <w:sz w:val="20"/>
          <w:szCs w:val="20"/>
        </w:rPr>
        <w:t>lanine aminotransferase</w:t>
      </w:r>
      <w:r>
        <w:rPr>
          <w:rFonts w:ascii="Arial" w:hAnsi="Arial" w:cs="Arial"/>
          <w:sz w:val="20"/>
          <w:szCs w:val="20"/>
        </w:rPr>
        <w:t xml:space="preserve">; </w:t>
      </w:r>
      <w:r w:rsidRPr="00613A28">
        <w:rPr>
          <w:rFonts w:ascii="Arial" w:hAnsi="Arial" w:cs="Arial"/>
          <w:sz w:val="20"/>
          <w:szCs w:val="20"/>
        </w:rPr>
        <w:t xml:space="preserve">AST, </w:t>
      </w:r>
      <w:r>
        <w:rPr>
          <w:rFonts w:ascii="Arial" w:hAnsi="Arial" w:cs="Arial"/>
          <w:sz w:val="20"/>
          <w:szCs w:val="20"/>
        </w:rPr>
        <w:t>a</w:t>
      </w:r>
      <w:r w:rsidRPr="00613A28">
        <w:rPr>
          <w:rFonts w:ascii="Arial" w:hAnsi="Arial" w:cs="Arial"/>
          <w:sz w:val="20"/>
          <w:szCs w:val="20"/>
        </w:rPr>
        <w:t>spartate aminotransferase</w:t>
      </w:r>
      <w:r>
        <w:rPr>
          <w:rFonts w:ascii="Arial" w:hAnsi="Arial" w:cs="Arial"/>
          <w:sz w:val="20"/>
          <w:szCs w:val="20"/>
        </w:rPr>
        <w:t xml:space="preserve">; </w:t>
      </w:r>
      <w:r w:rsidRPr="00613A28">
        <w:rPr>
          <w:rFonts w:ascii="Arial" w:hAnsi="Arial" w:cs="Arial"/>
          <w:sz w:val="20"/>
          <w:szCs w:val="20"/>
        </w:rPr>
        <w:t xml:space="preserve">AV, </w:t>
      </w:r>
      <w:r w:rsidR="00AF18D6">
        <w:rPr>
          <w:rFonts w:ascii="Arial" w:hAnsi="Arial" w:cs="Arial"/>
          <w:sz w:val="20"/>
          <w:szCs w:val="20"/>
        </w:rPr>
        <w:t>atrioventricular</w:t>
      </w:r>
      <w:r>
        <w:rPr>
          <w:rFonts w:ascii="Arial" w:hAnsi="Arial" w:cs="Arial"/>
          <w:sz w:val="20"/>
          <w:szCs w:val="20"/>
        </w:rPr>
        <w:t xml:space="preserve">; </w:t>
      </w:r>
      <w:r w:rsidRPr="00613A28">
        <w:rPr>
          <w:rFonts w:ascii="Arial" w:hAnsi="Arial" w:cs="Arial"/>
          <w:sz w:val="20"/>
          <w:szCs w:val="20"/>
        </w:rPr>
        <w:t>BMD, bone mineral density</w:t>
      </w:r>
      <w:r>
        <w:rPr>
          <w:rFonts w:ascii="Arial" w:hAnsi="Arial" w:cs="Arial"/>
          <w:sz w:val="20"/>
          <w:szCs w:val="20"/>
        </w:rPr>
        <w:t xml:space="preserve">; </w:t>
      </w:r>
      <w:r w:rsidRPr="00613A28">
        <w:rPr>
          <w:rFonts w:ascii="Arial" w:hAnsi="Arial" w:cs="Arial"/>
          <w:sz w:val="20"/>
          <w:szCs w:val="20"/>
        </w:rPr>
        <w:t>BTE, behind the ear</w:t>
      </w:r>
      <w:r>
        <w:rPr>
          <w:rFonts w:ascii="Arial" w:hAnsi="Arial" w:cs="Arial"/>
          <w:sz w:val="20"/>
          <w:szCs w:val="20"/>
        </w:rPr>
        <w:t xml:space="preserve">; </w:t>
      </w:r>
      <w:r w:rsidRPr="00613A28">
        <w:rPr>
          <w:rFonts w:ascii="Arial" w:hAnsi="Arial" w:cs="Arial"/>
          <w:sz w:val="20"/>
          <w:szCs w:val="20"/>
        </w:rPr>
        <w:t xml:space="preserve">CPAP, </w:t>
      </w:r>
      <w:r>
        <w:rPr>
          <w:rFonts w:ascii="Arial" w:eastAsia="Arial" w:hAnsi="Arial" w:cs="Arial"/>
          <w:sz w:val="20"/>
          <w:szCs w:val="20"/>
        </w:rPr>
        <w:t>c</w:t>
      </w:r>
      <w:r w:rsidRPr="00613A28">
        <w:rPr>
          <w:rFonts w:ascii="Arial" w:eastAsia="Arial" w:hAnsi="Arial" w:cs="Arial"/>
          <w:sz w:val="20"/>
          <w:szCs w:val="20"/>
        </w:rPr>
        <w:t xml:space="preserve">ontinuous positive </w:t>
      </w:r>
      <w:r w:rsidRPr="00AF18D6">
        <w:rPr>
          <w:rFonts w:ascii="Arial" w:eastAsia="Arial" w:hAnsi="Arial" w:cs="Arial"/>
          <w:sz w:val="20"/>
          <w:szCs w:val="20"/>
        </w:rPr>
        <w:t>airways pressure</w:t>
      </w:r>
      <w:r w:rsidRPr="00AF18D6">
        <w:rPr>
          <w:rFonts w:ascii="Arial" w:hAnsi="Arial" w:cs="Arial"/>
          <w:sz w:val="20"/>
          <w:szCs w:val="20"/>
        </w:rPr>
        <w:t xml:space="preserve">; DBS, dried blood spot; DMB, </w:t>
      </w:r>
      <w:proofErr w:type="spellStart"/>
      <w:r w:rsidRPr="00AF18D6">
        <w:rPr>
          <w:rFonts w:ascii="Arial" w:eastAsia="Arial" w:hAnsi="Arial" w:cs="Arial"/>
          <w:color w:val="000000"/>
          <w:sz w:val="20"/>
          <w:szCs w:val="20"/>
        </w:rPr>
        <w:t>dimethylmethylene</w:t>
      </w:r>
      <w:proofErr w:type="spellEnd"/>
      <w:r w:rsidRPr="00AF18D6">
        <w:rPr>
          <w:rFonts w:ascii="Arial" w:eastAsia="Arial" w:hAnsi="Arial" w:cs="Arial"/>
          <w:color w:val="000000"/>
          <w:sz w:val="20"/>
          <w:szCs w:val="20"/>
        </w:rPr>
        <w:t xml:space="preserve"> blue</w:t>
      </w:r>
      <w:r w:rsidRPr="00AF18D6">
        <w:rPr>
          <w:rFonts w:ascii="Arial" w:hAnsi="Arial" w:cs="Arial"/>
          <w:sz w:val="20"/>
          <w:szCs w:val="20"/>
        </w:rPr>
        <w:t xml:space="preserve">; ECG, electrocardiogram; ENT, ear, nose and throat; FIM, </w:t>
      </w:r>
      <w:r w:rsidRPr="00AF18D6">
        <w:rPr>
          <w:rFonts w:ascii="Arial" w:eastAsia="Arial" w:hAnsi="Arial" w:cs="Arial"/>
          <w:sz w:val="20"/>
          <w:szCs w:val="20"/>
        </w:rPr>
        <w:t>functional independence measure</w:t>
      </w:r>
      <w:r w:rsidRPr="00AF18D6">
        <w:rPr>
          <w:rFonts w:ascii="Arial" w:hAnsi="Arial" w:cs="Arial"/>
          <w:sz w:val="20"/>
          <w:szCs w:val="20"/>
        </w:rPr>
        <w:t>; GAG</w:t>
      </w:r>
      <w:r w:rsidRPr="00613A28">
        <w:rPr>
          <w:rFonts w:ascii="Arial" w:hAnsi="Arial" w:cs="Arial"/>
          <w:sz w:val="20"/>
          <w:szCs w:val="20"/>
        </w:rPr>
        <w:t xml:space="preserve">, </w:t>
      </w:r>
      <w:r w:rsidRPr="00613A28">
        <w:rPr>
          <w:rFonts w:ascii="Arial" w:eastAsia="Arial" w:hAnsi="Arial" w:cs="Arial"/>
          <w:sz w:val="20"/>
          <w:szCs w:val="20"/>
        </w:rPr>
        <w:t>glycosaminoglycan</w:t>
      </w:r>
      <w:r>
        <w:rPr>
          <w:rFonts w:ascii="Arial" w:hAnsi="Arial" w:cs="Arial"/>
          <w:sz w:val="20"/>
          <w:szCs w:val="20"/>
        </w:rPr>
        <w:t xml:space="preserve">; </w:t>
      </w:r>
      <w:r w:rsidRPr="00613A28">
        <w:rPr>
          <w:rFonts w:ascii="Arial" w:hAnsi="Arial" w:cs="Arial"/>
          <w:sz w:val="20"/>
          <w:szCs w:val="20"/>
        </w:rPr>
        <w:t xml:space="preserve">GnRH, </w:t>
      </w:r>
      <w:r w:rsidR="00A92102">
        <w:rPr>
          <w:rFonts w:ascii="Arial" w:hAnsi="Arial" w:cs="Arial"/>
          <w:sz w:val="20"/>
          <w:szCs w:val="20"/>
        </w:rPr>
        <w:t>g</w:t>
      </w:r>
      <w:r w:rsidR="00A92102" w:rsidRPr="00A92102">
        <w:rPr>
          <w:rFonts w:ascii="Arial" w:hAnsi="Arial" w:cs="Arial"/>
          <w:sz w:val="20"/>
          <w:szCs w:val="20"/>
        </w:rPr>
        <w:t>onadotropin-releasing hormone</w:t>
      </w:r>
      <w:r>
        <w:rPr>
          <w:rFonts w:ascii="Arial" w:hAnsi="Arial" w:cs="Arial"/>
          <w:sz w:val="20"/>
          <w:szCs w:val="20"/>
        </w:rPr>
        <w:t xml:space="preserve">; </w:t>
      </w:r>
      <w:r w:rsidRPr="00613A28">
        <w:rPr>
          <w:rFonts w:ascii="Arial" w:hAnsi="Arial" w:cs="Arial"/>
          <w:sz w:val="20"/>
          <w:szCs w:val="20"/>
        </w:rPr>
        <w:t xml:space="preserve">IDDSI, </w:t>
      </w:r>
      <w:r w:rsidRPr="00613A28">
        <w:rPr>
          <w:rFonts w:ascii="Arial" w:eastAsia="Arial" w:hAnsi="Arial" w:cs="Arial"/>
          <w:sz w:val="20"/>
          <w:szCs w:val="20"/>
        </w:rPr>
        <w:t>International Dysphagia Diet Standardization Initiative</w:t>
      </w:r>
      <w:r>
        <w:rPr>
          <w:rFonts w:ascii="Arial" w:hAnsi="Arial" w:cs="Arial"/>
          <w:sz w:val="20"/>
          <w:szCs w:val="20"/>
        </w:rPr>
        <w:t xml:space="preserve">; </w:t>
      </w:r>
      <w:r w:rsidRPr="00613A28">
        <w:rPr>
          <w:rFonts w:ascii="Arial" w:hAnsi="Arial" w:cs="Arial"/>
          <w:sz w:val="20"/>
          <w:szCs w:val="20"/>
        </w:rPr>
        <w:t xml:space="preserve">IEP, </w:t>
      </w:r>
      <w:r w:rsidRPr="00613A28">
        <w:rPr>
          <w:rFonts w:ascii="Arial" w:eastAsia="Arial" w:hAnsi="Arial" w:cs="Arial"/>
          <w:sz w:val="20"/>
          <w:szCs w:val="20"/>
        </w:rPr>
        <w:t>individualized educational plan</w:t>
      </w:r>
      <w:r>
        <w:rPr>
          <w:rFonts w:ascii="Arial" w:hAnsi="Arial" w:cs="Arial"/>
          <w:sz w:val="20"/>
          <w:szCs w:val="20"/>
        </w:rPr>
        <w:t xml:space="preserve">; </w:t>
      </w:r>
      <w:r w:rsidRPr="00613A28">
        <w:rPr>
          <w:rFonts w:ascii="Arial" w:hAnsi="Arial" w:cs="Arial"/>
          <w:sz w:val="20"/>
          <w:szCs w:val="20"/>
        </w:rPr>
        <w:t xml:space="preserve">IOP, </w:t>
      </w:r>
      <w:r w:rsidRPr="00613A28">
        <w:rPr>
          <w:rFonts w:ascii="Arial" w:eastAsia="Arial" w:hAnsi="Arial" w:cs="Arial"/>
          <w:sz w:val="20"/>
          <w:szCs w:val="20"/>
        </w:rPr>
        <w:t>intraocular pressur</w:t>
      </w:r>
      <w:r>
        <w:rPr>
          <w:rFonts w:ascii="Arial" w:eastAsia="Arial" w:hAnsi="Arial" w:cs="Arial"/>
          <w:sz w:val="20"/>
          <w:szCs w:val="20"/>
        </w:rPr>
        <w:t>e</w:t>
      </w:r>
      <w:r>
        <w:rPr>
          <w:rFonts w:ascii="Arial" w:hAnsi="Arial" w:cs="Arial"/>
          <w:sz w:val="20"/>
          <w:szCs w:val="20"/>
        </w:rPr>
        <w:t xml:space="preserve">; </w:t>
      </w:r>
      <w:r w:rsidRPr="00613A28">
        <w:rPr>
          <w:rFonts w:ascii="Arial" w:hAnsi="Arial" w:cs="Arial"/>
          <w:sz w:val="20"/>
          <w:szCs w:val="20"/>
        </w:rPr>
        <w:t xml:space="preserve">MPS, </w:t>
      </w:r>
      <w:r w:rsidRPr="00613A28">
        <w:rPr>
          <w:rFonts w:ascii="Arial" w:eastAsia="Arial" w:hAnsi="Arial" w:cs="Arial"/>
          <w:sz w:val="20"/>
          <w:szCs w:val="20"/>
        </w:rPr>
        <w:t>mucopolysaccharidosis</w:t>
      </w:r>
      <w:r>
        <w:rPr>
          <w:rFonts w:ascii="Arial" w:hAnsi="Arial" w:cs="Arial"/>
          <w:sz w:val="20"/>
          <w:szCs w:val="20"/>
        </w:rPr>
        <w:t xml:space="preserve">; </w:t>
      </w:r>
      <w:r w:rsidRPr="00613A28">
        <w:rPr>
          <w:rFonts w:ascii="Arial" w:hAnsi="Arial" w:cs="Arial"/>
          <w:sz w:val="20"/>
          <w:szCs w:val="20"/>
        </w:rPr>
        <w:t>MRI, magnetic resonance imaging</w:t>
      </w:r>
      <w:r>
        <w:rPr>
          <w:rFonts w:ascii="Arial" w:hAnsi="Arial" w:cs="Arial"/>
          <w:sz w:val="20"/>
          <w:szCs w:val="20"/>
        </w:rPr>
        <w:t xml:space="preserve">; </w:t>
      </w:r>
      <w:r w:rsidRPr="00613A28">
        <w:rPr>
          <w:rFonts w:ascii="Arial" w:hAnsi="Arial" w:cs="Arial"/>
          <w:sz w:val="20"/>
          <w:szCs w:val="20"/>
        </w:rPr>
        <w:t xml:space="preserve">NCCPC-R, </w:t>
      </w:r>
      <w:r w:rsidR="00AF18D6" w:rsidRPr="00AF18D6">
        <w:rPr>
          <w:rFonts w:ascii="Arial" w:hAnsi="Arial" w:cs="Arial"/>
          <w:sz w:val="20"/>
          <w:szCs w:val="20"/>
        </w:rPr>
        <w:t>Non-communicating Children’s Pain Checklist – Revised</w:t>
      </w:r>
      <w:r>
        <w:rPr>
          <w:rFonts w:ascii="Arial" w:hAnsi="Arial" w:cs="Arial"/>
          <w:sz w:val="20"/>
          <w:szCs w:val="20"/>
        </w:rPr>
        <w:t xml:space="preserve">; </w:t>
      </w:r>
      <w:r w:rsidRPr="00613A28">
        <w:rPr>
          <w:rFonts w:ascii="Arial" w:hAnsi="Arial" w:cs="Arial"/>
          <w:sz w:val="20"/>
          <w:szCs w:val="20"/>
        </w:rPr>
        <w:t xml:space="preserve">OME, </w:t>
      </w:r>
      <w:r w:rsidRPr="00613A28">
        <w:rPr>
          <w:rFonts w:ascii="Arial" w:eastAsia="Arial" w:hAnsi="Arial" w:cs="Arial"/>
          <w:sz w:val="20"/>
          <w:szCs w:val="20"/>
        </w:rPr>
        <w:t>otitis media with effusion</w:t>
      </w:r>
      <w:r>
        <w:rPr>
          <w:rFonts w:ascii="Arial" w:hAnsi="Arial" w:cs="Arial"/>
          <w:sz w:val="20"/>
          <w:szCs w:val="20"/>
        </w:rPr>
        <w:t xml:space="preserve">; </w:t>
      </w:r>
      <w:r w:rsidRPr="00613A28">
        <w:rPr>
          <w:rFonts w:ascii="Arial" w:hAnsi="Arial" w:cs="Arial"/>
          <w:sz w:val="20"/>
          <w:szCs w:val="20"/>
        </w:rPr>
        <w:t xml:space="preserve">OSA, </w:t>
      </w:r>
      <w:r w:rsidRPr="00613A28">
        <w:rPr>
          <w:rFonts w:ascii="Arial" w:eastAsia="Arial" w:hAnsi="Arial" w:cs="Arial"/>
          <w:sz w:val="20"/>
          <w:szCs w:val="20"/>
        </w:rPr>
        <w:t>obstructive sleep apnea</w:t>
      </w:r>
      <w:r>
        <w:rPr>
          <w:rFonts w:ascii="Arial" w:hAnsi="Arial" w:cs="Arial"/>
          <w:sz w:val="20"/>
          <w:szCs w:val="20"/>
        </w:rPr>
        <w:t xml:space="preserve">; </w:t>
      </w:r>
      <w:r w:rsidRPr="00613A28">
        <w:rPr>
          <w:rFonts w:ascii="Arial" w:hAnsi="Arial" w:cs="Arial"/>
          <w:sz w:val="20"/>
          <w:szCs w:val="20"/>
        </w:rPr>
        <w:t xml:space="preserve">PEPI, </w:t>
      </w:r>
      <w:r w:rsidRPr="00613A28">
        <w:rPr>
          <w:rFonts w:ascii="Arial" w:eastAsia="Arial" w:hAnsi="Arial" w:cs="Arial"/>
          <w:sz w:val="20"/>
          <w:szCs w:val="20"/>
        </w:rPr>
        <w:t>Pediatric Evaluation of Disability Inventory</w:t>
      </w:r>
      <w:r>
        <w:rPr>
          <w:rFonts w:ascii="Arial" w:hAnsi="Arial" w:cs="Arial"/>
          <w:sz w:val="20"/>
          <w:szCs w:val="20"/>
        </w:rPr>
        <w:t xml:space="preserve">; </w:t>
      </w:r>
      <w:r w:rsidRPr="00613A28">
        <w:rPr>
          <w:rFonts w:ascii="Arial" w:hAnsi="Arial" w:cs="Arial"/>
          <w:sz w:val="20"/>
          <w:szCs w:val="20"/>
        </w:rPr>
        <w:t xml:space="preserve">PT, </w:t>
      </w:r>
      <w:r w:rsidR="00AF18D6">
        <w:rPr>
          <w:rFonts w:ascii="Arial" w:hAnsi="Arial" w:cs="Arial"/>
          <w:sz w:val="20"/>
          <w:szCs w:val="20"/>
        </w:rPr>
        <w:t>p</w:t>
      </w:r>
      <w:r w:rsidR="00AF18D6" w:rsidRPr="00AF18D6">
        <w:rPr>
          <w:rFonts w:ascii="Arial" w:hAnsi="Arial" w:cs="Arial"/>
          <w:sz w:val="20"/>
          <w:szCs w:val="20"/>
        </w:rPr>
        <w:t xml:space="preserve">rothrombin </w:t>
      </w:r>
      <w:r w:rsidR="00AF18D6">
        <w:rPr>
          <w:rFonts w:ascii="Arial" w:hAnsi="Arial" w:cs="Arial"/>
          <w:sz w:val="20"/>
          <w:szCs w:val="20"/>
        </w:rPr>
        <w:t>t</w:t>
      </w:r>
      <w:r w:rsidR="00AF18D6" w:rsidRPr="00AF18D6">
        <w:rPr>
          <w:rFonts w:ascii="Arial" w:hAnsi="Arial" w:cs="Arial"/>
          <w:sz w:val="20"/>
          <w:szCs w:val="20"/>
        </w:rPr>
        <w:t>ime</w:t>
      </w:r>
      <w:r>
        <w:rPr>
          <w:rFonts w:ascii="Arial" w:hAnsi="Arial" w:cs="Arial"/>
          <w:sz w:val="20"/>
          <w:szCs w:val="20"/>
        </w:rPr>
        <w:t xml:space="preserve">; </w:t>
      </w:r>
      <w:r w:rsidRPr="00613A28">
        <w:rPr>
          <w:rFonts w:ascii="Arial" w:hAnsi="Arial" w:cs="Arial"/>
          <w:sz w:val="20"/>
          <w:szCs w:val="20"/>
        </w:rPr>
        <w:t xml:space="preserve">PTT, </w:t>
      </w:r>
      <w:r w:rsidR="00AF18D6">
        <w:rPr>
          <w:rFonts w:ascii="Arial" w:hAnsi="Arial" w:cs="Arial"/>
          <w:sz w:val="20"/>
          <w:szCs w:val="20"/>
        </w:rPr>
        <w:t>p</w:t>
      </w:r>
      <w:r w:rsidR="00AF18D6" w:rsidRPr="00AF18D6">
        <w:rPr>
          <w:rFonts w:ascii="Arial" w:hAnsi="Arial" w:cs="Arial"/>
          <w:sz w:val="20"/>
          <w:szCs w:val="20"/>
        </w:rPr>
        <w:t xml:space="preserve">artial </w:t>
      </w:r>
      <w:r w:rsidR="00AF18D6">
        <w:rPr>
          <w:rFonts w:ascii="Arial" w:hAnsi="Arial" w:cs="Arial"/>
          <w:sz w:val="20"/>
          <w:szCs w:val="20"/>
        </w:rPr>
        <w:t>t</w:t>
      </w:r>
      <w:r w:rsidR="00AF18D6" w:rsidRPr="00AF18D6">
        <w:rPr>
          <w:rFonts w:ascii="Arial" w:hAnsi="Arial" w:cs="Arial"/>
          <w:sz w:val="20"/>
          <w:szCs w:val="20"/>
        </w:rPr>
        <w:t xml:space="preserve">hromboplastin </w:t>
      </w:r>
      <w:r w:rsidR="00AF18D6">
        <w:rPr>
          <w:rFonts w:ascii="Arial" w:hAnsi="Arial" w:cs="Arial"/>
          <w:sz w:val="20"/>
          <w:szCs w:val="20"/>
        </w:rPr>
        <w:t>t</w:t>
      </w:r>
      <w:r w:rsidR="00AF18D6" w:rsidRPr="00AF18D6">
        <w:rPr>
          <w:rFonts w:ascii="Arial" w:hAnsi="Arial" w:cs="Arial"/>
          <w:sz w:val="20"/>
          <w:szCs w:val="20"/>
        </w:rPr>
        <w:t>ime</w:t>
      </w:r>
      <w:r>
        <w:rPr>
          <w:rFonts w:ascii="Arial" w:hAnsi="Arial" w:cs="Arial"/>
          <w:sz w:val="20"/>
          <w:szCs w:val="20"/>
        </w:rPr>
        <w:t xml:space="preserve">; </w:t>
      </w:r>
      <w:r w:rsidRPr="00613A28">
        <w:rPr>
          <w:rFonts w:ascii="Arial" w:hAnsi="Arial" w:cs="Arial"/>
          <w:sz w:val="20"/>
          <w:szCs w:val="20"/>
        </w:rPr>
        <w:t xml:space="preserve">VFS, </w:t>
      </w:r>
      <w:proofErr w:type="spellStart"/>
      <w:r w:rsidRPr="00613A28">
        <w:rPr>
          <w:rFonts w:ascii="Arial" w:eastAsia="Arial" w:hAnsi="Arial" w:cs="Arial"/>
          <w:sz w:val="20"/>
          <w:szCs w:val="20"/>
        </w:rPr>
        <w:t>Videofluoroscopic</w:t>
      </w:r>
      <w:proofErr w:type="spellEnd"/>
      <w:r w:rsidRPr="00613A28">
        <w:rPr>
          <w:rFonts w:ascii="Arial" w:eastAsia="Arial" w:hAnsi="Arial" w:cs="Arial"/>
          <w:sz w:val="20"/>
          <w:szCs w:val="20"/>
        </w:rPr>
        <w:t xml:space="preserve"> Swallowing Study</w:t>
      </w:r>
    </w:p>
    <w:p w14:paraId="337404DD" w14:textId="77777777" w:rsidR="00212EA8" w:rsidRDefault="00212EA8">
      <w:pPr>
        <w:spacing w:line="360" w:lineRule="auto"/>
        <w:rPr>
          <w:rFonts w:ascii="Arial" w:eastAsia="Arial" w:hAnsi="Arial" w:cs="Arial"/>
        </w:rPr>
      </w:pPr>
    </w:p>
    <w:sectPr w:rsidR="00212EA8" w:rsidSect="006318CA">
      <w:pgSz w:w="16838" w:h="11906" w:orient="landscape"/>
      <w:pgMar w:top="1134" w:right="1440" w:bottom="1134"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37557" w14:textId="77777777" w:rsidR="001A0964" w:rsidRDefault="001A0964">
      <w:pPr>
        <w:spacing w:after="0" w:line="240" w:lineRule="auto"/>
      </w:pPr>
      <w:r>
        <w:separator/>
      </w:r>
    </w:p>
  </w:endnote>
  <w:endnote w:type="continuationSeparator" w:id="0">
    <w:p w14:paraId="268FE921" w14:textId="77777777" w:rsidR="001A0964" w:rsidRDefault="001A0964">
      <w:pPr>
        <w:spacing w:after="0" w:line="240" w:lineRule="auto"/>
      </w:pPr>
      <w:r>
        <w:continuationSeparator/>
      </w:r>
    </w:p>
  </w:endnote>
  <w:endnote w:type="continuationNotice" w:id="1">
    <w:p w14:paraId="70D111CF" w14:textId="77777777" w:rsidR="001A0964" w:rsidRDefault="001A09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39F" w14:textId="33F9DDB9" w:rsidR="00A56532" w:rsidRPr="00A92102" w:rsidRDefault="00A56532" w:rsidP="00A92102">
    <w:pPr>
      <w:pBdr>
        <w:top w:val="nil"/>
        <w:left w:val="nil"/>
        <w:bottom w:val="nil"/>
        <w:right w:val="nil"/>
        <w:between w:val="nil"/>
      </w:pBdr>
      <w:tabs>
        <w:tab w:val="center" w:pos="4513"/>
        <w:tab w:val="right" w:pos="9026"/>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noProof/>
        <w:color w:val="000000"/>
      </w:rPr>
      <w:t>1</w:t>
    </w:r>
    <w:r>
      <w:rPr>
        <w:rFonts w:ascii="Arial" w:eastAsia="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120D3" w14:textId="77777777" w:rsidR="001A0964" w:rsidRDefault="001A0964">
      <w:pPr>
        <w:spacing w:after="0" w:line="240" w:lineRule="auto"/>
      </w:pPr>
      <w:r>
        <w:separator/>
      </w:r>
    </w:p>
  </w:footnote>
  <w:footnote w:type="continuationSeparator" w:id="0">
    <w:p w14:paraId="0815ADC7" w14:textId="77777777" w:rsidR="001A0964" w:rsidRDefault="001A0964">
      <w:pPr>
        <w:spacing w:after="0" w:line="240" w:lineRule="auto"/>
      </w:pPr>
      <w:r>
        <w:continuationSeparator/>
      </w:r>
    </w:p>
  </w:footnote>
  <w:footnote w:type="continuationNotice" w:id="1">
    <w:p w14:paraId="35A5826A" w14:textId="77777777" w:rsidR="001A0964" w:rsidRDefault="001A09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34F84"/>
    <w:multiLevelType w:val="multilevel"/>
    <w:tmpl w:val="914A71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894C5C"/>
    <w:multiLevelType w:val="multilevel"/>
    <w:tmpl w:val="459A96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64689C"/>
    <w:multiLevelType w:val="multilevel"/>
    <w:tmpl w:val="EA369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CC12E9"/>
    <w:multiLevelType w:val="multilevel"/>
    <w:tmpl w:val="60BA19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97D2CBB"/>
    <w:multiLevelType w:val="multilevel"/>
    <w:tmpl w:val="7068D8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AAD7115"/>
    <w:multiLevelType w:val="multilevel"/>
    <w:tmpl w:val="F678FD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19F6EA6"/>
    <w:multiLevelType w:val="multilevel"/>
    <w:tmpl w:val="54C8E3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D5745B5"/>
    <w:multiLevelType w:val="multilevel"/>
    <w:tmpl w:val="005AD5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4"/>
  </w:num>
  <w:num w:numId="2">
    <w:abstractNumId w:val="1"/>
  </w:num>
  <w:num w:numId="3">
    <w:abstractNumId w:val="5"/>
  </w:num>
  <w:num w:numId="4">
    <w:abstractNumId w:val="7"/>
  </w:num>
  <w:num w:numId="5">
    <w:abstractNumId w:val="3"/>
  </w:num>
  <w:num w:numId="6">
    <w:abstractNumId w:val="0"/>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2AF"/>
    <w:rsid w:val="00013627"/>
    <w:rsid w:val="0004799E"/>
    <w:rsid w:val="00057497"/>
    <w:rsid w:val="00082BF3"/>
    <w:rsid w:val="00092072"/>
    <w:rsid w:val="000A7A4D"/>
    <w:rsid w:val="000E0A02"/>
    <w:rsid w:val="00101941"/>
    <w:rsid w:val="00130568"/>
    <w:rsid w:val="00153C7C"/>
    <w:rsid w:val="001547DD"/>
    <w:rsid w:val="0017222C"/>
    <w:rsid w:val="001863F7"/>
    <w:rsid w:val="001A0964"/>
    <w:rsid w:val="001A392E"/>
    <w:rsid w:val="001B336B"/>
    <w:rsid w:val="001E4ABE"/>
    <w:rsid w:val="00212A22"/>
    <w:rsid w:val="00212EA8"/>
    <w:rsid w:val="00213841"/>
    <w:rsid w:val="00215CF1"/>
    <w:rsid w:val="00245ECA"/>
    <w:rsid w:val="00251559"/>
    <w:rsid w:val="002937BF"/>
    <w:rsid w:val="002A7BCC"/>
    <w:rsid w:val="002B2F24"/>
    <w:rsid w:val="002E04A0"/>
    <w:rsid w:val="002F2638"/>
    <w:rsid w:val="003356F0"/>
    <w:rsid w:val="003408DC"/>
    <w:rsid w:val="00356747"/>
    <w:rsid w:val="00390EDA"/>
    <w:rsid w:val="003C4B56"/>
    <w:rsid w:val="003E433A"/>
    <w:rsid w:val="003F3D12"/>
    <w:rsid w:val="00402065"/>
    <w:rsid w:val="004347BA"/>
    <w:rsid w:val="004419EA"/>
    <w:rsid w:val="00473C9B"/>
    <w:rsid w:val="004B0E8F"/>
    <w:rsid w:val="004C3FFE"/>
    <w:rsid w:val="004D409D"/>
    <w:rsid w:val="004D7F44"/>
    <w:rsid w:val="004E6338"/>
    <w:rsid w:val="005074AD"/>
    <w:rsid w:val="005261AB"/>
    <w:rsid w:val="00571CC3"/>
    <w:rsid w:val="005C23C4"/>
    <w:rsid w:val="005D26DE"/>
    <w:rsid w:val="005D74CE"/>
    <w:rsid w:val="00622B45"/>
    <w:rsid w:val="00624083"/>
    <w:rsid w:val="006318CA"/>
    <w:rsid w:val="00647C49"/>
    <w:rsid w:val="006F6D38"/>
    <w:rsid w:val="0072008D"/>
    <w:rsid w:val="007302F7"/>
    <w:rsid w:val="00732BE8"/>
    <w:rsid w:val="0074387A"/>
    <w:rsid w:val="00745713"/>
    <w:rsid w:val="007564F7"/>
    <w:rsid w:val="00757D77"/>
    <w:rsid w:val="007777F6"/>
    <w:rsid w:val="007829B2"/>
    <w:rsid w:val="007A57FE"/>
    <w:rsid w:val="007F4434"/>
    <w:rsid w:val="007F5CB5"/>
    <w:rsid w:val="007F6E8C"/>
    <w:rsid w:val="00804B4C"/>
    <w:rsid w:val="00807D2C"/>
    <w:rsid w:val="0082039E"/>
    <w:rsid w:val="0087258C"/>
    <w:rsid w:val="008778D2"/>
    <w:rsid w:val="008A2418"/>
    <w:rsid w:val="008D5488"/>
    <w:rsid w:val="008D5E88"/>
    <w:rsid w:val="0093785F"/>
    <w:rsid w:val="009535A3"/>
    <w:rsid w:val="0096160C"/>
    <w:rsid w:val="009C5250"/>
    <w:rsid w:val="009F409B"/>
    <w:rsid w:val="00A00282"/>
    <w:rsid w:val="00A261F0"/>
    <w:rsid w:val="00A56532"/>
    <w:rsid w:val="00A85887"/>
    <w:rsid w:val="00A92102"/>
    <w:rsid w:val="00A9433D"/>
    <w:rsid w:val="00AE5718"/>
    <w:rsid w:val="00AF18D6"/>
    <w:rsid w:val="00AF50FD"/>
    <w:rsid w:val="00B26FC2"/>
    <w:rsid w:val="00B31732"/>
    <w:rsid w:val="00B742B4"/>
    <w:rsid w:val="00B90411"/>
    <w:rsid w:val="00BA47E9"/>
    <w:rsid w:val="00BA6A40"/>
    <w:rsid w:val="00BC52AF"/>
    <w:rsid w:val="00C13651"/>
    <w:rsid w:val="00C32A0D"/>
    <w:rsid w:val="00C556B8"/>
    <w:rsid w:val="00C77D98"/>
    <w:rsid w:val="00CA048D"/>
    <w:rsid w:val="00D05001"/>
    <w:rsid w:val="00D16C1D"/>
    <w:rsid w:val="00D21F4B"/>
    <w:rsid w:val="00D47958"/>
    <w:rsid w:val="00D8143B"/>
    <w:rsid w:val="00DA17BC"/>
    <w:rsid w:val="00DB0980"/>
    <w:rsid w:val="00DB3280"/>
    <w:rsid w:val="00DD3B6B"/>
    <w:rsid w:val="00E04452"/>
    <w:rsid w:val="00E225A2"/>
    <w:rsid w:val="00E4133B"/>
    <w:rsid w:val="00E533A7"/>
    <w:rsid w:val="00EB3FB6"/>
    <w:rsid w:val="00ED2FC7"/>
    <w:rsid w:val="00F14EC6"/>
    <w:rsid w:val="00F335CF"/>
    <w:rsid w:val="00F5311F"/>
    <w:rsid w:val="00F54793"/>
    <w:rsid w:val="00F91506"/>
    <w:rsid w:val="00F9735E"/>
    <w:rsid w:val="00FB2F1E"/>
    <w:rsid w:val="00FB7412"/>
    <w:rsid w:val="00FD4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76151"/>
  <w15:docId w15:val="{B681A633-1E49-4A20-B5A4-2758AF89F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B40"/>
    <w:rPr>
      <w:lang w:eastAsia="en-AU"/>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F45B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5B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5B40"/>
    <w:rPr>
      <w:rFonts w:ascii="Segoe UI" w:eastAsia="Calibri" w:hAnsi="Segoe UI" w:cs="Segoe UI"/>
      <w:sz w:val="18"/>
      <w:szCs w:val="18"/>
      <w:lang w:val="en-US" w:eastAsia="en-AU"/>
    </w:rPr>
  </w:style>
  <w:style w:type="character" w:styleId="CommentReference">
    <w:name w:val="annotation reference"/>
    <w:basedOn w:val="DefaultParagraphFont"/>
    <w:uiPriority w:val="99"/>
    <w:semiHidden/>
    <w:unhideWhenUsed/>
    <w:rsid w:val="00126D17"/>
    <w:rPr>
      <w:sz w:val="16"/>
      <w:szCs w:val="16"/>
    </w:rPr>
  </w:style>
  <w:style w:type="paragraph" w:styleId="CommentText">
    <w:name w:val="annotation text"/>
    <w:basedOn w:val="Normal"/>
    <w:link w:val="CommentTextChar"/>
    <w:uiPriority w:val="99"/>
    <w:semiHidden/>
    <w:unhideWhenUsed/>
    <w:rsid w:val="00126D17"/>
    <w:pPr>
      <w:spacing w:line="240" w:lineRule="auto"/>
    </w:pPr>
    <w:rPr>
      <w:sz w:val="20"/>
      <w:szCs w:val="20"/>
    </w:rPr>
  </w:style>
  <w:style w:type="character" w:customStyle="1" w:styleId="CommentTextChar">
    <w:name w:val="Comment Text Char"/>
    <w:basedOn w:val="DefaultParagraphFont"/>
    <w:link w:val="CommentText"/>
    <w:uiPriority w:val="99"/>
    <w:semiHidden/>
    <w:rsid w:val="00126D17"/>
    <w:rPr>
      <w:rFonts w:ascii="Calibri" w:eastAsia="Calibri" w:hAnsi="Calibri" w:cs="Calibri"/>
      <w:sz w:val="20"/>
      <w:szCs w:val="20"/>
      <w:lang w:val="en-US" w:eastAsia="en-AU"/>
    </w:rPr>
  </w:style>
  <w:style w:type="paragraph" w:styleId="CommentSubject">
    <w:name w:val="annotation subject"/>
    <w:basedOn w:val="CommentText"/>
    <w:next w:val="CommentText"/>
    <w:link w:val="CommentSubjectChar"/>
    <w:uiPriority w:val="99"/>
    <w:semiHidden/>
    <w:unhideWhenUsed/>
    <w:rsid w:val="00126D17"/>
    <w:rPr>
      <w:b/>
      <w:bCs/>
    </w:rPr>
  </w:style>
  <w:style w:type="character" w:customStyle="1" w:styleId="CommentSubjectChar">
    <w:name w:val="Comment Subject Char"/>
    <w:basedOn w:val="CommentTextChar"/>
    <w:link w:val="CommentSubject"/>
    <w:uiPriority w:val="99"/>
    <w:semiHidden/>
    <w:rsid w:val="00126D17"/>
    <w:rPr>
      <w:rFonts w:ascii="Calibri" w:eastAsia="Calibri" w:hAnsi="Calibri" w:cs="Calibri"/>
      <w:b/>
      <w:bCs/>
      <w:sz w:val="20"/>
      <w:szCs w:val="20"/>
      <w:lang w:val="en-US" w:eastAsia="en-AU"/>
    </w:rPr>
  </w:style>
  <w:style w:type="paragraph" w:styleId="ListParagraph">
    <w:name w:val="List Paragraph"/>
    <w:basedOn w:val="Normal"/>
    <w:uiPriority w:val="34"/>
    <w:qFormat/>
    <w:rsid w:val="000F2015"/>
    <w:pPr>
      <w:ind w:left="720"/>
      <w:contextualSpacing/>
    </w:pPr>
  </w:style>
  <w:style w:type="paragraph" w:styleId="Header">
    <w:name w:val="header"/>
    <w:basedOn w:val="Normal"/>
    <w:link w:val="HeaderChar"/>
    <w:uiPriority w:val="99"/>
    <w:unhideWhenUsed/>
    <w:rsid w:val="001C36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66B"/>
    <w:rPr>
      <w:rFonts w:ascii="Calibri" w:eastAsia="Calibri" w:hAnsi="Calibri" w:cs="Calibri"/>
      <w:lang w:val="en-US" w:eastAsia="en-AU"/>
    </w:rPr>
  </w:style>
  <w:style w:type="paragraph" w:styleId="Footer">
    <w:name w:val="footer"/>
    <w:basedOn w:val="Normal"/>
    <w:link w:val="FooterChar"/>
    <w:uiPriority w:val="99"/>
    <w:unhideWhenUsed/>
    <w:rsid w:val="001C36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66B"/>
    <w:rPr>
      <w:rFonts w:ascii="Calibri" w:eastAsia="Calibri" w:hAnsi="Calibri" w:cs="Calibri"/>
      <w:lang w:val="en-US" w:eastAsia="en-AU"/>
    </w:rPr>
  </w:style>
  <w:style w:type="paragraph" w:styleId="NormalWeb">
    <w:name w:val="Normal (Web)"/>
    <w:basedOn w:val="Normal"/>
    <w:uiPriority w:val="99"/>
    <w:semiHidden/>
    <w:unhideWhenUsed/>
    <w:rsid w:val="002A4ECC"/>
    <w:pPr>
      <w:spacing w:before="100" w:beforeAutospacing="1" w:after="100" w:afterAutospacing="1" w:line="240" w:lineRule="auto"/>
    </w:pPr>
    <w:rPr>
      <w:rFonts w:ascii="Times New Roman" w:eastAsia="Times New Roman" w:hAnsi="Times New Roman" w:cs="Times New Roman"/>
      <w:sz w:val="24"/>
      <w:szCs w:val="24"/>
      <w:lang w:val="en-AU"/>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paragraph" w:styleId="Revision">
    <w:name w:val="Revision"/>
    <w:hidden/>
    <w:uiPriority w:val="99"/>
    <w:semiHidden/>
    <w:rsid w:val="00FB7412"/>
    <w:pPr>
      <w:spacing w:after="0" w:line="240" w:lineRule="auto"/>
    </w:pPr>
    <w:rPr>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708027">
      <w:bodyDiv w:val="1"/>
      <w:marLeft w:val="0"/>
      <w:marRight w:val="0"/>
      <w:marTop w:val="0"/>
      <w:marBottom w:val="0"/>
      <w:divBdr>
        <w:top w:val="none" w:sz="0" w:space="0" w:color="auto"/>
        <w:left w:val="none" w:sz="0" w:space="0" w:color="auto"/>
        <w:bottom w:val="none" w:sz="0" w:space="0" w:color="auto"/>
        <w:right w:val="none" w:sz="0" w:space="0" w:color="auto"/>
      </w:divBdr>
      <w:divsChild>
        <w:div w:id="1223563286">
          <w:marLeft w:val="0"/>
          <w:marRight w:val="0"/>
          <w:marTop w:val="0"/>
          <w:marBottom w:val="0"/>
          <w:divBdr>
            <w:top w:val="none" w:sz="0" w:space="0" w:color="auto"/>
            <w:left w:val="none" w:sz="0" w:space="0" w:color="auto"/>
            <w:bottom w:val="none" w:sz="0" w:space="0" w:color="auto"/>
            <w:right w:val="none" w:sz="0" w:space="0" w:color="auto"/>
          </w:divBdr>
        </w:div>
      </w:divsChild>
    </w:div>
    <w:div w:id="1267271829">
      <w:bodyDiv w:val="1"/>
      <w:marLeft w:val="0"/>
      <w:marRight w:val="0"/>
      <w:marTop w:val="0"/>
      <w:marBottom w:val="0"/>
      <w:divBdr>
        <w:top w:val="none" w:sz="0" w:space="0" w:color="auto"/>
        <w:left w:val="none" w:sz="0" w:space="0" w:color="auto"/>
        <w:bottom w:val="none" w:sz="0" w:space="0" w:color="auto"/>
        <w:right w:val="none" w:sz="0" w:space="0" w:color="auto"/>
      </w:divBdr>
    </w:div>
    <w:div w:id="1293175806">
      <w:bodyDiv w:val="1"/>
      <w:marLeft w:val="0"/>
      <w:marRight w:val="0"/>
      <w:marTop w:val="0"/>
      <w:marBottom w:val="0"/>
      <w:divBdr>
        <w:top w:val="none" w:sz="0" w:space="0" w:color="auto"/>
        <w:left w:val="none" w:sz="0" w:space="0" w:color="auto"/>
        <w:bottom w:val="none" w:sz="0" w:space="0" w:color="auto"/>
        <w:right w:val="none" w:sz="0" w:space="0" w:color="auto"/>
      </w:divBdr>
      <w:divsChild>
        <w:div w:id="9823880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eM1avjjFwGDCpggP5gQz4OZ/tw==">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7044</Words>
  <Characters>40153</Characters>
  <Application>Microsoft Office Word</Application>
  <DocSecurity>0</DocSecurity>
  <Lines>334</Lines>
  <Paragraphs>94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vt:lpstr>
      <vt:lpstr/>
    </vt:vector>
  </TitlesOfParts>
  <Manager>-</Manager>
  <Company>-</Company>
  <LinksUpToDate>false</LinksUpToDate>
  <CharactersWithSpaces>47103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lastModifiedBy>Bridget Conneely</cp:lastModifiedBy>
  <cp:revision>2</cp:revision>
  <cp:lastPrinted>2022-03-24T09:19:00Z</cp:lastPrinted>
  <dcterms:created xsi:type="dcterms:W3CDTF">2022-03-29T10:20:00Z</dcterms:created>
  <dcterms:modified xsi:type="dcterms:W3CDTF">2022-03-29T10:20:00Z</dcterms:modified>
</cp:coreProperties>
</file>