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line="480" w:lineRule="auto"/>
        <w:jc w:val="center"/>
        <w:rPr>
          <w:rFonts w:hint="default" w:ascii="Times New Roman" w:hAnsi="Times New Roman" w:cs="Times New Roman"/>
          <w:b/>
          <w:bCs w:val="0"/>
          <w:sz w:val="20"/>
          <w:szCs w:val="20"/>
        </w:rPr>
      </w:pPr>
      <w:r>
        <w:rPr>
          <w:rFonts w:hint="default" w:ascii="Times New Roman" w:hAnsi="Times New Roman" w:eastAsia="Arial-BoldMT" w:cs="Times New Roman"/>
          <w:b/>
          <w:bCs w:val="0"/>
          <w:color w:val="000000"/>
          <w:kern w:val="0"/>
          <w:sz w:val="20"/>
          <w:szCs w:val="20"/>
          <w:lang w:val="en-US" w:eastAsia="zh-CN" w:bidi="ar"/>
        </w:rPr>
        <w:t xml:space="preserve">Table </w:t>
      </w:r>
      <w:r>
        <w:rPr>
          <w:rFonts w:hint="eastAsia" w:ascii="Times New Roman" w:hAnsi="Times New Roman" w:eastAsia="Arial-BoldMT" w:cs="Times New Roman"/>
          <w:b/>
          <w:bCs w:val="0"/>
          <w:color w:val="000000"/>
          <w:kern w:val="0"/>
          <w:sz w:val="20"/>
          <w:szCs w:val="20"/>
          <w:lang w:val="en-US" w:eastAsia="zh-CN" w:bidi="ar"/>
        </w:rPr>
        <w:t>S3</w:t>
      </w:r>
      <w:bookmarkStart w:id="0" w:name="_GoBack"/>
      <w:bookmarkEnd w:id="0"/>
      <w:r>
        <w:rPr>
          <w:rFonts w:hint="default" w:ascii="Times New Roman" w:hAnsi="Times New Roman" w:eastAsia="Arial-BoldMT" w:cs="Times New Roman"/>
          <w:b/>
          <w:bCs w:val="0"/>
          <w:color w:val="000000"/>
          <w:kern w:val="0"/>
          <w:sz w:val="20"/>
          <w:szCs w:val="20"/>
          <w:lang w:val="en-US" w:eastAsia="zh-CN" w:bidi="ar"/>
        </w:rPr>
        <w:t xml:space="preserve"> </w:t>
      </w:r>
      <w:r>
        <w:rPr>
          <w:rFonts w:hint="default" w:ascii="Times New Roman" w:hAnsi="Times New Roman" w:eastAsia="ArialMT" w:cs="Times New Roman"/>
          <w:b/>
          <w:bCs w:val="0"/>
          <w:color w:val="000000"/>
          <w:kern w:val="0"/>
          <w:sz w:val="20"/>
          <w:szCs w:val="20"/>
          <w:lang w:val="en-US" w:eastAsia="zh-CN" w:bidi="ar"/>
        </w:rPr>
        <w:t>Single nucleotide polymorphisms (SNP) that fulfilled our selection criteria to be used as proxies for the effects for antihypertensive drug classes</w:t>
      </w:r>
    </w:p>
    <w:tbl>
      <w:tblPr>
        <w:tblStyle w:val="3"/>
        <w:tblW w:w="10695" w:type="dxa"/>
        <w:tblInd w:w="-11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9"/>
        <w:gridCol w:w="598"/>
        <w:gridCol w:w="1116"/>
        <w:gridCol w:w="1161"/>
        <w:gridCol w:w="727"/>
        <w:gridCol w:w="670"/>
        <w:gridCol w:w="884"/>
        <w:gridCol w:w="810"/>
        <w:gridCol w:w="990"/>
        <w:gridCol w:w="1020"/>
        <w:gridCol w:w="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SNP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Chr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Position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Gene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Effect allele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EAF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Beta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SE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-value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2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5" w:type="dxa"/>
            <w:gridSpan w:val="1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  <w:t>ACE inhibitors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rs4291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61554194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ACE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0.615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-0.2839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0.0312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8.65E-20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0.00037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82.8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5" w:type="dxa"/>
            <w:gridSpan w:val="1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  <w:t>Beta blockers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rs11196549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115707298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ADRB1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0.042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0.6884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0.0784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1.58E-18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77.1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rs460718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115721364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ADRB1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0.326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-0.2764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0.0324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1.36E-17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0.00033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72.8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rs11196597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115788094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ADRB1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0.133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0.2858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0.0458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4.23E-10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0.00018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rs79850079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115790006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ADRB1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-0.5804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0.0905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1.45E-10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9.80E-05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rs17875473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115800294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ADRB1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0.087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0.3283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0.0552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2.66E-09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0.00014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rs2429511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115801253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ADRB1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-0.3728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0.0303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7.39E-35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0.00051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151.4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rs1801253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115805056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ADRB1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0.733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0.4626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0.0344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2.84E-41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5.00E-04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180.8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rs4359161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115826508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ADRB1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0.181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-0.2662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0.0391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9.46E-12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0.00022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95" w:type="dxa"/>
            <w:gridSpan w:val="11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  <w:t>Calcium channel blockers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rs116556102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2303850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0.983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-0.6853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0.1252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4.42E-08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6.00E-05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rs2239046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2434419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0.681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0.2082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0.0322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9.58E-11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rs714277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2514270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CACNA1C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0.283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0.1986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0.0333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2.38E-09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0.00022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rs2488136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18334521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0.287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0.2261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0.0334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1.22E-11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45.8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rs1888693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18440444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0.344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0.3858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0.0317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4.69E-34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0.00048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148.1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rs17604757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18442940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0.932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-0.5022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0.0606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1.12E-16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0.00017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rs12571593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18443222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0.907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-0.3996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0.0521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1.71E-14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0.00018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58.8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rs12414844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18451994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0.266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0.279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0.0342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3.15E-16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3.00E-04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rs7076319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18459450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0.733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-0.321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0.0341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5.07E-21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0.00034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rs17662793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18465479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0.712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0.2363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0.0338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2.65E-12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0.00027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rs10828295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18466094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0.747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-0.3397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0.0349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2.18E-22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94.7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rs16916922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18467744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0.858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-0.3662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0.0433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2.86E-17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0.00024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71.5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rs61278674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18481737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0.906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-0.3298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0.054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1.03E-09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rs4748444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18494482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0.663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0.1939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0.0327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3.13E-09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0.00024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rs1539680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18502889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0.792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-0.3259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0.0375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3.37E-18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0.00029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75.5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rs1779209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18514561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0.287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0.2736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0.0336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4.23E-16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0.00031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66.3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rs1757213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18537594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0.112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0.3084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0.0507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1.15E-09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0.00017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37.0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rs10828399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18553968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0.521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-0.1947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0.0302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1.10E-10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0.00027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rs10828452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18592450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0.793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0.3046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0.0388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4.20E-15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0.00027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61.6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rs17610275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18621630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0.926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0.3868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0.0613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2.87E-10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0.00014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39.8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rs10828542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18627285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0.613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0.1817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0.0311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5.18E-09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0.00024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rs112701401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18644811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0.969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0.5026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0.0921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4.92E-08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8.20E-05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29.8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rs7072277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18658707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0.471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-0.1746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0.0301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6.88E-09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0.00024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rs11013938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18669271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0.255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-0.3265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1.17E-20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0.00034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87.0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rs12780039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18678987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0.121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0.2852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0.047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1.26E-09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0.00017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rs79253631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18694223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0.986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-0.7774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0.1392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2.32E-08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5.70E-05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rs112133583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18695681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0.029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-0.5546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0.0973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1.18E-08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8.80E-05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rs7909027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18695892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0.649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-0.3312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0.0318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2.01E-25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0.00041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108.5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rs10828662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18703097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0.558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-0.2879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0.0304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2.54E-21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0.00039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89.7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rs982003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18707296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0.756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-0.2414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0.0351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6.21E-12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0.00024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47.3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rs1325990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18707352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-0.3873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0.0302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1.09E-37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0.00053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164.5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rs11014170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18710991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-0.6701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0.115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5.61E-09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7.40E-05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rs72786085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18713206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0.079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-0.5309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0.0595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4.46E-19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0.00021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rs10828689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18721957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0.443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-0.3634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0.0304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6.94E-33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0.00049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142.9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rs67214975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18727251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0.456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-0.4144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1.42E-41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0.00057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182.2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rs7923191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18727901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0.791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-0.369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0.0376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1.10E-22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0.00033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96.3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rs12258967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18727959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0.704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0.6327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0.0337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1.08E-78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0.00072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352.5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rs72786098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18729855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-0.5033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0.0883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1.18E-08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8.60E-05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rs116936375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18737135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-0.5739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0.081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1.40E-12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0.00012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50.2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rs12256244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18750045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0.626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0.4246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0.0315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2.09E-41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0.00055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181.7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rs1998822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18755664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0.723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-0.1958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0.0343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1.15E-08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0.00022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32.6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rs7070582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18755942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0.383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0.2502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0.0317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2.86E-15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0.00033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62.3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rs7076100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18759537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0.406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-0.3569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0.0308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5.51E-31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0.00047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134.3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rs7076247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18759629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0.388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0.2557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0.0309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1.33E-16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0.00033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rs11014494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18780705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0.492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0.1676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0.0304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3.37E-08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0.00023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rs10828784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18788273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0.663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0.2021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0.0345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4.49E-09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34.3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rs12416030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18789075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0.796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-0.2088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0.0381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4.32E-08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0.00019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rs12416052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18789267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0.594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0.1987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0.0311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1.59E-10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0.00026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rs4748476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18792875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CACNB2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0.777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0.2166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0.0365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2.89E-09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0.00021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35.2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rs150857355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49209340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CACNB3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0.021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0.9406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0.1122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5.20E-17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0.00011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70.3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rs312487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53545622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CACNA1D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0.478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0.2194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9.65E-13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3.00E-04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51.1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rs3821843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53558012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CACNA1D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0.68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0.3373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0.0335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6.56E-24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4.00E-04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101.4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rs9311502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53560321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CACNA1D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0.76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-0.2463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0.0355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3.87E-12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48.1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rs1547950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53568283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CACNA1D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0.537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-0.2151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2.33E-12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0.00029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49.1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rs11709630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53577164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CACNA1D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0.637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0.1931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1.61E-09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rs114987861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53605712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CACNA1D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0.028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0.5289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0.0958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3.36E-08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8.00E-05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30.5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rs113210396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53612327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CACNA1D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0.045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-0.4338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0.077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1.76E-08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1.00E-04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31.7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rs3774475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53650483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CACNA1D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0.417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0.1854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0.0307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1.60E-09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0.00025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36.5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rs7340705</w:t>
            </w: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vertAlign w:val="superscript"/>
                <w:lang w:val="en-US" w:eastAsia="zh-CN" w:bidi="ar"/>
              </w:rPr>
              <w:t>a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53734443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CACNA1D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0.673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-0.2425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0.0322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4.87E-14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0.00029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56.7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5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rs2633731</w:t>
            </w:r>
          </w:p>
        </w:tc>
        <w:tc>
          <w:tcPr>
            <w:tcW w:w="5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11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53738424</w:t>
            </w:r>
          </w:p>
        </w:tc>
        <w:tc>
          <w:tcPr>
            <w:tcW w:w="11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CACNA1D</w:t>
            </w:r>
          </w:p>
        </w:tc>
        <w:tc>
          <w:tcPr>
            <w:tcW w:w="72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</w:t>
            </w:r>
          </w:p>
        </w:tc>
        <w:tc>
          <w:tcPr>
            <w:tcW w:w="67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0.396</w:t>
            </w:r>
          </w:p>
        </w:tc>
        <w:tc>
          <w:tcPr>
            <w:tcW w:w="8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-0.1963</w:t>
            </w:r>
          </w:p>
        </w:tc>
        <w:tc>
          <w:tcPr>
            <w:tcW w:w="81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0.0309</w:t>
            </w:r>
          </w:p>
        </w:tc>
        <w:tc>
          <w:tcPr>
            <w:tcW w:w="99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2.21E-10</w:t>
            </w:r>
          </w:p>
        </w:tc>
        <w:tc>
          <w:tcPr>
            <w:tcW w:w="102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0.00026</w:t>
            </w:r>
          </w:p>
        </w:tc>
        <w:tc>
          <w:tcPr>
            <w:tcW w:w="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cs="Times New Roman"/>
                <w:sz w:val="20"/>
                <w:szCs w:val="20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40.4 </w:t>
            </w:r>
          </w:p>
        </w:tc>
      </w:tr>
    </w:tbl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ArialMT" w:cs="Times New Roman"/>
          <w:b/>
          <w:bCs w:val="0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Times New Roman" w:hAnsi="Times New Roman" w:eastAsia="ArialMT" w:cs="Times New Roman"/>
          <w:b/>
          <w:bCs w:val="0"/>
          <w:color w:val="000000"/>
          <w:kern w:val="0"/>
          <w:sz w:val="20"/>
          <w:szCs w:val="20"/>
          <w:vertAlign w:val="superscript"/>
          <w:lang w:val="en-US" w:eastAsia="zh-CN" w:bidi="ar"/>
        </w:rPr>
        <w:t>a</w:t>
      </w:r>
      <w:r>
        <w:rPr>
          <w:rFonts w:hint="default" w:ascii="Times New Roman" w:hAnsi="Times New Roman" w:eastAsia="ArialMT" w:cs="Times New Roman"/>
          <w:b/>
          <w:bCs w:val="0"/>
          <w:color w:val="000000"/>
          <w:kern w:val="0"/>
          <w:sz w:val="20"/>
          <w:szCs w:val="20"/>
          <w:vertAlign w:val="superscript"/>
          <w:lang w:val="en-US" w:eastAsia="zh-CN" w:bidi="ar"/>
        </w:rPr>
        <w:t xml:space="preserve"> </w:t>
      </w:r>
      <w:r>
        <w:rPr>
          <w:rFonts w:hint="default" w:ascii="Times New Roman" w:hAnsi="Times New Roman" w:eastAsia="ArialMT" w:cs="Times New Roman"/>
          <w:b/>
          <w:bCs w:val="0"/>
          <w:color w:val="000000"/>
          <w:kern w:val="0"/>
          <w:sz w:val="20"/>
          <w:szCs w:val="20"/>
          <w:lang w:val="en-US" w:eastAsia="zh-CN" w:bidi="ar"/>
        </w:rPr>
        <w:t>SNPs also included in the additional analysis</w:t>
      </w:r>
      <w:r>
        <w:rPr>
          <w:rFonts w:hint="eastAsia" w:ascii="Times New Roman" w:hAnsi="Times New Roman" w:eastAsia="ArialMT" w:cs="Times New Roman"/>
          <w:b/>
          <w:bCs w:val="0"/>
          <w:color w:val="000000"/>
          <w:kern w:val="0"/>
          <w:sz w:val="20"/>
          <w:szCs w:val="20"/>
          <w:lang w:val="en-US" w:eastAsia="zh-CN" w:bidi="ar"/>
        </w:rPr>
        <w:t xml:space="preserve"> </w:t>
      </w:r>
      <w:r>
        <w:rPr>
          <w:rFonts w:hint="default" w:ascii="Times New Roman" w:hAnsi="Times New Roman" w:eastAsia="ArialMT" w:cs="Times New Roman"/>
          <w:b/>
          <w:bCs w:val="0"/>
          <w:color w:val="000000"/>
          <w:kern w:val="0"/>
          <w:sz w:val="20"/>
          <w:szCs w:val="20"/>
          <w:lang w:val="en-US" w:eastAsia="zh-CN" w:bidi="ar"/>
        </w:rPr>
        <w:t>of the instruments correlated at a lower LD threshold (r</w:t>
      </w:r>
      <w:r>
        <w:rPr>
          <w:rFonts w:hint="default" w:ascii="Times New Roman" w:hAnsi="Times New Roman" w:eastAsia="ArialMT" w:cs="Times New Roman"/>
          <w:b/>
          <w:bCs w:val="0"/>
          <w:color w:val="000000"/>
          <w:kern w:val="0"/>
          <w:sz w:val="20"/>
          <w:szCs w:val="20"/>
          <w:vertAlign w:val="superscript"/>
          <w:lang w:val="en-US" w:eastAsia="zh-CN" w:bidi="ar"/>
        </w:rPr>
        <w:t>2</w:t>
      </w:r>
      <w:r>
        <w:rPr>
          <w:rFonts w:hint="default" w:ascii="Times New Roman" w:hAnsi="Times New Roman" w:eastAsia="ArialMT" w:cs="Times New Roman"/>
          <w:b/>
          <w:bCs w:val="0"/>
          <w:color w:val="000000"/>
          <w:kern w:val="0"/>
          <w:sz w:val="20"/>
          <w:szCs w:val="20"/>
          <w:lang w:val="en-US" w:eastAsia="zh-CN" w:bidi="ar"/>
        </w:rPr>
        <w:t>&lt;0.</w:t>
      </w:r>
      <w:r>
        <w:rPr>
          <w:rFonts w:hint="eastAsia" w:ascii="Times New Roman" w:hAnsi="Times New Roman" w:eastAsia="ArialMT" w:cs="Times New Roman"/>
          <w:b/>
          <w:bCs w:val="0"/>
          <w:color w:val="000000"/>
          <w:kern w:val="0"/>
          <w:sz w:val="20"/>
          <w:szCs w:val="20"/>
          <w:lang w:val="en-US" w:eastAsia="zh-CN" w:bidi="ar"/>
        </w:rPr>
        <w:t>2</w:t>
      </w:r>
      <w:r>
        <w:rPr>
          <w:rFonts w:hint="default" w:ascii="Times New Roman" w:hAnsi="Times New Roman" w:eastAsia="ArialMT" w:cs="Times New Roman"/>
          <w:b/>
          <w:bCs w:val="0"/>
          <w:color w:val="000000"/>
          <w:kern w:val="0"/>
          <w:sz w:val="20"/>
          <w:szCs w:val="20"/>
          <w:lang w:val="en-US" w:eastAsia="zh-CN" w:bidi="ar"/>
        </w:rPr>
        <w:t xml:space="preserve">). </w:t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ArialMT" w:cs="Times New Roman"/>
          <w:b/>
          <w:bCs w:val="0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default" w:ascii="Times New Roman" w:hAnsi="Times New Roman" w:eastAsia="ArialMT" w:cs="Times New Roman"/>
          <w:b/>
          <w:bCs w:val="0"/>
          <w:color w:val="000000"/>
          <w:kern w:val="0"/>
          <w:sz w:val="20"/>
          <w:szCs w:val="20"/>
          <w:lang w:val="en-US" w:eastAsia="zh-CN" w:bidi="ar"/>
        </w:rPr>
        <w:t>ACE: angiotensin converting enzyme; CHR: chromosome; EAF: effect allele frequency; SE: standard error.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734118"/>
    <w:rsid w:val="11E35751"/>
    <w:rsid w:val="22EB64D0"/>
    <w:rsid w:val="22F22702"/>
    <w:rsid w:val="32993531"/>
    <w:rsid w:val="439867E1"/>
    <w:rsid w:val="5EE009AE"/>
    <w:rsid w:val="6C025A2B"/>
    <w:rsid w:val="78C34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2022-05-09T14:49:00Z</dcterms:created>
  <dc:creator>lenovo</dc:creator>
  <cp:lastModifiedBy>宰勒蜗焦媚</cp:lastModifiedBy>
  <dcterms:modified xsi:type="dcterms:W3CDTF">2022-11-22T07:47:07Z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