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1C6B" w:rsidRPr="009F470C" w:rsidRDefault="00A21C6B" w:rsidP="00A21C6B">
      <w:pPr>
        <w:spacing w:line="360" w:lineRule="auto"/>
        <w:rPr>
          <w:color w:val="000000" w:themeColor="text1"/>
          <w:lang w:val="en-US"/>
        </w:rPr>
      </w:pPr>
      <w:r w:rsidRPr="009F470C">
        <w:rPr>
          <w:b/>
          <w:color w:val="000000" w:themeColor="text1"/>
          <w:lang w:val="en-US"/>
        </w:rPr>
        <w:t>Supplementary Table 1:</w:t>
      </w:r>
      <w:r w:rsidRPr="009F470C">
        <w:rPr>
          <w:color w:val="000000" w:themeColor="text1"/>
          <w:lang w:val="en-US"/>
        </w:rPr>
        <w:t xml:space="preserve"> Description of scales and questionnaires used to evaluate the implementation of the OT program in </w:t>
      </w:r>
      <w:proofErr w:type="spellStart"/>
      <w:r w:rsidRPr="009F470C">
        <w:rPr>
          <w:color w:val="000000" w:themeColor="text1"/>
          <w:lang w:val="en-US"/>
        </w:rPr>
        <w:t>ATTRv</w:t>
      </w:r>
      <w:proofErr w:type="spellEnd"/>
      <w:r w:rsidRPr="009F470C">
        <w:rPr>
          <w:color w:val="000000" w:themeColor="text1"/>
          <w:lang w:val="en-US"/>
        </w:rPr>
        <w:t xml:space="preserve">. </w:t>
      </w:r>
    </w:p>
    <w:p w:rsidR="00A21C6B" w:rsidRPr="009F470C" w:rsidRDefault="00A21C6B" w:rsidP="00A21C6B">
      <w:pPr>
        <w:rPr>
          <w:color w:val="000000" w:themeColor="text1"/>
          <w:lang w:val="en-US"/>
        </w:rPr>
      </w:pPr>
    </w:p>
    <w:tbl>
      <w:tblPr>
        <w:tblStyle w:val="Tablaconcuadrcula"/>
        <w:tblW w:w="0" w:type="auto"/>
        <w:jc w:val="center"/>
        <w:tblInd w:w="-34" w:type="dxa"/>
        <w:tblLook w:val="04A0" w:firstRow="1" w:lastRow="0" w:firstColumn="1" w:lastColumn="0" w:noHBand="0" w:noVBand="1"/>
      </w:tblPr>
      <w:tblGrid>
        <w:gridCol w:w="3185"/>
        <w:gridCol w:w="5569"/>
      </w:tblGrid>
      <w:tr w:rsidR="009F470C" w:rsidRPr="009F470C" w:rsidTr="00C077BA">
        <w:trPr>
          <w:jc w:val="center"/>
        </w:trPr>
        <w:tc>
          <w:tcPr>
            <w:tcW w:w="3185" w:type="dxa"/>
            <w:vAlign w:val="center"/>
          </w:tcPr>
          <w:p w:rsidR="00A21C6B" w:rsidRPr="009F470C" w:rsidRDefault="00A21C6B" w:rsidP="00C077BA">
            <w:pPr>
              <w:spacing w:before="240" w:after="240" w:line="360" w:lineRule="auto"/>
              <w:jc w:val="center"/>
              <w:rPr>
                <w:color w:val="000000" w:themeColor="text1"/>
                <w:u w:val="single"/>
                <w:lang w:val="en-US"/>
              </w:rPr>
            </w:pPr>
            <w:proofErr w:type="spellStart"/>
            <w:r w:rsidRPr="009F470C">
              <w:rPr>
                <w:color w:val="000000" w:themeColor="text1"/>
                <w:u w:val="single"/>
                <w:lang w:val="en-US"/>
              </w:rPr>
              <w:t>Barthel</w:t>
            </w:r>
            <w:proofErr w:type="spellEnd"/>
            <w:r w:rsidRPr="009F470C">
              <w:rPr>
                <w:color w:val="000000" w:themeColor="text1"/>
                <w:u w:val="single"/>
                <w:lang w:val="en-US"/>
              </w:rPr>
              <w:t xml:space="preserve"> Index (BI)</w:t>
            </w:r>
          </w:p>
          <w:p w:rsidR="00A21C6B" w:rsidRPr="009F470C" w:rsidRDefault="00A21C6B" w:rsidP="00C077BA">
            <w:pPr>
              <w:spacing w:before="240" w:after="240" w:line="360" w:lineRule="auto"/>
              <w:jc w:val="center"/>
              <w:rPr>
                <w:color w:val="000000" w:themeColor="text1"/>
                <w:u w:val="single"/>
                <w:lang w:val="en-US"/>
              </w:rPr>
            </w:pPr>
          </w:p>
        </w:tc>
        <w:tc>
          <w:tcPr>
            <w:tcW w:w="0" w:type="auto"/>
            <w:vAlign w:val="center"/>
          </w:tcPr>
          <w:p w:rsidR="00A21C6B" w:rsidRPr="009F470C" w:rsidRDefault="00A21C6B" w:rsidP="00C077BA">
            <w:pPr>
              <w:spacing w:before="240" w:after="240" w:line="360" w:lineRule="auto"/>
              <w:jc w:val="center"/>
              <w:rPr>
                <w:color w:val="000000" w:themeColor="text1"/>
                <w:u w:val="single"/>
                <w:lang w:val="en-US"/>
              </w:rPr>
            </w:pPr>
            <w:r w:rsidRPr="009F470C">
              <w:rPr>
                <w:color w:val="000000" w:themeColor="text1"/>
                <w:lang w:val="en-US"/>
              </w:rPr>
              <w:t xml:space="preserve">The </w:t>
            </w:r>
            <w:proofErr w:type="spellStart"/>
            <w:r w:rsidRPr="009F470C">
              <w:rPr>
                <w:color w:val="000000" w:themeColor="text1"/>
                <w:lang w:val="en-US"/>
              </w:rPr>
              <w:t>Barthel</w:t>
            </w:r>
            <w:proofErr w:type="spellEnd"/>
            <w:r w:rsidRPr="009F470C">
              <w:rPr>
                <w:color w:val="000000" w:themeColor="text1"/>
                <w:lang w:val="en-US"/>
              </w:rPr>
              <w:t xml:space="preserve"> Index, or </w:t>
            </w:r>
            <w:proofErr w:type="spellStart"/>
            <w:r w:rsidRPr="009F470C">
              <w:rPr>
                <w:color w:val="000000" w:themeColor="text1"/>
                <w:lang w:val="en-US"/>
              </w:rPr>
              <w:t>Barthel</w:t>
            </w:r>
            <w:proofErr w:type="spellEnd"/>
            <w:r w:rsidRPr="009F470C">
              <w:rPr>
                <w:color w:val="000000" w:themeColor="text1"/>
                <w:lang w:val="en-US"/>
              </w:rPr>
              <w:t xml:space="preserve"> ADL Index, is a widely used scale for assessing an individual's ability to perform activities of daily living (ADLs). The scale includes 10 items that assess basic self-care activities such as feeding, bathing, grooming, dressing, and toileting, as well as more complex activities such as transferring and mobility. Each item is scored on a 0-3 or 0-5 scale depending on the item, with higher scores indicating greater independence in performing ADLs </w:t>
            </w:r>
            <w:r w:rsidRPr="009F470C">
              <w:rPr>
                <w:color w:val="000000" w:themeColor="text1"/>
                <w:highlight w:val="yellow"/>
                <w:lang w:val="en-US"/>
              </w:rPr>
              <w:t>[</w:t>
            </w:r>
            <w:r w:rsidR="009F470C" w:rsidRPr="009F470C">
              <w:rPr>
                <w:color w:val="000000" w:themeColor="text1"/>
                <w:highlight w:val="yellow"/>
                <w:lang w:val="en-US"/>
              </w:rPr>
              <w:t>26</w:t>
            </w:r>
            <w:r w:rsidRPr="009F470C">
              <w:rPr>
                <w:color w:val="000000" w:themeColor="text1"/>
                <w:highlight w:val="yellow"/>
                <w:lang w:val="en-US"/>
              </w:rPr>
              <w:t>].</w:t>
            </w:r>
          </w:p>
          <w:p w:rsidR="00A21C6B" w:rsidRPr="009F470C" w:rsidRDefault="00A21C6B" w:rsidP="00C077BA">
            <w:pPr>
              <w:spacing w:before="240" w:after="240" w:line="360" w:lineRule="auto"/>
              <w:jc w:val="center"/>
              <w:rPr>
                <w:color w:val="000000" w:themeColor="text1"/>
                <w:u w:val="single"/>
                <w:lang w:val="en-US"/>
              </w:rPr>
            </w:pPr>
          </w:p>
        </w:tc>
      </w:tr>
      <w:tr w:rsidR="009F470C" w:rsidRPr="009F470C" w:rsidTr="00C077BA">
        <w:trPr>
          <w:jc w:val="center"/>
        </w:trPr>
        <w:tc>
          <w:tcPr>
            <w:tcW w:w="3185" w:type="dxa"/>
            <w:vAlign w:val="center"/>
          </w:tcPr>
          <w:p w:rsidR="00A21C6B" w:rsidRPr="009F470C" w:rsidRDefault="00A21C6B" w:rsidP="00C077BA">
            <w:pPr>
              <w:spacing w:before="240" w:after="240" w:line="360" w:lineRule="auto"/>
              <w:jc w:val="center"/>
              <w:rPr>
                <w:color w:val="000000" w:themeColor="text1"/>
                <w:u w:val="single"/>
                <w:lang w:val="en-US"/>
              </w:rPr>
            </w:pPr>
            <w:r w:rsidRPr="009F470C">
              <w:rPr>
                <w:color w:val="000000" w:themeColor="text1"/>
                <w:u w:val="single"/>
                <w:lang w:val="en-US"/>
              </w:rPr>
              <w:t>The Lawton y Brody Scale (IADL)</w:t>
            </w:r>
          </w:p>
          <w:p w:rsidR="00A21C6B" w:rsidRPr="009F470C" w:rsidRDefault="00A21C6B" w:rsidP="00C077BA">
            <w:pPr>
              <w:spacing w:before="240" w:after="240" w:line="360" w:lineRule="auto"/>
              <w:jc w:val="center"/>
              <w:rPr>
                <w:color w:val="000000" w:themeColor="text1"/>
                <w:u w:val="single"/>
                <w:lang w:val="en-US"/>
              </w:rPr>
            </w:pPr>
          </w:p>
        </w:tc>
        <w:tc>
          <w:tcPr>
            <w:tcW w:w="0" w:type="auto"/>
            <w:vAlign w:val="center"/>
          </w:tcPr>
          <w:p w:rsidR="00A21C6B" w:rsidRPr="009F470C" w:rsidRDefault="00A21C6B" w:rsidP="00C077BA">
            <w:pPr>
              <w:spacing w:before="240" w:after="240" w:line="360" w:lineRule="auto"/>
              <w:jc w:val="center"/>
              <w:rPr>
                <w:color w:val="000000" w:themeColor="text1"/>
                <w:lang w:val="en-US"/>
              </w:rPr>
            </w:pPr>
            <w:r w:rsidRPr="009F470C">
              <w:rPr>
                <w:color w:val="000000" w:themeColor="text1"/>
                <w:lang w:val="en-US"/>
              </w:rPr>
              <w:t xml:space="preserve">The Lawton y Brody Instrumental Activities of Daily Living (IADL) Scale is a commonly used assessment tool in healthcare and geriatric settings. </w:t>
            </w:r>
            <w:proofErr w:type="gramStart"/>
            <w:r w:rsidRPr="009F470C">
              <w:rPr>
                <w:color w:val="000000" w:themeColor="text1"/>
                <w:lang w:val="en-US"/>
              </w:rPr>
              <w:t>the</w:t>
            </w:r>
            <w:proofErr w:type="gramEnd"/>
            <w:r w:rsidRPr="009F470C">
              <w:rPr>
                <w:color w:val="000000" w:themeColor="text1"/>
                <w:lang w:val="en-US"/>
              </w:rPr>
              <w:t xml:space="preserve"> IADL scale measures an individual's ability to perform more complex activities required for independent living such as: shopping, housekeeping or self-care in order to evaluate the ability to live independently.</w:t>
            </w:r>
          </w:p>
          <w:p w:rsidR="00A21C6B" w:rsidRPr="009F470C" w:rsidRDefault="00A21C6B" w:rsidP="00C077BA">
            <w:pPr>
              <w:spacing w:before="240" w:after="240" w:line="360" w:lineRule="auto"/>
              <w:jc w:val="center"/>
              <w:rPr>
                <w:color w:val="000000" w:themeColor="text1"/>
                <w:u w:val="single"/>
                <w:lang w:val="en-US"/>
              </w:rPr>
            </w:pPr>
            <w:r w:rsidRPr="009F470C">
              <w:rPr>
                <w:color w:val="000000" w:themeColor="text1"/>
                <w:lang w:val="en-US"/>
              </w:rPr>
              <w:t xml:space="preserve">Each item is scored based on the individual's level of independence, typically using a 3- or 4-point scale. Higher scores indicate greater independence in performing these activities </w:t>
            </w:r>
            <w:r w:rsidRPr="009F470C">
              <w:rPr>
                <w:color w:val="000000" w:themeColor="text1"/>
                <w:highlight w:val="yellow"/>
                <w:lang w:val="en-US"/>
              </w:rPr>
              <w:t>[2</w:t>
            </w:r>
            <w:r w:rsidR="009F470C" w:rsidRPr="009F470C">
              <w:rPr>
                <w:color w:val="000000" w:themeColor="text1"/>
                <w:highlight w:val="yellow"/>
                <w:lang w:val="en-US"/>
              </w:rPr>
              <w:t>7</w:t>
            </w:r>
            <w:r w:rsidRPr="009F470C">
              <w:rPr>
                <w:color w:val="000000" w:themeColor="text1"/>
                <w:highlight w:val="yellow"/>
                <w:lang w:val="en-US"/>
              </w:rPr>
              <w:t>].</w:t>
            </w:r>
          </w:p>
          <w:p w:rsidR="00A21C6B" w:rsidRPr="009F470C" w:rsidRDefault="00A21C6B" w:rsidP="00C077BA">
            <w:pPr>
              <w:spacing w:before="240" w:after="240" w:line="360" w:lineRule="auto"/>
              <w:jc w:val="center"/>
              <w:rPr>
                <w:color w:val="000000" w:themeColor="text1"/>
                <w:u w:val="single"/>
                <w:lang w:val="en-US"/>
              </w:rPr>
            </w:pPr>
          </w:p>
        </w:tc>
      </w:tr>
      <w:tr w:rsidR="009F470C" w:rsidRPr="009F470C" w:rsidTr="00C077BA">
        <w:trPr>
          <w:jc w:val="center"/>
        </w:trPr>
        <w:tc>
          <w:tcPr>
            <w:tcW w:w="3185" w:type="dxa"/>
            <w:vAlign w:val="center"/>
          </w:tcPr>
          <w:p w:rsidR="00A21C6B" w:rsidRPr="009F470C" w:rsidRDefault="00A21C6B" w:rsidP="00C077BA">
            <w:pPr>
              <w:spacing w:before="240" w:after="240" w:line="360" w:lineRule="auto"/>
              <w:jc w:val="center"/>
              <w:rPr>
                <w:color w:val="000000" w:themeColor="text1"/>
                <w:u w:val="single"/>
                <w:lang w:val="en-US"/>
              </w:rPr>
            </w:pPr>
            <w:r w:rsidRPr="009F470C">
              <w:rPr>
                <w:color w:val="000000" w:themeColor="text1"/>
                <w:u w:val="single"/>
                <w:lang w:val="en-US"/>
              </w:rPr>
              <w:t xml:space="preserve">Warwick-Edinburgh Mental Well-being Scale </w:t>
            </w:r>
            <w:r w:rsidRPr="009F470C">
              <w:rPr>
                <w:color w:val="000000" w:themeColor="text1"/>
                <w:u w:val="single"/>
                <w:lang w:val="en-US"/>
              </w:rPr>
              <w:lastRenderedPageBreak/>
              <w:t>(WEMWBS)</w:t>
            </w:r>
          </w:p>
          <w:p w:rsidR="00A21C6B" w:rsidRPr="009F470C" w:rsidRDefault="00A21C6B" w:rsidP="00C077BA">
            <w:pPr>
              <w:spacing w:before="240" w:after="240" w:line="360" w:lineRule="auto"/>
              <w:jc w:val="center"/>
              <w:rPr>
                <w:color w:val="000000" w:themeColor="text1"/>
                <w:u w:val="single"/>
                <w:lang w:val="en-US"/>
              </w:rPr>
            </w:pPr>
          </w:p>
        </w:tc>
        <w:tc>
          <w:tcPr>
            <w:tcW w:w="0" w:type="auto"/>
            <w:vAlign w:val="center"/>
          </w:tcPr>
          <w:p w:rsidR="00A21C6B" w:rsidRPr="009F470C" w:rsidRDefault="00A21C6B" w:rsidP="00C077BA">
            <w:pPr>
              <w:spacing w:before="240" w:after="240" w:line="360" w:lineRule="auto"/>
              <w:jc w:val="center"/>
              <w:rPr>
                <w:color w:val="000000" w:themeColor="text1"/>
                <w:lang w:val="en-US"/>
              </w:rPr>
            </w:pPr>
            <w:r w:rsidRPr="009F470C">
              <w:rPr>
                <w:color w:val="000000" w:themeColor="text1"/>
                <w:lang w:val="en-US"/>
              </w:rPr>
              <w:lastRenderedPageBreak/>
              <w:t xml:space="preserve">The Warwick-Edinburgh Mental Well-being Scale (WEMWBS) is a widely used self-report measure of mental well-being. The scale consists of 14 items that </w:t>
            </w:r>
            <w:r w:rsidRPr="009F470C">
              <w:rPr>
                <w:color w:val="000000" w:themeColor="text1"/>
                <w:lang w:val="en-US"/>
              </w:rPr>
              <w:lastRenderedPageBreak/>
              <w:t xml:space="preserve">assess a range of aspects of well-being, such as positive affect, satisfaction with life, and relationships with others. Participants rate each item on a 5-point scale from "none of the time" to "all of the time". The total score ranges from 14 to 70, with higher scores indicating higher levels of well-being </w:t>
            </w:r>
            <w:r w:rsidRPr="009F470C">
              <w:rPr>
                <w:color w:val="000000" w:themeColor="text1"/>
                <w:highlight w:val="yellow"/>
                <w:lang w:val="en-US"/>
              </w:rPr>
              <w:t>[</w:t>
            </w:r>
            <w:r w:rsidR="009F470C" w:rsidRPr="009F470C">
              <w:rPr>
                <w:color w:val="000000" w:themeColor="text1"/>
                <w:highlight w:val="yellow"/>
                <w:lang w:val="en-US"/>
              </w:rPr>
              <w:t>31</w:t>
            </w:r>
            <w:r w:rsidRPr="009F470C">
              <w:rPr>
                <w:color w:val="000000" w:themeColor="text1"/>
                <w:highlight w:val="yellow"/>
                <w:lang w:val="en-US"/>
              </w:rPr>
              <w:t>].</w:t>
            </w:r>
          </w:p>
          <w:p w:rsidR="00A21C6B" w:rsidRPr="009F470C" w:rsidRDefault="00A21C6B" w:rsidP="00C077BA">
            <w:pPr>
              <w:spacing w:before="240" w:after="240" w:line="360" w:lineRule="auto"/>
              <w:jc w:val="center"/>
              <w:rPr>
                <w:color w:val="000000" w:themeColor="text1"/>
                <w:u w:val="single"/>
                <w:lang w:val="en-US"/>
              </w:rPr>
            </w:pPr>
          </w:p>
        </w:tc>
      </w:tr>
      <w:tr w:rsidR="009F470C" w:rsidRPr="009F470C" w:rsidTr="00C077BA">
        <w:trPr>
          <w:jc w:val="center"/>
        </w:trPr>
        <w:tc>
          <w:tcPr>
            <w:tcW w:w="3185" w:type="dxa"/>
            <w:vAlign w:val="center"/>
          </w:tcPr>
          <w:p w:rsidR="00A21C6B" w:rsidRPr="009F470C" w:rsidRDefault="00A21C6B" w:rsidP="00C077BA">
            <w:pPr>
              <w:spacing w:before="240" w:after="240" w:line="360" w:lineRule="auto"/>
              <w:jc w:val="center"/>
              <w:rPr>
                <w:color w:val="000000" w:themeColor="text1"/>
                <w:u w:val="single"/>
                <w:lang w:val="en-US"/>
              </w:rPr>
            </w:pPr>
            <w:r w:rsidRPr="009F470C">
              <w:rPr>
                <w:color w:val="000000" w:themeColor="text1"/>
                <w:u w:val="single"/>
                <w:lang w:val="en-US"/>
              </w:rPr>
              <w:lastRenderedPageBreak/>
              <w:t>Norfolk Quality of Life Diabetic Neuropathy (</w:t>
            </w:r>
            <w:proofErr w:type="spellStart"/>
            <w:r w:rsidRPr="009F470C">
              <w:rPr>
                <w:color w:val="000000" w:themeColor="text1"/>
                <w:u w:val="single"/>
                <w:lang w:val="en-US"/>
              </w:rPr>
              <w:t>QoL</w:t>
            </w:r>
            <w:proofErr w:type="spellEnd"/>
            <w:r w:rsidRPr="009F470C">
              <w:rPr>
                <w:color w:val="000000" w:themeColor="text1"/>
                <w:u w:val="single"/>
                <w:lang w:val="en-US"/>
              </w:rPr>
              <w:t>-DN)</w:t>
            </w:r>
          </w:p>
          <w:p w:rsidR="00A21C6B" w:rsidRPr="009F470C" w:rsidRDefault="00A21C6B" w:rsidP="00C077BA">
            <w:pPr>
              <w:spacing w:before="240" w:after="240" w:line="360" w:lineRule="auto"/>
              <w:jc w:val="center"/>
              <w:rPr>
                <w:color w:val="000000" w:themeColor="text1"/>
                <w:u w:val="single"/>
                <w:lang w:val="en-US"/>
              </w:rPr>
            </w:pPr>
          </w:p>
        </w:tc>
        <w:tc>
          <w:tcPr>
            <w:tcW w:w="0" w:type="auto"/>
            <w:vAlign w:val="center"/>
          </w:tcPr>
          <w:p w:rsidR="00A21C6B" w:rsidRPr="009F470C" w:rsidRDefault="00A21C6B" w:rsidP="00C077BA">
            <w:pPr>
              <w:spacing w:before="240" w:after="240" w:line="360" w:lineRule="auto"/>
              <w:jc w:val="center"/>
              <w:rPr>
                <w:color w:val="000000" w:themeColor="text1"/>
                <w:lang w:val="en-US"/>
              </w:rPr>
            </w:pPr>
            <w:r w:rsidRPr="009F470C">
              <w:rPr>
                <w:color w:val="000000" w:themeColor="text1"/>
                <w:lang w:val="en-US"/>
              </w:rPr>
              <w:t xml:space="preserve">The Norfolk QOL-DN is a useful tool for assessing the effectiveness of treatments for diabetic neuropathy and for understanding the impact of the condition on patients' lives. It consists of 35 questions covering domains such as physical functioning, symptoms, emotions, and social functioning. Each question has five possible responses ranging from "no difficulty" to "extreme difficulty” with higher scores indicating worse quality of life </w:t>
            </w:r>
            <w:r w:rsidRPr="009F470C">
              <w:rPr>
                <w:color w:val="000000" w:themeColor="text1"/>
                <w:highlight w:val="yellow"/>
                <w:lang w:val="en-US"/>
              </w:rPr>
              <w:t>[</w:t>
            </w:r>
            <w:r w:rsidR="009F470C" w:rsidRPr="009F470C">
              <w:rPr>
                <w:color w:val="000000" w:themeColor="text1"/>
                <w:highlight w:val="yellow"/>
                <w:lang w:val="en-US"/>
              </w:rPr>
              <w:t>29</w:t>
            </w:r>
            <w:r w:rsidRPr="009F470C">
              <w:rPr>
                <w:color w:val="000000" w:themeColor="text1"/>
                <w:highlight w:val="yellow"/>
                <w:lang w:val="en-US"/>
              </w:rPr>
              <w:t>].</w:t>
            </w:r>
          </w:p>
          <w:p w:rsidR="00A21C6B" w:rsidRPr="009F470C" w:rsidRDefault="00A21C6B" w:rsidP="00C077BA">
            <w:pPr>
              <w:spacing w:before="240" w:after="240" w:line="360" w:lineRule="auto"/>
              <w:jc w:val="center"/>
              <w:rPr>
                <w:color w:val="000000" w:themeColor="text1"/>
                <w:u w:val="single"/>
                <w:lang w:val="en-US"/>
              </w:rPr>
            </w:pPr>
          </w:p>
        </w:tc>
      </w:tr>
      <w:tr w:rsidR="009F470C" w:rsidRPr="009F470C" w:rsidTr="00C077BA">
        <w:trPr>
          <w:jc w:val="center"/>
        </w:trPr>
        <w:tc>
          <w:tcPr>
            <w:tcW w:w="3185" w:type="dxa"/>
            <w:vAlign w:val="center"/>
          </w:tcPr>
          <w:p w:rsidR="00A21C6B" w:rsidRPr="009F470C" w:rsidRDefault="004A7B4C" w:rsidP="00C077BA">
            <w:pPr>
              <w:spacing w:before="240" w:after="240" w:line="360" w:lineRule="auto"/>
              <w:jc w:val="center"/>
              <w:rPr>
                <w:color w:val="000000" w:themeColor="text1"/>
                <w:u w:val="single"/>
                <w:lang w:val="en-US"/>
              </w:rPr>
            </w:pPr>
            <w:r w:rsidRPr="009F470C">
              <w:rPr>
                <w:color w:val="000000" w:themeColor="text1"/>
                <w:u w:val="single"/>
                <w:lang w:val="en-US"/>
              </w:rPr>
              <w:t xml:space="preserve">SF-36 </w:t>
            </w:r>
            <w:proofErr w:type="spellStart"/>
            <w:r w:rsidRPr="009F470C">
              <w:rPr>
                <w:color w:val="000000" w:themeColor="text1"/>
                <w:u w:val="single"/>
                <w:lang w:val="en-US"/>
              </w:rPr>
              <w:t>spanish</w:t>
            </w:r>
            <w:proofErr w:type="spellEnd"/>
            <w:r w:rsidRPr="009F470C">
              <w:rPr>
                <w:color w:val="000000" w:themeColor="text1"/>
                <w:u w:val="single"/>
                <w:lang w:val="en-US"/>
              </w:rPr>
              <w:t xml:space="preserve"> version v2 </w:t>
            </w:r>
            <w:proofErr w:type="spellStart"/>
            <w:r w:rsidRPr="009F470C">
              <w:rPr>
                <w:color w:val="000000" w:themeColor="text1"/>
                <w:u w:val="single"/>
                <w:lang w:val="en-US"/>
              </w:rPr>
              <w:t>questionnnaire</w:t>
            </w:r>
            <w:proofErr w:type="spellEnd"/>
          </w:p>
        </w:tc>
        <w:tc>
          <w:tcPr>
            <w:tcW w:w="0" w:type="auto"/>
            <w:vAlign w:val="center"/>
          </w:tcPr>
          <w:p w:rsidR="00A21C6B" w:rsidRPr="009F470C" w:rsidRDefault="00A21C6B" w:rsidP="00C077BA">
            <w:pPr>
              <w:spacing w:before="240" w:after="240" w:line="360" w:lineRule="auto"/>
              <w:jc w:val="center"/>
              <w:rPr>
                <w:color w:val="000000" w:themeColor="text1"/>
                <w:lang w:val="en-US"/>
              </w:rPr>
            </w:pPr>
            <w:r w:rsidRPr="009F470C">
              <w:rPr>
                <w:color w:val="000000" w:themeColor="text1"/>
                <w:lang w:val="en-US"/>
              </w:rPr>
              <w:t xml:space="preserve">The SF-36 questionnaire consists of 36 items that assess eight health concepts: physical functioning, role limitations due to physical problems, bodily pain, general health perceptions, vitality, social functioning, role limitations due to emotional problems, and mental health. The scores range from 0 to 100, with higher scores indicating better health-related quality of life </w:t>
            </w:r>
            <w:r w:rsidRPr="009F470C">
              <w:rPr>
                <w:color w:val="000000" w:themeColor="text1"/>
                <w:highlight w:val="yellow"/>
                <w:lang w:val="en-US"/>
              </w:rPr>
              <w:t>[3</w:t>
            </w:r>
            <w:r w:rsidR="009F470C" w:rsidRPr="009F470C">
              <w:rPr>
                <w:color w:val="000000" w:themeColor="text1"/>
                <w:highlight w:val="yellow"/>
                <w:lang w:val="en-US"/>
              </w:rPr>
              <w:t>2</w:t>
            </w:r>
            <w:r w:rsidRPr="009F470C">
              <w:rPr>
                <w:color w:val="000000" w:themeColor="text1"/>
                <w:highlight w:val="yellow"/>
                <w:lang w:val="en-US"/>
              </w:rPr>
              <w:t>].</w:t>
            </w:r>
          </w:p>
          <w:p w:rsidR="00A21C6B" w:rsidRPr="009F470C" w:rsidRDefault="00A21C6B" w:rsidP="00C077BA">
            <w:pPr>
              <w:spacing w:before="240" w:after="240" w:line="360" w:lineRule="auto"/>
              <w:jc w:val="center"/>
              <w:rPr>
                <w:color w:val="000000" w:themeColor="text1"/>
                <w:u w:val="single"/>
                <w:lang w:val="en-US"/>
              </w:rPr>
            </w:pPr>
          </w:p>
        </w:tc>
      </w:tr>
    </w:tbl>
    <w:p w:rsidR="00A21C6B" w:rsidRPr="009F470C" w:rsidRDefault="00A21C6B" w:rsidP="00A21C6B">
      <w:pPr>
        <w:spacing w:line="360" w:lineRule="auto"/>
        <w:rPr>
          <w:b/>
          <w:color w:val="000000" w:themeColor="text1"/>
          <w:lang w:val="en-US"/>
        </w:rPr>
      </w:pPr>
    </w:p>
    <w:p w:rsidR="00A0040E" w:rsidRPr="009F470C" w:rsidRDefault="00A0040E">
      <w:pPr>
        <w:rPr>
          <w:color w:val="000000" w:themeColor="text1"/>
          <w:lang w:val="en-US"/>
        </w:rPr>
      </w:pPr>
      <w:bookmarkStart w:id="0" w:name="_GoBack"/>
      <w:bookmarkEnd w:id="0"/>
    </w:p>
    <w:sectPr w:rsidR="00A0040E" w:rsidRPr="009F470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C6B"/>
    <w:rsid w:val="004A7B4C"/>
    <w:rsid w:val="005D43C1"/>
    <w:rsid w:val="00830E03"/>
    <w:rsid w:val="009F470C"/>
    <w:rsid w:val="00A0040E"/>
    <w:rsid w:val="00A21C6B"/>
    <w:rsid w:val="00F314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C6B"/>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A21C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C6B"/>
    <w:pPr>
      <w:spacing w:after="0" w:line="240" w:lineRule="auto"/>
    </w:pPr>
    <w:rPr>
      <w:rFonts w:ascii="Times New Roman" w:eastAsia="Times New Roman" w:hAnsi="Times New Roman" w:cs="Times New Roman"/>
      <w:sz w:val="24"/>
      <w:szCs w:val="24"/>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A21C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411</Words>
  <Characters>2266</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SSIB - HUSLL</Company>
  <LinksUpToDate>false</LinksUpToDate>
  <CharactersWithSpaces>2672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Mª Eugenia Cisneros Barroso</dc:creator>
  <cp:lastModifiedBy>Mª Eugenia Cisneros Barroso</cp:lastModifiedBy>
  <cp:revision>2</cp:revision>
  <dcterms:created xsi:type="dcterms:W3CDTF">2023-10-16T08:51:00Z</dcterms:created>
  <dcterms:modified xsi:type="dcterms:W3CDTF">2023-10-16T08:51:00Z</dcterms:modified>
</cp:coreProperties>
</file>