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51D" w:rsidRDefault="00312546" w:rsidP="005A7D2B">
      <w:pPr>
        <w:spacing w:line="480" w:lineRule="auto"/>
      </w:pPr>
      <w:r>
        <w:t>Additional file 4</w:t>
      </w:r>
    </w:p>
    <w:p w:rsidR="004F5615" w:rsidRDefault="004F5615" w:rsidP="005A7D2B">
      <w:pPr>
        <w:spacing w:line="480" w:lineRule="auto"/>
      </w:pPr>
    </w:p>
    <w:p w:rsidR="004F5615" w:rsidRDefault="004F5615" w:rsidP="005A7D2B">
      <w:pPr>
        <w:spacing w:line="480" w:lineRule="auto"/>
      </w:pPr>
      <w:r>
        <w:rPr>
          <w:rFonts w:hint="eastAsia"/>
        </w:rPr>
        <w:t>M</w:t>
      </w:r>
      <w:r>
        <w:t>ethod</w:t>
      </w:r>
    </w:p>
    <w:p w:rsidR="004F5615" w:rsidRDefault="004F5615" w:rsidP="005A7D2B">
      <w:pPr>
        <w:spacing w:line="480" w:lineRule="auto"/>
      </w:pPr>
    </w:p>
    <w:p w:rsidR="00372EA1" w:rsidRPr="002E5B31" w:rsidRDefault="00372EA1" w:rsidP="005A7D2B">
      <w:pPr>
        <w:snapToGrid w:val="0"/>
        <w:spacing w:line="480" w:lineRule="auto"/>
        <w:jc w:val="both"/>
        <w:rPr>
          <w:b/>
        </w:rPr>
      </w:pPr>
      <w:r w:rsidRPr="002E5B31">
        <w:rPr>
          <w:b/>
        </w:rPr>
        <w:t>Flow cytometry and monocyte isolation</w:t>
      </w:r>
    </w:p>
    <w:p w:rsidR="00372EA1" w:rsidRPr="002E5B31" w:rsidRDefault="00372EA1" w:rsidP="005A7D2B">
      <w:pPr>
        <w:snapToGrid w:val="0"/>
        <w:spacing w:line="480" w:lineRule="auto"/>
        <w:jc w:val="both"/>
      </w:pPr>
      <w:r w:rsidRPr="002E5B31">
        <w:rPr>
          <w:rFonts w:cs="Arial"/>
        </w:rPr>
        <w:t>Flow cytometric cell sorting (</w:t>
      </w:r>
      <w:proofErr w:type="spellStart"/>
      <w:r w:rsidRPr="002E5B31">
        <w:rPr>
          <w:rFonts w:cs="Arial"/>
        </w:rPr>
        <w:t>FACSAria</w:t>
      </w:r>
      <w:proofErr w:type="spellEnd"/>
      <w:r w:rsidRPr="002E5B31">
        <w:rPr>
          <w:rFonts w:cs="Arial"/>
        </w:rPr>
        <w:t xml:space="preserve"> III cell sorter; BD Biosciences; ≥95%</w:t>
      </w:r>
      <w:r w:rsidRPr="002E5B31">
        <w:t xml:space="preserve"> </w:t>
      </w:r>
      <w:r w:rsidRPr="002E5B31">
        <w:rPr>
          <w:rFonts w:cs="Arial"/>
        </w:rPr>
        <w:t xml:space="preserve">purity) was used to purify CD14+ monocytes from PBMCs. We cultured monocytes </w:t>
      </w:r>
      <w:r w:rsidRPr="002E5B31">
        <w:t xml:space="preserve">in RPMI-1640 </w:t>
      </w:r>
      <w:r w:rsidRPr="002E5B31">
        <w:rPr>
          <w:rFonts w:cs="Arial"/>
        </w:rPr>
        <w:t xml:space="preserve">complete </w:t>
      </w:r>
      <w:r w:rsidRPr="002E5B31">
        <w:t>medium with 10% heat-inactivated human AB serum (Sigma, H3667</w:t>
      </w:r>
      <w:r w:rsidRPr="002E5B31">
        <w:rPr>
          <w:rFonts w:cs="Arial"/>
        </w:rPr>
        <w:t xml:space="preserve">) </w:t>
      </w:r>
      <w:r w:rsidRPr="002E5B31">
        <w:t>at 37°C in a 5.5% CO</w:t>
      </w:r>
      <w:r w:rsidRPr="002E5B31">
        <w:rPr>
          <w:vertAlign w:val="subscript"/>
        </w:rPr>
        <w:t>2</w:t>
      </w:r>
      <w:r w:rsidRPr="002E5B31">
        <w:t xml:space="preserve"> environment for 2 days</w:t>
      </w:r>
      <w:r w:rsidRPr="002E5B31">
        <w:rPr>
          <w:rFonts w:cs="Arial"/>
        </w:rPr>
        <w:t>. Measurement of CD14 in monocytes to measure purification ratio u</w:t>
      </w:r>
      <w:r w:rsidRPr="002E5B31">
        <w:rPr>
          <w:rFonts w:hint="eastAsia"/>
        </w:rPr>
        <w:t>s</w:t>
      </w:r>
      <w:r w:rsidRPr="002E5B31">
        <w:t xml:space="preserve">ing </w:t>
      </w:r>
      <w:r w:rsidRPr="002E5B31">
        <w:rPr>
          <w:rFonts w:cs="Arial"/>
        </w:rPr>
        <w:t>multiparameter</w:t>
      </w:r>
      <w:r w:rsidRPr="002E5B31">
        <w:t xml:space="preserve"> flow cytometry and the following antibody: </w:t>
      </w:r>
      <w:r w:rsidRPr="002E5B31">
        <w:rPr>
          <w:rFonts w:cs="Arial"/>
        </w:rPr>
        <w:t>fluorescein isothiocyanate-labeled</w:t>
      </w:r>
      <w:r w:rsidRPr="002E5B31">
        <w:t xml:space="preserve"> anti-human CD14 </w:t>
      </w:r>
      <w:r w:rsidRPr="002E5B31">
        <w:rPr>
          <w:rFonts w:cs="Arial"/>
        </w:rPr>
        <w:t>antibody (</w:t>
      </w:r>
      <w:proofErr w:type="spellStart"/>
      <w:r w:rsidRPr="002E5B31">
        <w:rPr>
          <w:rFonts w:cs="Arial"/>
        </w:rPr>
        <w:t>BioLegend</w:t>
      </w:r>
      <w:proofErr w:type="spellEnd"/>
      <w:r w:rsidRPr="002E5B31">
        <w:rPr>
          <w:rFonts w:cs="Arial"/>
        </w:rPr>
        <w:t xml:space="preserve">, </w:t>
      </w:r>
      <w:r w:rsidRPr="002E5B31">
        <w:t xml:space="preserve">clone: M5E2, </w:t>
      </w:r>
      <w:r w:rsidRPr="002E5B31">
        <w:rPr>
          <w:rFonts w:cs="Arial"/>
        </w:rPr>
        <w:t xml:space="preserve">#301804, </w:t>
      </w:r>
      <w:hyperlink r:id="rId4" w:history="1">
        <w:r w:rsidRPr="002E5B31">
          <w:rPr>
            <w:rStyle w:val="a3"/>
            <w:rFonts w:cs="Arial"/>
          </w:rPr>
          <w:t>RRID: AB_314186</w:t>
        </w:r>
      </w:hyperlink>
      <w:r w:rsidRPr="002E5B31">
        <w:rPr>
          <w:rFonts w:cs="Arial"/>
        </w:rPr>
        <w:t>, 1:100).</w:t>
      </w:r>
    </w:p>
    <w:p w:rsidR="00372EA1" w:rsidRPr="002E5B31" w:rsidRDefault="00372EA1" w:rsidP="00372EA1">
      <w:pPr>
        <w:snapToGrid w:val="0"/>
        <w:spacing w:line="480" w:lineRule="auto"/>
        <w:jc w:val="both"/>
      </w:pPr>
    </w:p>
    <w:p w:rsidR="00372EA1" w:rsidRPr="002E5B31" w:rsidRDefault="00372EA1" w:rsidP="00372EA1">
      <w:pPr>
        <w:snapToGrid w:val="0"/>
        <w:spacing w:line="480" w:lineRule="auto"/>
        <w:jc w:val="both"/>
        <w:rPr>
          <w:b/>
          <w:bCs/>
        </w:rPr>
      </w:pPr>
      <w:r w:rsidRPr="002E5B31">
        <w:rPr>
          <w:b/>
          <w:bCs/>
        </w:rPr>
        <w:t>Multiplex cytokine assay</w:t>
      </w:r>
      <w:r w:rsidRPr="002E5B31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</w:p>
    <w:p w:rsidR="00372EA1" w:rsidRPr="002E5B31" w:rsidRDefault="00372EA1" w:rsidP="00372EA1">
      <w:pPr>
        <w:snapToGrid w:val="0"/>
        <w:spacing w:line="480" w:lineRule="auto"/>
        <w:jc w:val="both"/>
      </w:pPr>
      <w:r w:rsidRPr="002E5B31">
        <w:t xml:space="preserve">All serum samples were stored at </w:t>
      </w:r>
      <w:r w:rsidRPr="002E5B31">
        <w:rPr>
          <w:rFonts w:cs="Arial"/>
        </w:rPr>
        <w:t>−</w:t>
      </w:r>
      <w:r w:rsidRPr="002E5B31">
        <w:t xml:space="preserve">80°C. Multiplex tests were performed as follows. The 27-plex human cytokine panel, which assesses for FGF basic, </w:t>
      </w:r>
      <w:r w:rsidRPr="002E5B31">
        <w:rPr>
          <w:rFonts w:cs="Arial"/>
          <w:color w:val="000000" w:themeColor="text1"/>
          <w:shd w:val="clear" w:color="auto" w:fill="FFFFFF"/>
        </w:rPr>
        <w:t>Eosinophil chemotactic protein (</w:t>
      </w:r>
      <w:r w:rsidRPr="002E5B31">
        <w:rPr>
          <w:color w:val="000000" w:themeColor="text1"/>
        </w:rPr>
        <w:t>Eotaxin-1),</w:t>
      </w:r>
      <w:r w:rsidRPr="002E5B31">
        <w:t xml:space="preserve"> Granulocyte-colony stimulating factor (G-CSF), </w:t>
      </w:r>
      <w:r w:rsidRPr="002E5B31">
        <w:rPr>
          <w:rFonts w:cs="Arial"/>
          <w:color w:val="000000" w:themeColor="text1"/>
          <w:shd w:val="clear" w:color="auto" w:fill="FFFFFF"/>
        </w:rPr>
        <w:t>Granulocyte macrophage-colony stimulating factor</w:t>
      </w:r>
      <w:r w:rsidRPr="002E5B31">
        <w:rPr>
          <w:color w:val="000000" w:themeColor="text1"/>
        </w:rPr>
        <w:t xml:space="preserve"> (GM-CSF), </w:t>
      </w:r>
      <w:r w:rsidRPr="002E5B31">
        <w:rPr>
          <w:rFonts w:cs="Arial"/>
          <w:color w:val="000000" w:themeColor="text1"/>
          <w:shd w:val="clear" w:color="auto" w:fill="FFFFFF"/>
        </w:rPr>
        <w:t>Interferon-gamma</w:t>
      </w:r>
      <w:r w:rsidRPr="002E5B31">
        <w:rPr>
          <w:color w:val="000000" w:themeColor="text1"/>
        </w:rPr>
        <w:t xml:space="preserve"> (IFN-γ), </w:t>
      </w:r>
      <w:r w:rsidRPr="002E5B31">
        <w:rPr>
          <w:rStyle w:val="a4"/>
          <w:rFonts w:cs="Arial"/>
          <w:color w:val="000000" w:themeColor="text1"/>
        </w:rPr>
        <w:t>Interleukin</w:t>
      </w:r>
      <w:r w:rsidRPr="002E5B31">
        <w:rPr>
          <w:rFonts w:cs="Arial"/>
          <w:color w:val="000000" w:themeColor="text1"/>
          <w:shd w:val="clear" w:color="auto" w:fill="FFFFFF"/>
        </w:rPr>
        <w:t>-</w:t>
      </w:r>
      <w:r w:rsidRPr="002E5B31">
        <w:rPr>
          <w:rStyle w:val="a4"/>
          <w:rFonts w:cs="Arial"/>
          <w:color w:val="000000" w:themeColor="text1"/>
        </w:rPr>
        <w:t>1 beta</w:t>
      </w:r>
      <w:r w:rsidRPr="002E5B31">
        <w:rPr>
          <w:color w:val="000000" w:themeColor="text1"/>
        </w:rPr>
        <w:t xml:space="preserve"> (IL-1β), IL-1ra, IL-2, IL-4, IL-5, IL-6, IL-7, IL-8, IL-9, IL-10, IL-12 (p70), IL-13, IL-15, IL-17, </w:t>
      </w:r>
      <w:r w:rsidRPr="002E5B31">
        <w:rPr>
          <w:rFonts w:cs="Arial"/>
          <w:color w:val="000000" w:themeColor="text1"/>
          <w:shd w:val="clear" w:color="auto" w:fill="FFFFFF"/>
        </w:rPr>
        <w:t>Interferon gamma-induced protein 10</w:t>
      </w:r>
      <w:r w:rsidRPr="002E5B31">
        <w:rPr>
          <w:rStyle w:val="apple-converted-space"/>
          <w:rFonts w:cs="Arial"/>
          <w:color w:val="000000" w:themeColor="text1"/>
          <w:shd w:val="clear" w:color="auto" w:fill="FFFFFF"/>
        </w:rPr>
        <w:t xml:space="preserve"> (IP-10, also known as </w:t>
      </w:r>
      <w:r w:rsidRPr="002E5B31">
        <w:rPr>
          <w:rFonts w:cs="Arial"/>
          <w:color w:val="000000" w:themeColor="text1"/>
        </w:rPr>
        <w:t>C-</w:t>
      </w:r>
      <w:r w:rsidRPr="002E5B31">
        <w:rPr>
          <w:rFonts w:cs="Arial"/>
        </w:rPr>
        <w:t xml:space="preserve">X-C motif chemokine ligand 10, </w:t>
      </w:r>
      <w:r w:rsidRPr="002E5B31">
        <w:t>CXCL10</w:t>
      </w:r>
      <w:r w:rsidRPr="002E5B31">
        <w:rPr>
          <w:rFonts w:cs="Arial"/>
        </w:rPr>
        <w:t>)</w:t>
      </w:r>
      <w:r w:rsidRPr="002E5B31">
        <w:t xml:space="preserve">, </w:t>
      </w:r>
      <w:r w:rsidRPr="002E5B31">
        <w:rPr>
          <w:rStyle w:val="a4"/>
          <w:rFonts w:cs="Arial"/>
          <w:color w:val="000000" w:themeColor="text1"/>
        </w:rPr>
        <w:t>Monocyte chemoattractant protein</w:t>
      </w:r>
      <w:r w:rsidRPr="002E5B31">
        <w:rPr>
          <w:rFonts w:cs="Arial"/>
          <w:color w:val="000000" w:themeColor="text1"/>
          <w:shd w:val="clear" w:color="auto" w:fill="FFFFFF"/>
        </w:rPr>
        <w:t>-</w:t>
      </w:r>
      <w:r w:rsidRPr="002E5B31">
        <w:rPr>
          <w:rStyle w:val="a4"/>
          <w:rFonts w:cs="Arial"/>
          <w:color w:val="000000" w:themeColor="text1"/>
        </w:rPr>
        <w:t>1 (</w:t>
      </w:r>
      <w:r w:rsidRPr="002E5B31">
        <w:rPr>
          <w:color w:val="000000" w:themeColor="text1"/>
        </w:rPr>
        <w:t>M</w:t>
      </w:r>
      <w:r w:rsidRPr="002E5B31">
        <w:t xml:space="preserve">CP-1), </w:t>
      </w:r>
      <w:r w:rsidRPr="002E5B31">
        <w:rPr>
          <w:rFonts w:cs="Arial"/>
          <w:color w:val="000000" w:themeColor="text1"/>
          <w:shd w:val="clear" w:color="auto" w:fill="FFFFFF"/>
        </w:rPr>
        <w:t>Macrophage Inflammatory Proteins-1 alpha</w:t>
      </w:r>
      <w:r w:rsidRPr="002E5B31">
        <w:rPr>
          <w:color w:val="000000" w:themeColor="text1"/>
        </w:rPr>
        <w:t xml:space="preserve"> (</w:t>
      </w:r>
      <w:r w:rsidRPr="002E5B31">
        <w:t xml:space="preserve">MIP-1α), </w:t>
      </w:r>
      <w:r w:rsidRPr="002E5B31">
        <w:rPr>
          <w:rFonts w:cs="Arial"/>
          <w:color w:val="000000" w:themeColor="text1"/>
          <w:shd w:val="clear" w:color="auto" w:fill="FFFFFF"/>
        </w:rPr>
        <w:t>Macrophage Inflammatory Proteins-1 beta (</w:t>
      </w:r>
      <w:r w:rsidRPr="002E5B31">
        <w:t>MIP-1β)</w:t>
      </w:r>
      <w:r w:rsidRPr="002E5B31">
        <w:rPr>
          <w:color w:val="000000" w:themeColor="text1"/>
        </w:rPr>
        <w:t xml:space="preserve">, </w:t>
      </w:r>
      <w:r w:rsidRPr="002E5B31">
        <w:rPr>
          <w:rStyle w:val="a4"/>
          <w:rFonts w:cs="Arial"/>
          <w:color w:val="000000" w:themeColor="text1"/>
        </w:rPr>
        <w:t>Platelet-derived growth factor-BB</w:t>
      </w:r>
      <w:r w:rsidRPr="002E5B31">
        <w:rPr>
          <w:color w:val="000000" w:themeColor="text1"/>
        </w:rPr>
        <w:t xml:space="preserve"> (PDGF-BB), </w:t>
      </w:r>
      <w:r w:rsidRPr="002E5B31">
        <w:rPr>
          <w:rFonts w:cs="Arial"/>
          <w:color w:val="000000" w:themeColor="text1"/>
          <w:shd w:val="clear" w:color="auto" w:fill="FFFFFF"/>
        </w:rPr>
        <w:t xml:space="preserve">Regulated </w:t>
      </w:r>
      <w:r w:rsidRPr="002E5B31">
        <w:rPr>
          <w:rFonts w:cs="Arial"/>
          <w:color w:val="000000" w:themeColor="text1"/>
          <w:shd w:val="clear" w:color="auto" w:fill="FFFFFF"/>
        </w:rPr>
        <w:lastRenderedPageBreak/>
        <w:t>upon Activation, Normal T Cell Expressed and Presumably Secreted</w:t>
      </w:r>
      <w:r w:rsidRPr="002E5B31">
        <w:rPr>
          <w:color w:val="000000" w:themeColor="text1"/>
        </w:rPr>
        <w:t xml:space="preserve"> (RANTES), </w:t>
      </w:r>
      <w:r w:rsidRPr="002E5B31">
        <w:rPr>
          <w:rStyle w:val="a4"/>
          <w:rFonts w:cs="Arial"/>
          <w:color w:val="000000" w:themeColor="text1"/>
        </w:rPr>
        <w:t>Tumor Necrosis Factor</w:t>
      </w:r>
      <w:r w:rsidRPr="002E5B31">
        <w:rPr>
          <w:rFonts w:cs="Arial"/>
          <w:color w:val="000000" w:themeColor="text1"/>
          <w:shd w:val="clear" w:color="auto" w:fill="FFFFFF"/>
        </w:rPr>
        <w:t>-alpha</w:t>
      </w:r>
      <w:r w:rsidRPr="002E5B31">
        <w:rPr>
          <w:color w:val="000000" w:themeColor="text1"/>
        </w:rPr>
        <w:t xml:space="preserve"> (TNF-alpha), and </w:t>
      </w:r>
      <w:r w:rsidRPr="002E5B31">
        <w:rPr>
          <w:rStyle w:val="a4"/>
          <w:rFonts w:cs="Arial"/>
          <w:color w:val="000000" w:themeColor="text1"/>
        </w:rPr>
        <w:t>Vascular endothelial growth factor</w:t>
      </w:r>
      <w:r w:rsidRPr="002E5B31">
        <w:rPr>
          <w:color w:val="000000" w:themeColor="text1"/>
        </w:rPr>
        <w:t xml:space="preserve"> (VEGF) (Bio-Plex Pro 27-plex; Bio-Rad) was used according t</w:t>
      </w:r>
      <w:r w:rsidRPr="002E5B31">
        <w:t>o the manufacturer’s instructions. The assays were performed using an automated magnetic wash station (Bio-Plex Pro II; Bio-Rad) for the washing procedures. The Luminex® 200TM system (Bio-Rad) was used to perform the tests and gather fluorescence results. Using Bio-Plex manager software (version 5.0; Bio-Rad), the calibration curves for each cytokine were analyzed using five parametric logistic curve regressions. When the points fell between 80% and 120% of the predicted values, standard values were deemed acceptable. The resulting data were examined using GraphPad Prism (version 9.0.1; USA).</w:t>
      </w:r>
    </w:p>
    <w:p w:rsidR="00372EA1" w:rsidRPr="002E5B31" w:rsidRDefault="00372EA1" w:rsidP="00372EA1">
      <w:pPr>
        <w:snapToGrid w:val="0"/>
        <w:spacing w:line="480" w:lineRule="auto"/>
        <w:jc w:val="both"/>
      </w:pPr>
    </w:p>
    <w:p w:rsidR="00372EA1" w:rsidRPr="002E5B31" w:rsidRDefault="00372EA1" w:rsidP="00372EA1">
      <w:pPr>
        <w:snapToGrid w:val="0"/>
        <w:spacing w:line="480" w:lineRule="auto"/>
        <w:jc w:val="both"/>
        <w:rPr>
          <w:b/>
        </w:rPr>
      </w:pPr>
      <w:r w:rsidRPr="002E5B31">
        <w:rPr>
          <w:b/>
        </w:rPr>
        <w:t xml:space="preserve">Preparation of rAAV9 </w:t>
      </w:r>
      <w:r w:rsidRPr="002E5B31">
        <w:rPr>
          <w:rFonts w:cs="Arial"/>
          <w:b/>
          <w:bCs/>
        </w:rPr>
        <w:t>vectors</w:t>
      </w:r>
    </w:p>
    <w:p w:rsidR="00372EA1" w:rsidRPr="002E5B31" w:rsidRDefault="00372EA1" w:rsidP="00372EA1">
      <w:pPr>
        <w:snapToGrid w:val="0"/>
        <w:spacing w:line="480" w:lineRule="auto"/>
        <w:jc w:val="both"/>
      </w:pPr>
      <w:r w:rsidRPr="002E5B31">
        <w:rPr>
          <w:rFonts w:cs="Arial"/>
        </w:rPr>
        <w:t xml:space="preserve">All rAAV9 vectors utilized in this study were prepared by the </w:t>
      </w:r>
      <w:r w:rsidRPr="002E5B31">
        <w:t xml:space="preserve">Genetics and Metabolism Lab at the </w:t>
      </w:r>
      <w:r w:rsidRPr="002E5B31">
        <w:rPr>
          <w:rFonts w:cs="Arial"/>
        </w:rPr>
        <w:t>Children</w:t>
      </w:r>
      <w:r w:rsidRPr="002E5B31">
        <w:rPr>
          <w:rFonts w:cstheme="minorHAnsi"/>
        </w:rPr>
        <w:t>’</w:t>
      </w:r>
      <w:r w:rsidRPr="002E5B31">
        <w:rPr>
          <w:rFonts w:cs="Arial"/>
        </w:rPr>
        <w:t>s</w:t>
      </w:r>
      <w:r w:rsidRPr="002E5B31">
        <w:t xml:space="preserve"> Hospital of China Medical University</w:t>
      </w:r>
      <w:r w:rsidRPr="002E5B31">
        <w:rPr>
          <w:rFonts w:cs="Arial"/>
        </w:rPr>
        <w:t xml:space="preserve">, </w:t>
      </w:r>
      <w:r w:rsidRPr="002E5B31">
        <w:t>Taichung, Taiwan</w:t>
      </w:r>
      <w:r w:rsidRPr="002E5B31">
        <w:rPr>
          <w:rFonts w:cs="Arial"/>
        </w:rPr>
        <w:t>.</w:t>
      </w:r>
      <w:r w:rsidRPr="002E5B31">
        <w:t xml:space="preserve"> A trans </w:t>
      </w:r>
      <w:r w:rsidRPr="002E5B31">
        <w:rPr>
          <w:rFonts w:cs="Arial"/>
        </w:rPr>
        <w:t>plasmid</w:t>
      </w:r>
      <w:r w:rsidRPr="002E5B31">
        <w:t xml:space="preserve"> containing the Rep gene (AAV2), Cap gene (AAV9), an adeno helper plasmid, and a cis</w:t>
      </w:r>
      <w:r w:rsidRPr="002E5B31">
        <w:rPr>
          <w:rFonts w:cs="Arial"/>
        </w:rPr>
        <w:t xml:space="preserve"> </w:t>
      </w:r>
      <w:r w:rsidRPr="002E5B31">
        <w:t xml:space="preserve">plasmid </w:t>
      </w:r>
      <w:r w:rsidRPr="002E5B31">
        <w:rPr>
          <w:rFonts w:cs="Arial"/>
        </w:rPr>
        <w:t>containing</w:t>
      </w:r>
      <w:r w:rsidRPr="002E5B31">
        <w:t xml:space="preserve"> the </w:t>
      </w:r>
      <w:proofErr w:type="spellStart"/>
      <w:r w:rsidRPr="002E5B31">
        <w:t>rAAV</w:t>
      </w:r>
      <w:proofErr w:type="spellEnd"/>
      <w:r w:rsidRPr="002E5B31">
        <w:t xml:space="preserve">-containing transgene cassette and inverted terminal repeats (AAV2) were triple-transfected into HEK293 cells to create all </w:t>
      </w:r>
      <w:proofErr w:type="spellStart"/>
      <w:r w:rsidRPr="002E5B31">
        <w:t>rAAV</w:t>
      </w:r>
      <w:proofErr w:type="spellEnd"/>
      <w:r w:rsidRPr="002E5B31">
        <w:t xml:space="preserve"> vectors. </w:t>
      </w:r>
      <w:r w:rsidRPr="002E5B31">
        <w:rPr>
          <w:rFonts w:cs="Arial"/>
        </w:rPr>
        <w:t xml:space="preserve">The isolated </w:t>
      </w:r>
      <w:r w:rsidRPr="002E5B31">
        <w:t>AAV9-Control (Ctrl, empty backbone vector) and AAV9-</w:t>
      </w:r>
      <w:r w:rsidRPr="002E5B31">
        <w:rPr>
          <w:rFonts w:cs="Arial"/>
        </w:rPr>
        <w:t>GBA1</w:t>
      </w:r>
      <w:r w:rsidRPr="002E5B31">
        <w:t xml:space="preserve"> vectors were purified by dialysis and cesium chloride gradient centrifugation. </w:t>
      </w:r>
      <w:r w:rsidRPr="002E5B31">
        <w:rPr>
          <w:rFonts w:cs="Arial"/>
        </w:rPr>
        <w:t>We used a</w:t>
      </w:r>
      <w:r w:rsidRPr="002E5B31">
        <w:t xml:space="preserve"> </w:t>
      </w:r>
      <w:proofErr w:type="spellStart"/>
      <w:r w:rsidRPr="002E5B31">
        <w:t>Taqman</w:t>
      </w:r>
      <w:proofErr w:type="spellEnd"/>
      <w:r w:rsidRPr="002E5B31">
        <w:t xml:space="preserve"> </w:t>
      </w:r>
      <w:r w:rsidRPr="002E5B31">
        <w:rPr>
          <w:rFonts w:cs="Arial"/>
        </w:rPr>
        <w:t>quantitative polymerase chain reaction (</w:t>
      </w:r>
      <w:r w:rsidRPr="002E5B31">
        <w:t>qPCR</w:t>
      </w:r>
      <w:r w:rsidRPr="002E5B31">
        <w:rPr>
          <w:rFonts w:cs="Arial"/>
        </w:rPr>
        <w:t xml:space="preserve">) assay for AAV </w:t>
      </w:r>
      <w:r w:rsidRPr="002E5B31">
        <w:t xml:space="preserve">titration </w:t>
      </w:r>
      <w:r w:rsidRPr="002E5B31">
        <w:rPr>
          <w:rFonts w:cs="Arial"/>
        </w:rPr>
        <w:t>to determine</w:t>
      </w:r>
      <w:r w:rsidRPr="002E5B31">
        <w:t xml:space="preserve"> the </w:t>
      </w:r>
      <w:proofErr w:type="spellStart"/>
      <w:r w:rsidRPr="002E5B31">
        <w:t>rAAV</w:t>
      </w:r>
      <w:proofErr w:type="spellEnd"/>
      <w:r w:rsidRPr="002E5B31">
        <w:t xml:space="preserve"> genome copy number</w:t>
      </w:r>
      <w:r w:rsidRPr="002E5B31">
        <w:fldChar w:fldCharType="begin"/>
      </w:r>
      <w:r w:rsidRPr="002E5B31">
        <w:instrText xml:space="preserve"> ADDIN EN.CITE &lt;EndNote&gt;&lt;Cite&gt;&lt;Author&gt;Qin Su&lt;/Author&gt;&lt;Year&gt;2020&lt;/Year&gt;&lt;RecNum&gt;2192&lt;/RecNum&gt;&lt;DisplayText&gt;(20)&lt;/DisplayText&gt;&lt;record&gt;&lt;rec-number&gt;2192&lt;/rec-number&gt;&lt;foreign-keys&gt;&lt;key app="EN" db-id="ez2tzsw0rd9vapeevs6vaxtiat09w0xdpv2z" timestamp="1664959954" guid="a5147150-2016-411c-9cb1-24537eff7a20"&gt;2192&lt;/key&gt;&lt;/foreign-keys&gt;&lt;ref-type name="Journal Article"&gt;17&lt;/ref-type&gt;&lt;contributors&gt;&lt;authors&gt;&lt;author&gt;Qin Su, &lt;/author&gt;&lt;author&gt;Miguel Sena-Esteves, &lt;/author&gt;&lt;author&gt;Guangping Gao&lt;/author&gt;&lt;/authors&gt;&lt;/contributors&gt;&lt;titles&gt;&lt;title&gt;Titration of Recombinant Adeno-Associated Virus (rAAV) Genome Copy Number Using Real-Time Quantitative Polymerase Chain Reaction (qPCR)&lt;/title&gt;&lt;secondary-title&gt;Cold Spring Harb Protoc.&lt;/secondary-title&gt;&lt;/titles&gt;&lt;periodical&gt;&lt;full-title&gt;Cold Spring Harb Protoc.&lt;/full-title&gt;&lt;/periodical&gt;&lt;pages&gt;095646.&lt;/pages&gt;&lt;volume&gt;5&lt;/volume&gt;&lt;dates&gt;&lt;year&gt;2020&lt;/year&gt;&lt;/dates&gt;&lt;urls&gt;&lt;/urls&gt;&lt;/record&gt;&lt;/Cite&gt;&lt;/EndNote&gt;</w:instrText>
      </w:r>
      <w:r w:rsidRPr="002E5B31">
        <w:fldChar w:fldCharType="separate"/>
      </w:r>
      <w:r w:rsidRPr="002E5B31">
        <w:rPr>
          <w:noProof/>
        </w:rPr>
        <w:t>(20)</w:t>
      </w:r>
      <w:r w:rsidRPr="002E5B31">
        <w:fldChar w:fldCharType="end"/>
      </w:r>
      <w:r w:rsidRPr="002E5B31">
        <w:rPr>
          <w:rFonts w:cs="Arial"/>
        </w:rPr>
        <w:t>.</w:t>
      </w:r>
    </w:p>
    <w:p w:rsidR="00372EA1" w:rsidRPr="002E5B31" w:rsidRDefault="00372EA1" w:rsidP="00372EA1">
      <w:pPr>
        <w:snapToGrid w:val="0"/>
        <w:spacing w:line="480" w:lineRule="auto"/>
        <w:jc w:val="both"/>
      </w:pPr>
    </w:p>
    <w:p w:rsidR="00372EA1" w:rsidRPr="002E5B31" w:rsidRDefault="00372EA1" w:rsidP="00372EA1">
      <w:pPr>
        <w:snapToGrid w:val="0"/>
        <w:spacing w:line="480" w:lineRule="auto"/>
        <w:jc w:val="both"/>
        <w:rPr>
          <w:b/>
          <w:color w:val="000000" w:themeColor="text1"/>
        </w:rPr>
      </w:pPr>
      <w:r w:rsidRPr="002E5B31">
        <w:rPr>
          <w:rFonts w:cs="Arial"/>
          <w:b/>
          <w:bCs/>
        </w:rPr>
        <w:t>Osteoclast</w:t>
      </w:r>
      <w:r w:rsidRPr="002E5B31">
        <w:rPr>
          <w:b/>
        </w:rPr>
        <w:t xml:space="preserve"> differentiati</w:t>
      </w:r>
      <w:r w:rsidRPr="002E5B31">
        <w:rPr>
          <w:b/>
          <w:color w:val="000000" w:themeColor="text1"/>
        </w:rPr>
        <w:t xml:space="preserve">on and </w:t>
      </w:r>
      <w:r w:rsidRPr="002E5B31">
        <w:rPr>
          <w:rFonts w:cs="Arial"/>
          <w:b/>
          <w:color w:val="000000" w:themeColor="text1"/>
          <w:shd w:val="clear" w:color="auto" w:fill="FFFFFF"/>
        </w:rPr>
        <w:t>tartrate-resistant acid phosphatase</w:t>
      </w:r>
      <w:r w:rsidRPr="002E5B31">
        <w:rPr>
          <w:b/>
          <w:color w:val="000000" w:themeColor="text1"/>
        </w:rPr>
        <w:t xml:space="preserve"> (TRAP) staining</w:t>
      </w:r>
    </w:p>
    <w:p w:rsidR="00372EA1" w:rsidRPr="002E5B31" w:rsidRDefault="00372EA1" w:rsidP="00372EA1">
      <w:pPr>
        <w:snapToGrid w:val="0"/>
        <w:spacing w:line="480" w:lineRule="auto"/>
        <w:jc w:val="both"/>
      </w:pPr>
      <w:r w:rsidRPr="002E5B31">
        <w:rPr>
          <w:rFonts w:cs="Arial"/>
        </w:rPr>
        <w:t xml:space="preserve">We added the </w:t>
      </w:r>
      <w:r w:rsidRPr="002E5B31">
        <w:t xml:space="preserve">isolated </w:t>
      </w:r>
      <w:r w:rsidRPr="002E5B31">
        <w:rPr>
          <w:rFonts w:cs="Arial"/>
        </w:rPr>
        <w:t xml:space="preserve">PBMCs to </w:t>
      </w:r>
      <w:r w:rsidRPr="002E5B31">
        <w:t>96-well plates (for the TRAP assay</w:t>
      </w:r>
      <w:r w:rsidRPr="002E5B31">
        <w:rPr>
          <w:rFonts w:cs="Arial"/>
        </w:rPr>
        <w:t>; 3</w:t>
      </w:r>
      <w:r w:rsidRPr="002E5B31">
        <w:t xml:space="preserve"> × 10</w:t>
      </w:r>
      <w:r w:rsidRPr="002E5B31">
        <w:rPr>
          <w:vertAlign w:val="superscript"/>
        </w:rPr>
        <w:t>5</w:t>
      </w:r>
      <w:r w:rsidRPr="002E5B31">
        <w:rPr>
          <w:rFonts w:cs="Arial"/>
        </w:rPr>
        <w:t>/</w:t>
      </w:r>
      <w:r w:rsidRPr="002E5B31">
        <w:t>well</w:t>
      </w:r>
      <w:r w:rsidRPr="002E5B31">
        <w:rPr>
          <w:rFonts w:cs="Arial"/>
        </w:rPr>
        <w:t xml:space="preserve">) and </w:t>
      </w:r>
      <w:r w:rsidRPr="002E5B31">
        <w:lastRenderedPageBreak/>
        <w:t>48-well plates (for the RNA assay</w:t>
      </w:r>
      <w:r w:rsidRPr="002E5B31">
        <w:rPr>
          <w:rFonts w:cs="Arial"/>
        </w:rPr>
        <w:t>; 7.5 × 10</w:t>
      </w:r>
      <w:r w:rsidRPr="002E5B31">
        <w:rPr>
          <w:rFonts w:cs="Arial"/>
          <w:vertAlign w:val="superscript"/>
        </w:rPr>
        <w:t>5</w:t>
      </w:r>
      <w:r w:rsidRPr="002E5B31">
        <w:rPr>
          <w:rFonts w:cs="Arial"/>
        </w:rPr>
        <w:t xml:space="preserve">/well) containing </w:t>
      </w:r>
      <w:r w:rsidRPr="002E5B31">
        <w:t xml:space="preserve">100 </w:t>
      </w:r>
      <w:proofErr w:type="spellStart"/>
      <w:r w:rsidRPr="002E5B31">
        <w:t>μL</w:t>
      </w:r>
      <w:proofErr w:type="spellEnd"/>
      <w:r w:rsidRPr="002E5B31">
        <w:t xml:space="preserve">/well or 200 </w:t>
      </w:r>
      <w:proofErr w:type="spellStart"/>
      <w:r w:rsidRPr="002E5B31">
        <w:t>μL</w:t>
      </w:r>
      <w:proofErr w:type="spellEnd"/>
      <w:r w:rsidRPr="002E5B31">
        <w:t>/well</w:t>
      </w:r>
      <w:r w:rsidRPr="002E5B31">
        <w:rPr>
          <w:rFonts w:cs="Arial"/>
        </w:rPr>
        <w:t xml:space="preserve">, respectively, of </w:t>
      </w:r>
      <w:r w:rsidRPr="002E5B31">
        <w:t>RPMI-1640 medium (10%</w:t>
      </w:r>
      <w:r w:rsidRPr="002E5B31">
        <w:rPr>
          <w:rFonts w:cs="Arial"/>
        </w:rPr>
        <w:t xml:space="preserve"> </w:t>
      </w:r>
      <w:r w:rsidRPr="002E5B31">
        <w:t xml:space="preserve">FCS and 1% </w:t>
      </w:r>
      <w:r w:rsidRPr="002E5B31">
        <w:rPr>
          <w:rFonts w:cs="Arial"/>
        </w:rPr>
        <w:t xml:space="preserve">penicillin/streptomycin) and incubated them </w:t>
      </w:r>
      <w:r w:rsidRPr="002E5B31">
        <w:t xml:space="preserve">for 1–2 </w:t>
      </w:r>
      <w:r w:rsidRPr="002E5B31">
        <w:rPr>
          <w:rFonts w:cs="Arial"/>
        </w:rPr>
        <w:t>h</w:t>
      </w:r>
      <w:r w:rsidRPr="002E5B31">
        <w:t xml:space="preserve"> at 37°C </w:t>
      </w:r>
      <w:r w:rsidRPr="002E5B31">
        <w:rPr>
          <w:rFonts w:cs="Arial"/>
        </w:rPr>
        <w:t>using plastic adhesion to filter monocytes in a 5.5% CO</w:t>
      </w:r>
      <w:r w:rsidRPr="002E5B31">
        <w:rPr>
          <w:rFonts w:cs="Arial"/>
          <w:vertAlign w:val="subscript"/>
        </w:rPr>
        <w:t>2</w:t>
      </w:r>
      <w:r w:rsidRPr="002E5B31">
        <w:rPr>
          <w:rFonts w:cs="Arial"/>
        </w:rPr>
        <w:t xml:space="preserve"> environment</w:t>
      </w:r>
      <w:r w:rsidRPr="002E5B31">
        <w:t xml:space="preserve">. </w:t>
      </w:r>
      <w:r w:rsidRPr="002E5B31">
        <w:rPr>
          <w:rFonts w:cs="Arial"/>
        </w:rPr>
        <w:t xml:space="preserve">The cells were then rinsed, and </w:t>
      </w:r>
      <w:r w:rsidRPr="002E5B31">
        <w:t>RPMI-1640</w:t>
      </w:r>
      <w:r w:rsidRPr="002E5B31">
        <w:rPr>
          <w:rFonts w:cs="Arial"/>
        </w:rPr>
        <w:t xml:space="preserve"> medium (1% penicillin/streptomycin and 10% FCS) was used to differentiate the cells into osteoclasts</w:t>
      </w:r>
      <w:r w:rsidRPr="002E5B31">
        <w:t xml:space="preserve"> with 20 ng/mL </w:t>
      </w:r>
      <w:r w:rsidRPr="002E5B31">
        <w:rPr>
          <w:rFonts w:cs="Arial"/>
        </w:rPr>
        <w:t>macrophage colony-stimulating factor (</w:t>
      </w:r>
      <w:r w:rsidRPr="002E5B31">
        <w:t>M-CSF</w:t>
      </w:r>
      <w:r w:rsidRPr="002E5B31">
        <w:rPr>
          <w:rFonts w:cs="Arial"/>
        </w:rPr>
        <w:t>),</w:t>
      </w:r>
      <w:r w:rsidRPr="002E5B31">
        <w:t xml:space="preserve"> 50 ng/mL </w:t>
      </w:r>
      <w:r w:rsidRPr="002E5B31">
        <w:rPr>
          <w:rFonts w:cs="Arial"/>
        </w:rPr>
        <w:t>Receptor activator of nuclear factor-</w:t>
      </w:r>
      <w:proofErr w:type="spellStart"/>
      <w:r w:rsidRPr="002E5B31">
        <w:rPr>
          <w:rFonts w:cs="Arial"/>
        </w:rPr>
        <w:t>κB</w:t>
      </w:r>
      <w:proofErr w:type="spellEnd"/>
      <w:r w:rsidRPr="002E5B31">
        <w:rPr>
          <w:rFonts w:cs="Arial"/>
        </w:rPr>
        <w:t xml:space="preserve"> ligand (RANKL)</w:t>
      </w:r>
      <w:r w:rsidRPr="002E5B31">
        <w:t xml:space="preserve">, and 10 ng/mL </w:t>
      </w:r>
      <w:r w:rsidRPr="002E5B31">
        <w:rPr>
          <w:rFonts w:cs="Arial"/>
        </w:rPr>
        <w:t xml:space="preserve">transforming growth factor </w:t>
      </w:r>
      <w:r w:rsidRPr="002E5B31">
        <w:t xml:space="preserve">β (all </w:t>
      </w:r>
      <w:proofErr w:type="spellStart"/>
      <w:r w:rsidRPr="002E5B31">
        <w:t>PeproTech</w:t>
      </w:r>
      <w:proofErr w:type="spellEnd"/>
      <w:r w:rsidRPr="002E5B31">
        <w:t xml:space="preserve">) at 37°C </w:t>
      </w:r>
      <w:r w:rsidRPr="002E5B31">
        <w:rPr>
          <w:rFonts w:cs="Arial"/>
        </w:rPr>
        <w:t xml:space="preserve">in an atmosphere of </w:t>
      </w:r>
      <w:r w:rsidRPr="002E5B31">
        <w:t>5.5% CO</w:t>
      </w:r>
      <w:r w:rsidRPr="002E5B31">
        <w:rPr>
          <w:vertAlign w:val="subscript"/>
        </w:rPr>
        <w:t>2</w:t>
      </w:r>
      <w:r w:rsidRPr="002E5B31">
        <w:t xml:space="preserve">. On days 3 and 5 of differentiation, two-thirds of the medium was changed. After 5 days, </w:t>
      </w:r>
      <w:r w:rsidRPr="002E5B31">
        <w:rPr>
          <w:rFonts w:cs="Arial"/>
        </w:rPr>
        <w:t xml:space="preserve">the </w:t>
      </w:r>
      <w:r w:rsidRPr="002E5B31">
        <w:t xml:space="preserve">preosteoclasts were incubated as indicated with </w:t>
      </w:r>
      <w:r w:rsidRPr="002E5B31">
        <w:rPr>
          <w:rFonts w:cs="Arial"/>
        </w:rPr>
        <w:t>Ctrl</w:t>
      </w:r>
      <w:r w:rsidRPr="002E5B31">
        <w:t xml:space="preserve"> or GBA1 protein, generated by </w:t>
      </w:r>
      <w:r w:rsidRPr="002E5B31">
        <w:rPr>
          <w:rFonts w:cs="Arial"/>
        </w:rPr>
        <w:t>four freeze/thaw</w:t>
      </w:r>
      <w:r w:rsidRPr="002E5B31">
        <w:t xml:space="preserve"> cycles of the remaining PBMCs. </w:t>
      </w:r>
      <w:r w:rsidRPr="002E5B31">
        <w:rPr>
          <w:rFonts w:cs="Arial"/>
        </w:rPr>
        <w:t>We examined the osteoclasts using tartrate-resistant acid phosphatase (TRAP) staining after they had differentiated (day 10). We</w:t>
      </w:r>
      <w:r w:rsidRPr="002E5B31">
        <w:t xml:space="preserve"> acquired </w:t>
      </w:r>
      <w:r w:rsidRPr="002E5B31">
        <w:rPr>
          <w:rFonts w:cs="Arial"/>
        </w:rPr>
        <w:t>images using a</w:t>
      </w:r>
      <w:r w:rsidRPr="002E5B31">
        <w:t xml:space="preserve"> microscope </w:t>
      </w:r>
      <w:r w:rsidRPr="002E5B31">
        <w:rPr>
          <w:rFonts w:cs="Arial"/>
        </w:rPr>
        <w:t xml:space="preserve">(CKX53, Olympus) and </w:t>
      </w:r>
      <w:proofErr w:type="spellStart"/>
      <w:r w:rsidRPr="002E5B31">
        <w:rPr>
          <w:rFonts w:cs="Arial"/>
        </w:rPr>
        <w:t>cellsens</w:t>
      </w:r>
      <w:proofErr w:type="spellEnd"/>
      <w:r w:rsidRPr="002E5B31">
        <w:rPr>
          <w:rFonts w:cs="Arial"/>
        </w:rPr>
        <w:t xml:space="preserve"> software (Olympus). The osteoclasts were quantified using</w:t>
      </w:r>
      <w:r w:rsidRPr="002E5B31">
        <w:t xml:space="preserve"> ImageJ. To identify osteoclasts, differentiated </w:t>
      </w:r>
      <w:r w:rsidRPr="002E5B31">
        <w:rPr>
          <w:rFonts w:cs="Arial"/>
        </w:rPr>
        <w:t>osteoclast</w:t>
      </w:r>
      <w:r w:rsidRPr="002E5B31">
        <w:t xml:space="preserve">-like cells were fixed in 4% </w:t>
      </w:r>
      <w:r w:rsidRPr="002E5B31">
        <w:rPr>
          <w:rFonts w:cs="Arial"/>
        </w:rPr>
        <w:t>paraformaldehyde. The number of TRAP</w:t>
      </w:r>
      <w:r w:rsidRPr="002E5B31">
        <w:rPr>
          <w:rFonts w:cs="Arial"/>
          <w:vertAlign w:val="superscript"/>
        </w:rPr>
        <w:t>+</w:t>
      </w:r>
      <w:r w:rsidRPr="002E5B31">
        <w:rPr>
          <w:rFonts w:cs="Arial"/>
        </w:rPr>
        <w:t xml:space="preserve"> </w:t>
      </w:r>
      <w:r w:rsidRPr="002E5B31">
        <w:t>multinucleated cells (</w:t>
      </w:r>
      <w:r w:rsidRPr="002E5B31">
        <w:rPr>
          <w:rFonts w:ascii="Cambria Math" w:hAnsi="Cambria Math" w:cs="Cambria Math"/>
        </w:rPr>
        <w:t>≥</w:t>
      </w:r>
      <w:r w:rsidRPr="002E5B31">
        <w:t>3 nuclei) per unit area</w:t>
      </w:r>
      <w:r w:rsidRPr="002E5B31">
        <w:rPr>
          <w:rFonts w:cs="Arial"/>
        </w:rPr>
        <w:t xml:space="preserve"> was determined </w:t>
      </w:r>
      <w:r w:rsidRPr="002E5B31">
        <w:t>by one author (</w:t>
      </w:r>
      <w:r w:rsidRPr="002E5B31">
        <w:rPr>
          <w:rFonts w:cs="Arial"/>
          <w:bCs/>
        </w:rPr>
        <w:t>KWL</w:t>
      </w:r>
      <w:r w:rsidRPr="002E5B31">
        <w:rPr>
          <w:rFonts w:cs="Arial"/>
        </w:rPr>
        <w:t>) who was blinded to the treatments.</w:t>
      </w:r>
    </w:p>
    <w:p w:rsidR="00372EA1" w:rsidRPr="002E5B31" w:rsidRDefault="00372EA1" w:rsidP="00372EA1">
      <w:pPr>
        <w:snapToGrid w:val="0"/>
        <w:spacing w:line="480" w:lineRule="auto"/>
        <w:jc w:val="both"/>
      </w:pPr>
    </w:p>
    <w:p w:rsidR="00372EA1" w:rsidRPr="002E5B31" w:rsidRDefault="00372EA1" w:rsidP="00372EA1">
      <w:pPr>
        <w:snapToGrid w:val="0"/>
        <w:spacing w:line="480" w:lineRule="auto"/>
        <w:jc w:val="both"/>
        <w:rPr>
          <w:b/>
        </w:rPr>
      </w:pPr>
      <w:r w:rsidRPr="002E5B31">
        <w:rPr>
          <w:b/>
        </w:rPr>
        <w:t>Resorption assay</w:t>
      </w:r>
    </w:p>
    <w:p w:rsidR="00372EA1" w:rsidRPr="002E5B31" w:rsidRDefault="00372EA1" w:rsidP="00372EA1">
      <w:pPr>
        <w:snapToGrid w:val="0"/>
        <w:spacing w:line="480" w:lineRule="auto"/>
        <w:jc w:val="both"/>
      </w:pPr>
      <w:r w:rsidRPr="002E5B31">
        <w:rPr>
          <w:rFonts w:cs="Arial"/>
        </w:rPr>
        <w:t xml:space="preserve">We </w:t>
      </w:r>
      <w:r w:rsidRPr="002E5B31">
        <w:t>conducted a resorption test</w:t>
      </w:r>
      <w:r w:rsidRPr="002E5B31">
        <w:rPr>
          <w:rFonts w:cs="Arial"/>
        </w:rPr>
        <w:t xml:space="preserve"> by </w:t>
      </w:r>
      <w:r w:rsidRPr="002E5B31">
        <w:t>culturing 1 × 10</w:t>
      </w:r>
      <w:r w:rsidRPr="002E5B31">
        <w:rPr>
          <w:vertAlign w:val="superscript"/>
        </w:rPr>
        <w:t>6</w:t>
      </w:r>
      <w:r w:rsidRPr="002E5B31">
        <w:t xml:space="preserve"> monocytes per well in 24-well plates covered with calcium phosphate (Corning) and containing 1 mL of osteoclast medium with 20 ng/mL M-CSF and 50 ng/mL RANKL at 37°C in a 5.5% CO</w:t>
      </w:r>
      <w:r w:rsidRPr="002E5B31">
        <w:rPr>
          <w:vertAlign w:val="subscript"/>
        </w:rPr>
        <w:t>2</w:t>
      </w:r>
      <w:r w:rsidRPr="002E5B31">
        <w:t xml:space="preserve"> environment. </w:t>
      </w:r>
      <w:r w:rsidRPr="002E5B31">
        <w:rPr>
          <w:rFonts w:cs="Arial"/>
        </w:rPr>
        <w:t>Every two days, the medium was changed. We lysed the osteoclasts with d</w:t>
      </w:r>
      <w:r w:rsidRPr="002E5B31">
        <w:t>dH</w:t>
      </w:r>
      <w:r w:rsidRPr="002E5B31">
        <w:rPr>
          <w:vertAlign w:val="subscript"/>
        </w:rPr>
        <w:t>2</w:t>
      </w:r>
      <w:r w:rsidRPr="002E5B31">
        <w:t>O</w:t>
      </w:r>
      <w:r w:rsidRPr="002E5B31">
        <w:rPr>
          <w:rFonts w:cs="Arial"/>
        </w:rPr>
        <w:t xml:space="preserve"> after differentiation had taken place for 5 days. The plates were then rinsed with ddH2O, </w:t>
      </w:r>
      <w:r w:rsidRPr="002E5B31">
        <w:rPr>
          <w:rFonts w:cs="Arial"/>
        </w:rPr>
        <w:lastRenderedPageBreak/>
        <w:t xml:space="preserve">treated for 5 min with 5% sodium hypochlorite (Millipore-Sigma), and dried for 2 h at room temperature. A microscope (CKX53, Olympus) and </w:t>
      </w:r>
      <w:proofErr w:type="spellStart"/>
      <w:r w:rsidRPr="002E5B31">
        <w:rPr>
          <w:rFonts w:cs="Arial"/>
        </w:rPr>
        <w:t>cellsens</w:t>
      </w:r>
      <w:proofErr w:type="spellEnd"/>
      <w:r w:rsidRPr="002E5B31">
        <w:rPr>
          <w:rFonts w:cs="Arial"/>
        </w:rPr>
        <w:t xml:space="preserve"> software (Olympus) were used to capture images. The osteoclasts were quantified, and the </w:t>
      </w:r>
      <w:r w:rsidRPr="002E5B31">
        <w:t xml:space="preserve">percentage of the resorbed area was </w:t>
      </w:r>
      <w:r w:rsidRPr="002E5B31">
        <w:rPr>
          <w:rFonts w:cs="Arial"/>
        </w:rPr>
        <w:t xml:space="preserve">determined using </w:t>
      </w:r>
      <w:r w:rsidRPr="002E5B31">
        <w:t>ImageJ.</w:t>
      </w:r>
    </w:p>
    <w:p w:rsidR="00372EA1" w:rsidRPr="002E5B31" w:rsidRDefault="00372EA1" w:rsidP="00372EA1">
      <w:pPr>
        <w:snapToGrid w:val="0"/>
        <w:spacing w:line="480" w:lineRule="auto"/>
        <w:jc w:val="both"/>
      </w:pPr>
    </w:p>
    <w:p w:rsidR="00372EA1" w:rsidRPr="002E5B31" w:rsidRDefault="00372EA1" w:rsidP="00372EA1">
      <w:pPr>
        <w:snapToGrid w:val="0"/>
        <w:spacing w:line="480" w:lineRule="auto"/>
        <w:jc w:val="both"/>
        <w:rPr>
          <w:b/>
        </w:rPr>
      </w:pPr>
      <w:r w:rsidRPr="002E5B31">
        <w:rPr>
          <w:b/>
        </w:rPr>
        <w:t xml:space="preserve">RNA extraction and </w:t>
      </w:r>
      <w:r w:rsidRPr="002E5B31">
        <w:rPr>
          <w:rFonts w:cs="Arial"/>
          <w:b/>
          <w:bCs/>
        </w:rPr>
        <w:t>qPCR</w:t>
      </w:r>
    </w:p>
    <w:p w:rsidR="00372EA1" w:rsidRPr="002E5B31" w:rsidRDefault="00372EA1" w:rsidP="00372EA1">
      <w:pPr>
        <w:snapToGrid w:val="0"/>
        <w:spacing w:line="480" w:lineRule="auto"/>
        <w:jc w:val="both"/>
      </w:pPr>
      <w:r w:rsidRPr="002E5B31">
        <w:t xml:space="preserve">Utilizing </w:t>
      </w:r>
      <w:proofErr w:type="spellStart"/>
      <w:r w:rsidRPr="002E5B31">
        <w:t>TRIzol</w:t>
      </w:r>
      <w:proofErr w:type="spellEnd"/>
      <w:r w:rsidRPr="002E5B31">
        <w:t xml:space="preserve"> reagent, total RNA was isolated from monocytes (Sigma, T9424). RNase-free DNase (</w:t>
      </w:r>
      <w:proofErr w:type="spellStart"/>
      <w:r w:rsidRPr="002E5B31">
        <w:t>Thermo</w:t>
      </w:r>
      <w:proofErr w:type="spellEnd"/>
      <w:r w:rsidRPr="002E5B31">
        <w:t xml:space="preserve"> Fisher, EN0521) was used to treat the RNAs in human samples before the isolated RNA underwent reverse transcription using a High-Capacity cDNA Reverse Transcription Kit (</w:t>
      </w:r>
      <w:proofErr w:type="spellStart"/>
      <w:r w:rsidRPr="002E5B31">
        <w:t>Thermo</w:t>
      </w:r>
      <w:proofErr w:type="spellEnd"/>
      <w:r w:rsidRPr="002E5B31">
        <w:t xml:space="preserve"> Fisher, 4368814). qPCR was performed using a Power SYBRTM Green PCR Master Mix and a CFX96 Touch Real-Time PCR Detection System from Bio-Rad (</w:t>
      </w:r>
      <w:proofErr w:type="spellStart"/>
      <w:r w:rsidRPr="002E5B31">
        <w:t>Thermo</w:t>
      </w:r>
      <w:proofErr w:type="spellEnd"/>
      <w:r w:rsidRPr="002E5B31">
        <w:t xml:space="preserve"> Fisher, 4367659). The comparative Ct technique (2-</w:t>
      </w:r>
      <w:r w:rsidRPr="002E5B31">
        <w:rPr>
          <w:rFonts w:ascii="Cambria Math" w:hAnsi="Cambria Math" w:cs="Cambria Math"/>
          <w:color w:val="202124"/>
          <w:shd w:val="clear" w:color="auto" w:fill="FFFFFF"/>
        </w:rPr>
        <w:t>△△</w:t>
      </w:r>
      <w:r w:rsidRPr="002E5B31">
        <w:t>Ct) was used to test each sample in triplicate, and relative expression levels were calculated. These values were then adjusted to the level of RPLP0 mR</w:t>
      </w:r>
      <w:r w:rsidRPr="009356D1">
        <w:t xml:space="preserve">NA. </w:t>
      </w:r>
      <w:r w:rsidR="0042670B" w:rsidRPr="009356D1">
        <w:rPr>
          <w:rFonts w:cs="Arial"/>
        </w:rPr>
        <w:t>Additional file</w:t>
      </w:r>
      <w:r w:rsidR="0042670B" w:rsidRPr="009356D1">
        <w:rPr>
          <w:rFonts w:cs="Arial"/>
        </w:rPr>
        <w:t xml:space="preserve"> 6</w:t>
      </w:r>
      <w:r w:rsidRPr="009356D1">
        <w:t xml:space="preserve"> contains</w:t>
      </w:r>
      <w:r w:rsidRPr="002E5B31">
        <w:t xml:space="preserve"> a list of the qPCR primer sequences</w:t>
      </w:r>
      <w:r w:rsidRPr="002E5B31">
        <w:fldChar w:fldCharType="begin"/>
      </w:r>
      <w:r w:rsidRPr="002E5B31">
        <w:instrText xml:space="preserve"> ADDIN EN.CITE &lt;EndNote&gt;&lt;Cite&gt;&lt;Author&gt;Chung-Hsing Wang&lt;/Author&gt;&lt;RecNum&gt;2469&lt;/RecNum&gt;&lt;DisplayText&gt;(17)&lt;/DisplayText&gt;&lt;record&gt;&lt;rec-number&gt;2469&lt;/rec-number&gt;&lt;foreign-keys&gt;&lt;key app="EN" db-id="ez2tzsw0rd9vapeevs6vaxtiat09w0xdpv2z" timestamp="1676124741" guid="870dc3ac-c089-4d70-a904-39201c73fe79"&gt;2469&lt;/key&gt;&lt;/foreign-keys&gt;&lt;ref-type name="Journal Article"&gt;17&lt;/ref-type&gt;&lt;contributors&gt;&lt;authors&gt;&lt;author&gt;Chung-Hsing Wang, &lt;/author&gt;&lt;author&gt;Yu</w:instrText>
      </w:r>
      <w:r w:rsidRPr="002E5B31">
        <w:rPr>
          <w:rFonts w:ascii="Cambria Math" w:hAnsi="Cambria Math" w:cs="Cambria Math"/>
        </w:rPr>
        <w:instrText>‐</w:instrText>
      </w:r>
      <w:r w:rsidRPr="002E5B31">
        <w:instrText>Nan Huang, &lt;/author&gt;&lt;author&gt;Wen-Ling Liao, &lt;/author&gt;&lt;author&gt;Ai-Ru Hsieh, &lt;/author&gt;&lt;author&gt;Wei-De Lin, &lt;/author&gt;&lt;author&gt;Yu-Jung Lin, &lt;/author&gt;&lt;author&gt;Kai-Wen Liu, &lt;/author&gt;&lt;author&gt;Tsung-Hsun Tsai, &lt;/author&gt;&lt;author&gt;Wen-Li Lu, &lt;/author&gt;&lt;author&gt;Chieh</w:instrText>
      </w:r>
      <w:r w:rsidRPr="002E5B31">
        <w:rPr>
          <w:rFonts w:ascii="Cambria Math" w:hAnsi="Cambria Math" w:cs="Cambria Math"/>
        </w:rPr>
        <w:instrText>‐</w:instrText>
      </w:r>
      <w:r w:rsidRPr="002E5B31">
        <w:instrText>Chen Huang,&lt;/author&gt;&lt;author&gt;Yin-Hsiu Chien,&lt;/author&gt;&lt;author&gt;Ni-Chung Lee,&lt;/author&gt;&lt;author&gt;Pen-Hua Su,  &lt;/author&gt;&lt;author&gt;Fuu-Jen Tsai&lt;/author&gt;&lt;/authors&gt;&lt;/contributors&gt;&lt;titles&gt;&lt;title&gt;Supplementary file for“GBA1 as a Risk Gene for Osteoporosis in the Specific Populations and Its Role in the Development of Gaucher Disease.” Deposited June 9, 2023. Available at: July 9, 2023.. figshare. . https://figshare.com/articles/dataset/_/23430299&lt;/title&gt;&lt;/titles&gt;&lt;dates&gt;&lt;/dates&gt;&lt;urls&gt;&lt;/urls&gt;&lt;/record&gt;&lt;/Cite&gt;&lt;/EndNote&gt;</w:instrText>
      </w:r>
      <w:r w:rsidRPr="002E5B31">
        <w:fldChar w:fldCharType="separate"/>
      </w:r>
      <w:r w:rsidRPr="002E5B31">
        <w:rPr>
          <w:noProof/>
        </w:rPr>
        <w:t>(17)</w:t>
      </w:r>
      <w:r w:rsidRPr="002E5B31">
        <w:fldChar w:fldCharType="end"/>
      </w:r>
      <w:r w:rsidRPr="002E5B31">
        <w:t>.</w:t>
      </w:r>
    </w:p>
    <w:p w:rsidR="00372EA1" w:rsidRPr="002E5B31" w:rsidRDefault="00372EA1" w:rsidP="00372EA1">
      <w:pPr>
        <w:snapToGrid w:val="0"/>
        <w:spacing w:line="480" w:lineRule="auto"/>
        <w:jc w:val="both"/>
      </w:pPr>
    </w:p>
    <w:p w:rsidR="00372EA1" w:rsidRPr="002E5B31" w:rsidRDefault="00372EA1" w:rsidP="00372EA1">
      <w:pPr>
        <w:snapToGrid w:val="0"/>
        <w:spacing w:line="480" w:lineRule="auto"/>
        <w:jc w:val="both"/>
        <w:rPr>
          <w:b/>
        </w:rPr>
      </w:pPr>
      <w:r w:rsidRPr="002E5B31">
        <w:rPr>
          <w:b/>
        </w:rPr>
        <w:t xml:space="preserve">Confocal </w:t>
      </w:r>
      <w:r w:rsidRPr="002E5B31">
        <w:rPr>
          <w:rFonts w:cs="Arial"/>
          <w:b/>
          <w:bCs/>
        </w:rPr>
        <w:t>microscopy</w:t>
      </w:r>
    </w:p>
    <w:p w:rsidR="00372EA1" w:rsidRPr="002E5B31" w:rsidRDefault="00372EA1" w:rsidP="00372EA1">
      <w:pPr>
        <w:snapToGrid w:val="0"/>
        <w:spacing w:line="480" w:lineRule="auto"/>
        <w:jc w:val="both"/>
        <w:rPr>
          <w:rFonts w:cs="Arial"/>
        </w:rPr>
      </w:pPr>
      <w:r w:rsidRPr="002E5B31">
        <w:rPr>
          <w:rFonts w:cs="Arial"/>
        </w:rPr>
        <w:t xml:space="preserve">An automated imaging system from Molecular Devices called </w:t>
      </w:r>
      <w:proofErr w:type="spellStart"/>
      <w:r w:rsidRPr="002E5B31">
        <w:rPr>
          <w:rFonts w:cs="Arial"/>
        </w:rPr>
        <w:t>ImageXpress</w:t>
      </w:r>
      <w:proofErr w:type="spellEnd"/>
      <w:r w:rsidRPr="002E5B31">
        <w:rPr>
          <w:rFonts w:cs="Arial"/>
        </w:rPr>
        <w:t xml:space="preserve"> Micro, which has environmental control, was used to acquire images (Molecular Devices).</w:t>
      </w:r>
      <w:r w:rsidRPr="002E5B31">
        <w:t xml:space="preserve"> Nine images were captured per well using two channels to capture the matching signal from the target protein labeled with a fluorescent antibody [Alexa fluor 488: excitation (ex), 472/30 nm; emission (</w:t>
      </w:r>
      <w:proofErr w:type="spellStart"/>
      <w:r w:rsidRPr="002E5B31">
        <w:t>em</w:t>
      </w:r>
      <w:proofErr w:type="spellEnd"/>
      <w:r w:rsidRPr="002E5B31">
        <w:t xml:space="preserve">), 520/35 nm] and the Hoechst 33342-stained nuclei (DAPI channel: ex, 377/50 nm; </w:t>
      </w:r>
      <w:proofErr w:type="spellStart"/>
      <w:r w:rsidRPr="002E5B31">
        <w:t>em</w:t>
      </w:r>
      <w:proofErr w:type="spellEnd"/>
      <w:r w:rsidRPr="002E5B31">
        <w:t xml:space="preserve">, 447/60 nm). Using laser focusing with a z-offset, epifluorescence pictures were captured with a 40× objective (ELWD Plan Fluor, NA 0.6, </w:t>
      </w:r>
      <w:r w:rsidRPr="002E5B31">
        <w:lastRenderedPageBreak/>
        <w:t>WD 2.7). Target protein images were obtained at a predetermined z-offset from the DAPI channel after nuclear images. To reduce the amount of time, take to acquire an image of each sample, the imaging procedure was speed-optimized. The focus procedure made it possible to photograph one 96-well plate in around 1 h. A minimum of nine photos per well were required to provide enough cells, according to the optimization of the image acquisition procedure. Automated</w:t>
      </w:r>
      <w:r w:rsidRPr="002E5B31">
        <w:rPr>
          <w:rFonts w:cs="Arial"/>
        </w:rPr>
        <w:t xml:space="preserve"> photography enables the representation of paired fields in the first and second images. In the primary analytic method used for screening, the </w:t>
      </w:r>
      <w:proofErr w:type="spellStart"/>
      <w:r w:rsidRPr="002E5B31">
        <w:rPr>
          <w:rFonts w:cs="Arial"/>
        </w:rPr>
        <w:t>Transfluor</w:t>
      </w:r>
      <w:proofErr w:type="spellEnd"/>
      <w:r w:rsidRPr="002E5B31">
        <w:rPr>
          <w:rFonts w:cs="Arial"/>
        </w:rPr>
        <w:t xml:space="preserve"> module of the </w:t>
      </w:r>
      <w:proofErr w:type="spellStart"/>
      <w:r w:rsidRPr="002E5B31">
        <w:rPr>
          <w:rFonts w:cs="Arial"/>
        </w:rPr>
        <w:t>MetaXpress</w:t>
      </w:r>
      <w:proofErr w:type="spellEnd"/>
      <w:r w:rsidRPr="002E5B31">
        <w:rPr>
          <w:rFonts w:cs="Arial"/>
        </w:rPr>
        <w:t xml:space="preserve"> program was employed to analyze the obtained images.</w:t>
      </w:r>
    </w:p>
    <w:p w:rsidR="00372EA1" w:rsidRPr="002E5B31" w:rsidRDefault="00372EA1" w:rsidP="00372EA1">
      <w:pPr>
        <w:snapToGrid w:val="0"/>
        <w:spacing w:line="480" w:lineRule="auto"/>
        <w:jc w:val="both"/>
      </w:pPr>
    </w:p>
    <w:p w:rsidR="00372EA1" w:rsidRPr="002E5B31" w:rsidRDefault="00372EA1" w:rsidP="00372EA1">
      <w:pPr>
        <w:pStyle w:val="MDPI31text"/>
        <w:spacing w:line="480" w:lineRule="auto"/>
        <w:ind w:left="0" w:firstLine="0"/>
        <w:rPr>
          <w:rFonts w:ascii="Arial" w:hAnsi="Arial"/>
          <w:b/>
          <w:bCs/>
          <w:color w:val="000000" w:themeColor="text1"/>
          <w:sz w:val="24"/>
          <w:szCs w:val="24"/>
        </w:rPr>
      </w:pPr>
      <w:proofErr w:type="spellStart"/>
      <w:r w:rsidRPr="002E5B31">
        <w:rPr>
          <w:rFonts w:ascii="Arial" w:hAnsi="Arial" w:cs="Arial"/>
          <w:b/>
          <w:bCs/>
          <w:color w:val="000000" w:themeColor="text1"/>
          <w:sz w:val="24"/>
          <w:szCs w:val="24"/>
        </w:rPr>
        <w:t>GCase</w:t>
      </w:r>
      <w:proofErr w:type="spellEnd"/>
      <w:r w:rsidRPr="002E5B3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Chitotriosidase activity, </w:t>
      </w:r>
      <w:r w:rsidRPr="002E5B31">
        <w:rPr>
          <w:rFonts w:ascii="Arial" w:eastAsia="新細明體" w:hAnsi="Arial" w:cs="Arial"/>
          <w:b/>
          <w:bCs/>
          <w:color w:val="000000" w:themeColor="text1"/>
          <w:sz w:val="24"/>
          <w:szCs w:val="24"/>
        </w:rPr>
        <w:t xml:space="preserve">receptor activator of nuclear factor kappa-Β ligand (RANKL) </w:t>
      </w:r>
      <w:r w:rsidRPr="002E5B3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and </w:t>
      </w:r>
      <w:proofErr w:type="spellStart"/>
      <w:r w:rsidRPr="002E5B31">
        <w:rPr>
          <w:rFonts w:ascii="Arial" w:eastAsia="新細明體" w:hAnsi="Arial" w:cs="Arial"/>
          <w:b/>
          <w:bCs/>
          <w:color w:val="000000" w:themeColor="text1"/>
          <w:sz w:val="24"/>
          <w:szCs w:val="24"/>
        </w:rPr>
        <w:t>osteoprotegerin</w:t>
      </w:r>
      <w:proofErr w:type="spellEnd"/>
      <w:r w:rsidRPr="002E5B31">
        <w:rPr>
          <w:rFonts w:ascii="Arial" w:eastAsia="新細明體" w:hAnsi="Arial" w:cs="Arial"/>
          <w:b/>
          <w:bCs/>
          <w:color w:val="000000" w:themeColor="text1"/>
          <w:sz w:val="24"/>
          <w:szCs w:val="24"/>
        </w:rPr>
        <w:t xml:space="preserve"> (OPG)</w:t>
      </w:r>
      <w:r w:rsidRPr="002E5B31">
        <w:rPr>
          <w:rFonts w:ascii="Arial" w:hAnsi="Arial"/>
          <w:b/>
          <w:bCs/>
          <w:color w:val="000000" w:themeColor="text1"/>
          <w:sz w:val="24"/>
          <w:szCs w:val="24"/>
        </w:rPr>
        <w:t xml:space="preserve"> </w:t>
      </w:r>
      <w:r w:rsidRPr="002E5B31">
        <w:rPr>
          <w:rFonts w:ascii="Arial" w:eastAsia="新細明體" w:hAnsi="Arial" w:cs="Arial"/>
          <w:b/>
          <w:bCs/>
          <w:color w:val="000000" w:themeColor="text1"/>
          <w:sz w:val="24"/>
          <w:szCs w:val="24"/>
        </w:rPr>
        <w:t xml:space="preserve">enzyme-linked immunosorbent assays (ELISAs) </w:t>
      </w:r>
      <w:r w:rsidRPr="002E5B31">
        <w:rPr>
          <w:rFonts w:ascii="Arial" w:hAnsi="Arial"/>
          <w:b/>
          <w:bCs/>
          <w:color w:val="000000" w:themeColor="text1"/>
          <w:sz w:val="24"/>
          <w:szCs w:val="24"/>
        </w:rPr>
        <w:t xml:space="preserve">analysis </w:t>
      </w:r>
    </w:p>
    <w:p w:rsidR="00372EA1" w:rsidRPr="002E5B31" w:rsidRDefault="00372EA1" w:rsidP="00372EA1">
      <w:pPr>
        <w:pStyle w:val="MDPI31text"/>
        <w:spacing w:line="480" w:lineRule="auto"/>
        <w:ind w:left="0" w:firstLine="0"/>
        <w:rPr>
          <w:rFonts w:ascii="Arial" w:hAnsi="Arial" w:cs="Arial"/>
          <w:sz w:val="24"/>
          <w:szCs w:val="24"/>
        </w:rPr>
      </w:pPr>
      <w:r w:rsidRPr="002E5B31">
        <w:rPr>
          <w:rFonts w:ascii="Arial" w:hAnsi="Arial" w:cs="Arial"/>
          <w:sz w:val="24"/>
          <w:szCs w:val="24"/>
        </w:rPr>
        <w:t xml:space="preserve">We used </w:t>
      </w:r>
      <w:proofErr w:type="spellStart"/>
      <w:r w:rsidRPr="002E5B31">
        <w:rPr>
          <w:rFonts w:ascii="Arial" w:hAnsi="Arial" w:cs="Arial"/>
          <w:sz w:val="24"/>
          <w:szCs w:val="24"/>
        </w:rPr>
        <w:t>Glucosylceramidase</w:t>
      </w:r>
      <w:proofErr w:type="spellEnd"/>
      <w:r w:rsidRPr="002E5B31">
        <w:rPr>
          <w:rFonts w:ascii="Arial" w:hAnsi="Arial" w:cs="Arial"/>
          <w:sz w:val="24"/>
          <w:szCs w:val="24"/>
        </w:rPr>
        <w:t xml:space="preserve"> activity assay kit</w:t>
      </w:r>
      <w:r w:rsidRPr="002E5B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E5B31">
        <w:rPr>
          <w:rFonts w:ascii="Arial" w:hAnsi="Arial" w:cs="Arial"/>
          <w:sz w:val="24"/>
          <w:szCs w:val="24"/>
        </w:rPr>
        <w:t xml:space="preserve">(cat. ab273339, Abcam) to measure </w:t>
      </w:r>
      <w:bookmarkStart w:id="0" w:name="_Hlk115173990"/>
      <w:proofErr w:type="spellStart"/>
      <w:r w:rsidRPr="002E5B31">
        <w:rPr>
          <w:rFonts w:ascii="Arial" w:hAnsi="Arial" w:cs="Arial"/>
          <w:sz w:val="24"/>
          <w:szCs w:val="24"/>
        </w:rPr>
        <w:t>GCase</w:t>
      </w:r>
      <w:bookmarkEnd w:id="0"/>
      <w:proofErr w:type="spellEnd"/>
      <w:r w:rsidRPr="002E5B31">
        <w:rPr>
          <w:rFonts w:ascii="Arial" w:hAnsi="Arial" w:cs="Arial"/>
          <w:sz w:val="24"/>
          <w:szCs w:val="24"/>
        </w:rPr>
        <w:t xml:space="preserve"> activity and Chitotriosidase (CHIT) activity assay kit (cat. ab241009, Abcam) to measure CHIT activity, respectively, in monocytes collected from patients with GD, according to the manufacturer’s protocol. </w:t>
      </w:r>
      <w:r w:rsidRPr="002E5B31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RANKL and OPG protein were quantified from the plasma by using Human ELISA Kit (ab213841 and ab189580, Abcam). </w:t>
      </w:r>
      <w:r w:rsidRPr="002E5B31">
        <w:rPr>
          <w:rFonts w:ascii="Arial" w:hAnsi="Arial" w:cs="Arial"/>
          <w:color w:val="000000" w:themeColor="text1"/>
          <w:sz w:val="24"/>
          <w:szCs w:val="24"/>
        </w:rPr>
        <w:t xml:space="preserve">The resultant </w:t>
      </w:r>
      <w:r w:rsidRPr="002E5B31">
        <w:rPr>
          <w:rFonts w:ascii="Arial" w:hAnsi="Arial" w:cs="Arial"/>
          <w:color w:val="1E1E1E"/>
          <w:sz w:val="24"/>
          <w:szCs w:val="24"/>
          <w:shd w:val="clear" w:color="auto" w:fill="FFFFFF"/>
        </w:rPr>
        <w:t>Colorimetric</w:t>
      </w:r>
      <w:r w:rsidRPr="002E5B31">
        <w:rPr>
          <w:rFonts w:ascii="Arial" w:hAnsi="Arial" w:cs="Arial"/>
          <w:sz w:val="24"/>
          <w:szCs w:val="24"/>
        </w:rPr>
        <w:t xml:space="preserve"> </w:t>
      </w:r>
      <w:r w:rsidRPr="002E5B31">
        <w:rPr>
          <w:rFonts w:ascii="Arial" w:eastAsia="新細明體" w:hAnsi="Arial" w:cs="Arial"/>
          <w:sz w:val="24"/>
          <w:szCs w:val="24"/>
          <w:lang w:eastAsia="zh-TW"/>
        </w:rPr>
        <w:t xml:space="preserve">and </w:t>
      </w:r>
      <w:r w:rsidRPr="002E5B31">
        <w:rPr>
          <w:rFonts w:ascii="Arial" w:eastAsia="新細明體" w:hAnsi="Arial" w:cs="Arial"/>
          <w:color w:val="000000" w:themeColor="text1"/>
          <w:sz w:val="24"/>
          <w:szCs w:val="24"/>
          <w:lang w:eastAsia="zh-TW"/>
        </w:rPr>
        <w:t>fluorescence (</w:t>
      </w:r>
      <w:r w:rsidRPr="002E5B31">
        <w:rPr>
          <w:rFonts w:ascii="Arial" w:hAnsi="Arial" w:cs="Arial"/>
          <w:color w:val="212121"/>
          <w:sz w:val="24"/>
          <w:szCs w:val="24"/>
          <w:shd w:val="clear" w:color="auto" w:fill="FFFFFF"/>
        </w:rPr>
        <w:t>RANKL</w:t>
      </w:r>
      <w:r w:rsidRPr="002E5B31">
        <w:rPr>
          <w:rFonts w:ascii="Arial" w:eastAsia="新細明體" w:hAnsi="Arial" w:cs="Arial"/>
          <w:color w:val="000000" w:themeColor="text1"/>
          <w:sz w:val="24"/>
          <w:szCs w:val="24"/>
          <w:lang w:eastAsia="zh-TW"/>
        </w:rPr>
        <w:t xml:space="preserve">: OD 450nm; </w:t>
      </w:r>
      <w:r w:rsidRPr="002E5B31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OPG </w:t>
      </w:r>
      <w:r w:rsidRPr="002E5B31">
        <w:rPr>
          <w:rFonts w:ascii="Arial" w:eastAsia="新細明體" w:hAnsi="Arial" w:cs="Arial"/>
          <w:color w:val="000000" w:themeColor="text1"/>
          <w:sz w:val="24"/>
          <w:szCs w:val="24"/>
          <w:lang w:eastAsia="zh-TW"/>
        </w:rPr>
        <w:t xml:space="preserve">OD 450nm; </w:t>
      </w:r>
      <w:proofErr w:type="spellStart"/>
      <w:r w:rsidRPr="002E5B31">
        <w:rPr>
          <w:rFonts w:ascii="Arial" w:eastAsia="新細明體" w:hAnsi="Arial" w:cs="Arial"/>
          <w:color w:val="000000" w:themeColor="text1"/>
          <w:sz w:val="24"/>
          <w:szCs w:val="24"/>
          <w:lang w:eastAsia="zh-TW"/>
        </w:rPr>
        <w:t>GCase</w:t>
      </w:r>
      <w:proofErr w:type="spellEnd"/>
      <w:r w:rsidRPr="002E5B31">
        <w:rPr>
          <w:rFonts w:ascii="Arial" w:eastAsia="新細明體" w:hAnsi="Arial" w:cs="Arial"/>
          <w:color w:val="000000" w:themeColor="text1"/>
          <w:sz w:val="24"/>
          <w:szCs w:val="24"/>
          <w:lang w:eastAsia="zh-TW"/>
        </w:rPr>
        <w:t xml:space="preserve"> activity: ex/</w:t>
      </w:r>
      <w:proofErr w:type="spellStart"/>
      <w:r w:rsidRPr="002E5B31">
        <w:rPr>
          <w:rFonts w:ascii="Arial" w:eastAsia="新細明體" w:hAnsi="Arial" w:cs="Arial"/>
          <w:color w:val="000000" w:themeColor="text1"/>
          <w:sz w:val="24"/>
          <w:szCs w:val="24"/>
          <w:lang w:eastAsia="zh-TW"/>
        </w:rPr>
        <w:t>em</w:t>
      </w:r>
      <w:proofErr w:type="spellEnd"/>
      <w:r w:rsidRPr="002E5B31">
        <w:rPr>
          <w:rFonts w:ascii="Arial" w:eastAsia="新細明體" w:hAnsi="Arial" w:cs="Arial"/>
          <w:color w:val="000000" w:themeColor="text1"/>
          <w:sz w:val="24"/>
          <w:szCs w:val="24"/>
          <w:lang w:eastAsia="zh-TW"/>
        </w:rPr>
        <w:t xml:space="preserve"> 360/445 nm; CHIT activity: ex/</w:t>
      </w:r>
      <w:proofErr w:type="spellStart"/>
      <w:r w:rsidRPr="002E5B31">
        <w:rPr>
          <w:rFonts w:ascii="Arial" w:eastAsia="新細明體" w:hAnsi="Arial" w:cs="Arial"/>
          <w:color w:val="000000" w:themeColor="text1"/>
          <w:sz w:val="24"/>
          <w:szCs w:val="24"/>
          <w:lang w:eastAsia="zh-TW"/>
        </w:rPr>
        <w:t>em</w:t>
      </w:r>
      <w:proofErr w:type="spellEnd"/>
      <w:r w:rsidRPr="002E5B31">
        <w:rPr>
          <w:rFonts w:ascii="Arial" w:eastAsia="新細明體" w:hAnsi="Arial" w:cs="Arial"/>
          <w:color w:val="000000" w:themeColor="text1"/>
          <w:sz w:val="24"/>
          <w:szCs w:val="24"/>
          <w:lang w:eastAsia="zh-TW"/>
        </w:rPr>
        <w:t xml:space="preserve">, 320/445 nm) </w:t>
      </w:r>
      <w:r w:rsidRPr="002E5B31">
        <w:rPr>
          <w:rFonts w:ascii="Arial" w:hAnsi="Arial" w:cs="Arial"/>
          <w:color w:val="000000" w:themeColor="text1"/>
          <w:sz w:val="24"/>
          <w:szCs w:val="24"/>
          <w:lang w:eastAsia="zh-TW"/>
        </w:rPr>
        <w:t>w</w:t>
      </w:r>
      <w:r w:rsidRPr="002E5B31">
        <w:rPr>
          <w:rFonts w:ascii="Arial" w:hAnsi="Arial" w:cs="Arial"/>
          <w:color w:val="000000" w:themeColor="text1"/>
          <w:sz w:val="24"/>
          <w:szCs w:val="24"/>
        </w:rPr>
        <w:t xml:space="preserve">as measured using a </w:t>
      </w:r>
      <w:proofErr w:type="spellStart"/>
      <w:r w:rsidRPr="002E5B31">
        <w:rPr>
          <w:rFonts w:ascii="Arial" w:hAnsi="Arial" w:cs="Arial"/>
          <w:color w:val="000000" w:themeColor="text1"/>
          <w:sz w:val="24"/>
          <w:szCs w:val="24"/>
        </w:rPr>
        <w:t>SpectraMax</w:t>
      </w:r>
      <w:proofErr w:type="spellEnd"/>
      <w:r w:rsidRPr="002E5B31">
        <w:rPr>
          <w:rFonts w:ascii="Arial" w:hAnsi="Arial" w:cs="Arial"/>
          <w:color w:val="000000" w:themeColor="text1"/>
          <w:sz w:val="24"/>
          <w:szCs w:val="24"/>
        </w:rPr>
        <w:t xml:space="preserve"> iD3 microplate reader (</w:t>
      </w:r>
      <w:r w:rsidRPr="002E5B31">
        <w:rPr>
          <w:rFonts w:ascii="Arial" w:hAnsi="Arial" w:cs="Arial"/>
          <w:sz w:val="24"/>
          <w:szCs w:val="24"/>
        </w:rPr>
        <w:t>Molecular Devices</w:t>
      </w:r>
      <w:r w:rsidRPr="002E5B31">
        <w:rPr>
          <w:rFonts w:ascii="Arial" w:hAnsi="Arial" w:cs="Arial"/>
          <w:color w:val="000000" w:themeColor="text1"/>
          <w:sz w:val="24"/>
          <w:szCs w:val="24"/>
        </w:rPr>
        <w:t>), and data processing was performed using SoftMax Pro 7.1 software (</w:t>
      </w:r>
      <w:r w:rsidRPr="002E5B31">
        <w:rPr>
          <w:rFonts w:ascii="Arial" w:hAnsi="Arial" w:cs="Arial"/>
          <w:sz w:val="24"/>
          <w:szCs w:val="24"/>
        </w:rPr>
        <w:t>Molecular Devices</w:t>
      </w:r>
      <w:r w:rsidRPr="002E5B31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372EA1" w:rsidRPr="002E5B31" w:rsidRDefault="00372EA1" w:rsidP="00372EA1">
      <w:pPr>
        <w:pStyle w:val="MDPI31text"/>
        <w:spacing w:line="48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372EA1" w:rsidRPr="002E5B31" w:rsidRDefault="00372EA1" w:rsidP="00372EA1">
      <w:pPr>
        <w:snapToGrid w:val="0"/>
        <w:spacing w:line="480" w:lineRule="auto"/>
        <w:jc w:val="both"/>
        <w:rPr>
          <w:b/>
          <w:kern w:val="36"/>
        </w:rPr>
      </w:pPr>
      <w:r w:rsidRPr="002E5B31">
        <w:rPr>
          <w:rFonts w:cs="Arial"/>
          <w:b/>
          <w:bCs/>
        </w:rPr>
        <w:t>Assessing</w:t>
      </w:r>
      <w:r w:rsidRPr="002E5B31">
        <w:rPr>
          <w:b/>
        </w:rPr>
        <w:t xml:space="preserve"> GBA1, </w:t>
      </w:r>
      <w:r w:rsidRPr="002E5B31">
        <w:rPr>
          <w:rFonts w:cs="Arial"/>
          <w:b/>
          <w:bCs/>
        </w:rPr>
        <w:t>calnexin</w:t>
      </w:r>
      <w:r w:rsidRPr="002E5B31">
        <w:rPr>
          <w:b/>
        </w:rPr>
        <w:t>, NLRP3</w:t>
      </w:r>
      <w:r w:rsidRPr="002E5B31">
        <w:rPr>
          <w:rFonts w:cs="Arial"/>
          <w:b/>
          <w:bCs/>
        </w:rPr>
        <w:t>,</w:t>
      </w:r>
      <w:r w:rsidRPr="002E5B31">
        <w:rPr>
          <w:b/>
        </w:rPr>
        <w:t xml:space="preserve"> and ASC staining using flow cytometry</w:t>
      </w:r>
    </w:p>
    <w:p w:rsidR="00372EA1" w:rsidRPr="002E5B31" w:rsidRDefault="00372EA1" w:rsidP="00372EA1">
      <w:pPr>
        <w:snapToGrid w:val="0"/>
        <w:spacing w:line="480" w:lineRule="auto"/>
        <w:jc w:val="both"/>
      </w:pPr>
      <w:r w:rsidRPr="002E5B31">
        <w:rPr>
          <w:rFonts w:cs="Arial"/>
        </w:rPr>
        <w:lastRenderedPageBreak/>
        <w:t>We used a</w:t>
      </w:r>
      <w:r w:rsidRPr="002E5B31">
        <w:t xml:space="preserve"> Foxp3/Transcription Factor Staining Buffer Set (</w:t>
      </w:r>
      <w:proofErr w:type="spellStart"/>
      <w:r w:rsidRPr="002E5B31">
        <w:rPr>
          <w:rFonts w:cs="Arial"/>
        </w:rPr>
        <w:t>eBioscience</w:t>
      </w:r>
      <w:proofErr w:type="spellEnd"/>
      <w:r w:rsidRPr="002E5B31">
        <w:rPr>
          <w:rFonts w:cs="Arial"/>
        </w:rPr>
        <w:t xml:space="preserve">, </w:t>
      </w:r>
      <w:proofErr w:type="spellStart"/>
      <w:r w:rsidRPr="002E5B31">
        <w:t>Thermo</w:t>
      </w:r>
      <w:proofErr w:type="spellEnd"/>
      <w:r w:rsidRPr="002E5B31">
        <w:t xml:space="preserve"> Fisher</w:t>
      </w:r>
      <w:r w:rsidRPr="002E5B31">
        <w:rPr>
          <w:rFonts w:cs="Arial"/>
        </w:rPr>
        <w:t>)</w:t>
      </w:r>
      <w:r w:rsidRPr="002E5B31">
        <w:t xml:space="preserve"> for cell fixation (2 </w:t>
      </w:r>
      <w:r w:rsidRPr="002E5B31">
        <w:rPr>
          <w:rFonts w:cs="Arial"/>
        </w:rPr>
        <w:t>×</w:t>
      </w:r>
      <w:r w:rsidRPr="002E5B31">
        <w:t xml:space="preserve"> 10</w:t>
      </w:r>
      <w:r w:rsidRPr="002E5B31">
        <w:rPr>
          <w:vertAlign w:val="superscript"/>
        </w:rPr>
        <w:t>6</w:t>
      </w:r>
      <w:r w:rsidRPr="002E5B31">
        <w:t xml:space="preserve"> cells/ml) and permeabilization. </w:t>
      </w:r>
      <w:r w:rsidRPr="002E5B31">
        <w:rPr>
          <w:rFonts w:cs="Arial"/>
        </w:rPr>
        <w:t>Then</w:t>
      </w:r>
      <w:r w:rsidRPr="002E5B31">
        <w:t xml:space="preserve">, the cells were washed twice in </w:t>
      </w:r>
      <w:r w:rsidRPr="002E5B31">
        <w:rPr>
          <w:rFonts w:cs="Arial"/>
        </w:rPr>
        <w:t>phosphate-buffered saline (</w:t>
      </w:r>
      <w:r w:rsidRPr="002E5B31">
        <w:t>PBS</w:t>
      </w:r>
      <w:r w:rsidRPr="002E5B31">
        <w:rPr>
          <w:rFonts w:cs="Arial"/>
        </w:rPr>
        <w:t>)</w:t>
      </w:r>
      <w:r w:rsidRPr="002E5B31">
        <w:t xml:space="preserve"> before </w:t>
      </w:r>
      <w:r w:rsidRPr="002E5B31">
        <w:rPr>
          <w:rFonts w:cs="Arial"/>
        </w:rPr>
        <w:t>blocking</w:t>
      </w:r>
      <w:r w:rsidRPr="002E5B31">
        <w:t xml:space="preserve"> </w:t>
      </w:r>
      <w:r w:rsidRPr="002E5B31">
        <w:rPr>
          <w:rFonts w:cs="Arial"/>
        </w:rPr>
        <w:t xml:space="preserve">with 1% bovine serum albumin for 30 min at room temperature. Next, the cells were incubated for 30 min at 4°C following the addition of anti-GBA antibody (Abcam, #96256, </w:t>
      </w:r>
      <w:hyperlink r:id="rId5" w:history="1">
        <w:r w:rsidRPr="002E5B31">
          <w:rPr>
            <w:rStyle w:val="a3"/>
            <w:rFonts w:cs="Arial"/>
          </w:rPr>
          <w:t>RRID: AB_10677756</w:t>
        </w:r>
      </w:hyperlink>
      <w:r w:rsidRPr="002E5B31">
        <w:rPr>
          <w:rFonts w:cs="Arial"/>
        </w:rPr>
        <w:t>,1:200), Calnexin antibody (</w:t>
      </w:r>
      <w:r w:rsidRPr="002E5B31">
        <w:rPr>
          <w:rFonts w:cs="Arial"/>
          <w:color w:val="000000" w:themeColor="text1"/>
        </w:rPr>
        <w:t>CST, #2433,</w:t>
      </w:r>
      <w:r w:rsidRPr="002E5B31">
        <w:rPr>
          <w:rFonts w:cs="Arial"/>
        </w:rPr>
        <w:t xml:space="preserve"> </w:t>
      </w:r>
      <w:hyperlink r:id="rId6" w:history="1">
        <w:r w:rsidRPr="002E5B31">
          <w:rPr>
            <w:rStyle w:val="a3"/>
            <w:rFonts w:cs="Arial"/>
          </w:rPr>
          <w:t>RRID: AB_2243887</w:t>
        </w:r>
      </w:hyperlink>
      <w:r w:rsidRPr="002E5B31">
        <w:rPr>
          <w:rFonts w:cs="Arial"/>
        </w:rPr>
        <w:t xml:space="preserve">, 1:200), NLRP3 rabbit monoclonal antibody </w:t>
      </w:r>
      <w:r w:rsidRPr="002E5B31">
        <w:rPr>
          <w:rFonts w:cs="Arial"/>
          <w:color w:val="000000" w:themeColor="text1"/>
        </w:rPr>
        <w:t xml:space="preserve">(CST, #13158, </w:t>
      </w:r>
      <w:hyperlink r:id="rId7" w:history="1">
        <w:r w:rsidRPr="002E5B31">
          <w:rPr>
            <w:rStyle w:val="a3"/>
            <w:rFonts w:cs="Arial"/>
          </w:rPr>
          <w:t>RRID: AB_2798134</w:t>
        </w:r>
      </w:hyperlink>
      <w:r w:rsidRPr="002E5B31">
        <w:rPr>
          <w:rFonts w:cs="Arial"/>
          <w:color w:val="000000" w:themeColor="text1"/>
        </w:rPr>
        <w:t>, 1:100)</w:t>
      </w:r>
      <w:r w:rsidRPr="002E5B31">
        <w:rPr>
          <w:rFonts w:cs="Arial"/>
        </w:rPr>
        <w:t>, or ASC antibody (Santa Cruz Biotechnology, #</w:t>
      </w:r>
      <w:r w:rsidRPr="002E5B31">
        <w:rPr>
          <w:rFonts w:cs="Arial"/>
          <w:color w:val="000000"/>
          <w:shd w:val="clear" w:color="auto" w:fill="FFFFFF"/>
        </w:rPr>
        <w:t xml:space="preserve"> sc-22514-R</w:t>
      </w:r>
      <w:r w:rsidRPr="002E5B31">
        <w:rPr>
          <w:rFonts w:cs="Arial"/>
        </w:rPr>
        <w:t xml:space="preserve">, </w:t>
      </w:r>
      <w:hyperlink r:id="rId8" w:history="1">
        <w:r w:rsidRPr="002E5B31">
          <w:rPr>
            <w:rStyle w:val="a3"/>
            <w:rFonts w:cs="Arial"/>
          </w:rPr>
          <w:t>RRID: AB_2174874</w:t>
        </w:r>
      </w:hyperlink>
      <w:r w:rsidRPr="002E5B31">
        <w:rPr>
          <w:rFonts w:cs="Arial"/>
        </w:rPr>
        <w:t xml:space="preserve">,1:200). After three PBS washes, fluorescence-conjugated secondary antibodies (Alexa Fluor 488, Sigma–Aldrich, #16-237, </w:t>
      </w:r>
      <w:hyperlink r:id="rId9" w:history="1">
        <w:r w:rsidRPr="002E5B31">
          <w:rPr>
            <w:rStyle w:val="a3"/>
            <w:rFonts w:cs="Arial"/>
          </w:rPr>
          <w:t>RRID: AB_436053</w:t>
        </w:r>
      </w:hyperlink>
      <w:r w:rsidRPr="002E5B31">
        <w:rPr>
          <w:rFonts w:cs="Arial"/>
        </w:rPr>
        <w:t xml:space="preserve">, 1:200 or Alexa Fluor 647, Abcam, #150079, </w:t>
      </w:r>
      <w:hyperlink r:id="rId10" w:history="1">
        <w:r w:rsidRPr="002E5B31">
          <w:rPr>
            <w:rStyle w:val="a3"/>
            <w:rFonts w:cs="Arial"/>
          </w:rPr>
          <w:t>RRID: AB_2722623</w:t>
        </w:r>
      </w:hyperlink>
      <w:r w:rsidRPr="002E5B31">
        <w:rPr>
          <w:rFonts w:cs="Arial"/>
        </w:rPr>
        <w:t>, 1:200) were added and incubated for 45 min at room</w:t>
      </w:r>
      <w:r w:rsidRPr="002E5B31">
        <w:t xml:space="preserve"> temperature. </w:t>
      </w:r>
      <w:r w:rsidRPr="002E5B31">
        <w:rPr>
          <w:rFonts w:cs="Arial"/>
        </w:rPr>
        <w:t>Then, 400 µL</w:t>
      </w:r>
      <w:r w:rsidRPr="002E5B31">
        <w:t xml:space="preserve"> of </w:t>
      </w:r>
      <w:r w:rsidRPr="002E5B31">
        <w:rPr>
          <w:rFonts w:cs="Arial"/>
        </w:rPr>
        <w:t>1×</w:t>
      </w:r>
      <w:r w:rsidRPr="002E5B31">
        <w:t xml:space="preserve"> binding buffer </w:t>
      </w:r>
      <w:r w:rsidRPr="002E5B31">
        <w:rPr>
          <w:rFonts w:cs="Arial"/>
        </w:rPr>
        <w:t xml:space="preserve">was </w:t>
      </w:r>
      <w:r w:rsidRPr="002E5B31">
        <w:t xml:space="preserve">gently mixed with the cell solution, </w:t>
      </w:r>
      <w:r w:rsidRPr="002E5B31">
        <w:rPr>
          <w:rFonts w:cs="Arial"/>
        </w:rPr>
        <w:t>incubated at 4</w:t>
      </w:r>
      <w:r w:rsidRPr="002E5B31">
        <w:rPr>
          <w:rFonts w:cs="Arial"/>
          <w:vertAlign w:val="superscript"/>
        </w:rPr>
        <w:t>o</w:t>
      </w:r>
      <w:r w:rsidRPr="002E5B31">
        <w:rPr>
          <w:rFonts w:cs="Arial"/>
        </w:rPr>
        <w:t xml:space="preserve">C for 5 min, and </w:t>
      </w:r>
      <w:r w:rsidRPr="002E5B31">
        <w:t xml:space="preserve">the cells were washed twice in PBS. </w:t>
      </w:r>
      <w:r w:rsidRPr="002E5B31">
        <w:rPr>
          <w:rFonts w:cs="Arial"/>
        </w:rPr>
        <w:t xml:space="preserve">Finally, we used the APC channel of a </w:t>
      </w:r>
      <w:proofErr w:type="spellStart"/>
      <w:r w:rsidRPr="002E5B31">
        <w:rPr>
          <w:rFonts w:cs="Arial"/>
        </w:rPr>
        <w:t>CytoFLEX</w:t>
      </w:r>
      <w:proofErr w:type="spellEnd"/>
      <w:r w:rsidRPr="002E5B31">
        <w:t xml:space="preserve"> flow cytometer (Beckman) </w:t>
      </w:r>
      <w:r w:rsidRPr="002E5B31">
        <w:rPr>
          <w:rFonts w:cs="Arial"/>
        </w:rPr>
        <w:t>to detect the stained cells. We used</w:t>
      </w:r>
      <w:r w:rsidRPr="002E5B31">
        <w:t xml:space="preserve"> </w:t>
      </w:r>
      <w:proofErr w:type="spellStart"/>
      <w:r w:rsidRPr="002E5B31">
        <w:t>CytExpert</w:t>
      </w:r>
      <w:proofErr w:type="spellEnd"/>
      <w:r w:rsidRPr="002E5B31">
        <w:t xml:space="preserve"> 2.4 software (Beckman</w:t>
      </w:r>
      <w:r w:rsidRPr="002E5B31">
        <w:rPr>
          <w:rFonts w:cs="Arial"/>
        </w:rPr>
        <w:t>) to examine the cells and determine</w:t>
      </w:r>
      <w:r w:rsidRPr="002E5B31">
        <w:t xml:space="preserve"> the percentages of cells positive for </w:t>
      </w:r>
      <w:r w:rsidRPr="002E5B31">
        <w:rPr>
          <w:rFonts w:cs="Arial"/>
        </w:rPr>
        <w:t xml:space="preserve">the </w:t>
      </w:r>
      <w:r w:rsidRPr="002E5B31">
        <w:t>various dyes.</w:t>
      </w:r>
    </w:p>
    <w:p w:rsidR="00372EA1" w:rsidRPr="002E5B31" w:rsidRDefault="00372EA1" w:rsidP="00372EA1">
      <w:pPr>
        <w:snapToGrid w:val="0"/>
        <w:spacing w:line="480" w:lineRule="auto"/>
        <w:jc w:val="both"/>
      </w:pPr>
    </w:p>
    <w:p w:rsidR="00372EA1" w:rsidRPr="00E649CB" w:rsidRDefault="00372EA1" w:rsidP="00372EA1">
      <w:pPr>
        <w:snapToGrid w:val="0"/>
        <w:spacing w:line="480" w:lineRule="auto"/>
        <w:jc w:val="both"/>
        <w:rPr>
          <w:b/>
          <w:bCs/>
          <w:color w:val="000000" w:themeColor="text1"/>
        </w:rPr>
      </w:pPr>
      <w:r w:rsidRPr="00E649CB">
        <w:rPr>
          <w:b/>
          <w:bCs/>
          <w:color w:val="000000" w:themeColor="text1"/>
        </w:rPr>
        <w:t>Ultra-performance Liquid chromatography-tandem mass spectrometry (UPLC-MS/MS) for Lyso-GB1</w:t>
      </w:r>
    </w:p>
    <w:p w:rsidR="00372EA1" w:rsidRPr="002E5B31" w:rsidRDefault="00372EA1" w:rsidP="00372EA1">
      <w:pPr>
        <w:snapToGrid w:val="0"/>
        <w:spacing w:line="480" w:lineRule="auto"/>
        <w:jc w:val="both"/>
      </w:pPr>
      <w:r w:rsidRPr="002E5B31">
        <w:rPr>
          <w:color w:val="000000" w:themeColor="text1"/>
        </w:rPr>
        <w:t xml:space="preserve">UPLC-MS/MS was performed using a XEVO TQD triple-quadrupole mass spectrometer (Waters, </w:t>
      </w:r>
      <w:proofErr w:type="spellStart"/>
      <w:r w:rsidRPr="002E5B31">
        <w:rPr>
          <w:color w:val="000000" w:themeColor="text1"/>
        </w:rPr>
        <w:t>Millford</w:t>
      </w:r>
      <w:proofErr w:type="spellEnd"/>
      <w:r w:rsidRPr="002E5B31">
        <w:rPr>
          <w:color w:val="000000" w:themeColor="text1"/>
        </w:rPr>
        <w:t xml:space="preserve">, MA) in positive ion mode. Aliquots (5 </w:t>
      </w:r>
      <w:proofErr w:type="spellStart"/>
      <w:r w:rsidRPr="002E5B31">
        <w:rPr>
          <w:color w:val="000000" w:themeColor="text1"/>
        </w:rPr>
        <w:t>μL</w:t>
      </w:r>
      <w:proofErr w:type="spellEnd"/>
      <w:r w:rsidRPr="002E5B31">
        <w:rPr>
          <w:color w:val="000000" w:themeColor="text1"/>
        </w:rPr>
        <w:t xml:space="preserve">) of the samples were injected into an analytical column (ACQUITY UPLC CSH C18, 2.1 × 50 mm, 1.7 </w:t>
      </w:r>
      <w:proofErr w:type="spellStart"/>
      <w:r w:rsidRPr="002E5B31">
        <w:rPr>
          <w:color w:val="000000" w:themeColor="text1"/>
        </w:rPr>
        <w:t>μm</w:t>
      </w:r>
      <w:proofErr w:type="spellEnd"/>
      <w:r w:rsidRPr="002E5B31">
        <w:rPr>
          <w:color w:val="000000" w:themeColor="text1"/>
        </w:rPr>
        <w:t xml:space="preserve">) with gradient elution using mobile phase A (30% </w:t>
      </w:r>
      <w:proofErr w:type="spellStart"/>
      <w:r w:rsidRPr="002E5B31">
        <w:rPr>
          <w:color w:val="000000" w:themeColor="text1"/>
        </w:rPr>
        <w:t>acetnitrile</w:t>
      </w:r>
      <w:proofErr w:type="spellEnd"/>
      <w:r w:rsidRPr="002E5B31">
        <w:rPr>
          <w:color w:val="000000" w:themeColor="text1"/>
        </w:rPr>
        <w:t xml:space="preserve">, 70% water, 0.1% formic acid) and mobile phase B (50% acetonitrile, 50% isopropanol, 0.1% formic acid) at a flow </w:t>
      </w:r>
      <w:r w:rsidRPr="002E5B31">
        <w:rPr>
          <w:color w:val="000000" w:themeColor="text1"/>
        </w:rPr>
        <w:lastRenderedPageBreak/>
        <w:t>rate of 0.8 mL/min at 55°C. The following gradient conditions were used: 1-70% B from 0-1.0 min; 70-75% B from 1.0-1.5 min; 1% B from 1.5-2.0 min. Data were acquired for 1.6 min during sample infusion. The total run time for one plate was approximately 3 hours.</w:t>
      </w:r>
    </w:p>
    <w:p w:rsidR="004F5615" w:rsidRDefault="004F5615"/>
    <w:sectPr w:rsidR="004F5615" w:rsidSect="007345C3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15"/>
    <w:rsid w:val="00002ABD"/>
    <w:rsid w:val="00013DF6"/>
    <w:rsid w:val="00036C7A"/>
    <w:rsid w:val="00061F95"/>
    <w:rsid w:val="0007111F"/>
    <w:rsid w:val="000747F8"/>
    <w:rsid w:val="00081087"/>
    <w:rsid w:val="00085077"/>
    <w:rsid w:val="00095103"/>
    <w:rsid w:val="000958B3"/>
    <w:rsid w:val="000A1A13"/>
    <w:rsid w:val="000B56AA"/>
    <w:rsid w:val="000D78EE"/>
    <w:rsid w:val="000F63C3"/>
    <w:rsid w:val="00136FDE"/>
    <w:rsid w:val="001514AA"/>
    <w:rsid w:val="00151EE8"/>
    <w:rsid w:val="00171F0B"/>
    <w:rsid w:val="00187F2F"/>
    <w:rsid w:val="001D0BC7"/>
    <w:rsid w:val="001E3A9A"/>
    <w:rsid w:val="001E71D6"/>
    <w:rsid w:val="00222575"/>
    <w:rsid w:val="00237B91"/>
    <w:rsid w:val="00240DD9"/>
    <w:rsid w:val="002643C0"/>
    <w:rsid w:val="0028308A"/>
    <w:rsid w:val="002955EE"/>
    <w:rsid w:val="002C0021"/>
    <w:rsid w:val="002C1C52"/>
    <w:rsid w:val="002C2551"/>
    <w:rsid w:val="002E7242"/>
    <w:rsid w:val="002F09E3"/>
    <w:rsid w:val="002F2699"/>
    <w:rsid w:val="00312546"/>
    <w:rsid w:val="00315FD9"/>
    <w:rsid w:val="0032041D"/>
    <w:rsid w:val="00336488"/>
    <w:rsid w:val="003545DC"/>
    <w:rsid w:val="00372EA1"/>
    <w:rsid w:val="00376610"/>
    <w:rsid w:val="003772B5"/>
    <w:rsid w:val="00377D4B"/>
    <w:rsid w:val="0038448E"/>
    <w:rsid w:val="003E0419"/>
    <w:rsid w:val="003E6B30"/>
    <w:rsid w:val="00417045"/>
    <w:rsid w:val="004234D1"/>
    <w:rsid w:val="0042670B"/>
    <w:rsid w:val="00430087"/>
    <w:rsid w:val="00430DDA"/>
    <w:rsid w:val="00435C47"/>
    <w:rsid w:val="004406BA"/>
    <w:rsid w:val="00445188"/>
    <w:rsid w:val="00447A96"/>
    <w:rsid w:val="004641F4"/>
    <w:rsid w:val="00464728"/>
    <w:rsid w:val="00497ED4"/>
    <w:rsid w:val="004A0366"/>
    <w:rsid w:val="004A06A9"/>
    <w:rsid w:val="004A466E"/>
    <w:rsid w:val="004C4D93"/>
    <w:rsid w:val="004D1AFE"/>
    <w:rsid w:val="004F1E96"/>
    <w:rsid w:val="004F5615"/>
    <w:rsid w:val="004F7302"/>
    <w:rsid w:val="0050087D"/>
    <w:rsid w:val="00501AF1"/>
    <w:rsid w:val="00513BDB"/>
    <w:rsid w:val="005373A8"/>
    <w:rsid w:val="00542383"/>
    <w:rsid w:val="00543CEC"/>
    <w:rsid w:val="00552A18"/>
    <w:rsid w:val="00586474"/>
    <w:rsid w:val="005A7D2B"/>
    <w:rsid w:val="005C3CA3"/>
    <w:rsid w:val="005F26B6"/>
    <w:rsid w:val="00637AC7"/>
    <w:rsid w:val="00650CF5"/>
    <w:rsid w:val="006527B4"/>
    <w:rsid w:val="00674670"/>
    <w:rsid w:val="00690A5E"/>
    <w:rsid w:val="006A6804"/>
    <w:rsid w:val="006B0271"/>
    <w:rsid w:val="006B0504"/>
    <w:rsid w:val="006B6FF8"/>
    <w:rsid w:val="006E5EAE"/>
    <w:rsid w:val="006F0B7C"/>
    <w:rsid w:val="00710C59"/>
    <w:rsid w:val="00713AF9"/>
    <w:rsid w:val="00714C69"/>
    <w:rsid w:val="00715799"/>
    <w:rsid w:val="0071725A"/>
    <w:rsid w:val="007345C3"/>
    <w:rsid w:val="007348F4"/>
    <w:rsid w:val="00745486"/>
    <w:rsid w:val="0074620A"/>
    <w:rsid w:val="00762DD3"/>
    <w:rsid w:val="00786B7F"/>
    <w:rsid w:val="0079351B"/>
    <w:rsid w:val="007A2FEF"/>
    <w:rsid w:val="007A6018"/>
    <w:rsid w:val="007E6AC1"/>
    <w:rsid w:val="00820D34"/>
    <w:rsid w:val="008326BC"/>
    <w:rsid w:val="00835BDA"/>
    <w:rsid w:val="00842172"/>
    <w:rsid w:val="008434AF"/>
    <w:rsid w:val="00852154"/>
    <w:rsid w:val="008641A8"/>
    <w:rsid w:val="008B4FF7"/>
    <w:rsid w:val="008C03C0"/>
    <w:rsid w:val="008C551D"/>
    <w:rsid w:val="008E03F7"/>
    <w:rsid w:val="008E1B21"/>
    <w:rsid w:val="008F411F"/>
    <w:rsid w:val="00904117"/>
    <w:rsid w:val="00926771"/>
    <w:rsid w:val="009271A6"/>
    <w:rsid w:val="00930EA3"/>
    <w:rsid w:val="0093102C"/>
    <w:rsid w:val="009335D0"/>
    <w:rsid w:val="0093423E"/>
    <w:rsid w:val="009356D1"/>
    <w:rsid w:val="00946D14"/>
    <w:rsid w:val="00983BA0"/>
    <w:rsid w:val="00983FE2"/>
    <w:rsid w:val="009955C7"/>
    <w:rsid w:val="009B2268"/>
    <w:rsid w:val="009B3CDD"/>
    <w:rsid w:val="009C584B"/>
    <w:rsid w:val="009D6392"/>
    <w:rsid w:val="00A04361"/>
    <w:rsid w:val="00A123B0"/>
    <w:rsid w:val="00A13D9E"/>
    <w:rsid w:val="00A323A7"/>
    <w:rsid w:val="00A44FB1"/>
    <w:rsid w:val="00A510B6"/>
    <w:rsid w:val="00A9019E"/>
    <w:rsid w:val="00A94BA8"/>
    <w:rsid w:val="00AA0B76"/>
    <w:rsid w:val="00AC457F"/>
    <w:rsid w:val="00AD6E6F"/>
    <w:rsid w:val="00AE2E25"/>
    <w:rsid w:val="00AF39B8"/>
    <w:rsid w:val="00B065C9"/>
    <w:rsid w:val="00B13128"/>
    <w:rsid w:val="00B13525"/>
    <w:rsid w:val="00B144D5"/>
    <w:rsid w:val="00B17130"/>
    <w:rsid w:val="00B22795"/>
    <w:rsid w:val="00B35593"/>
    <w:rsid w:val="00B42608"/>
    <w:rsid w:val="00B67A00"/>
    <w:rsid w:val="00BA127A"/>
    <w:rsid w:val="00BA1FB7"/>
    <w:rsid w:val="00BB3B8D"/>
    <w:rsid w:val="00BC3290"/>
    <w:rsid w:val="00BF0D08"/>
    <w:rsid w:val="00BF1E4D"/>
    <w:rsid w:val="00C13C00"/>
    <w:rsid w:val="00C14660"/>
    <w:rsid w:val="00C57B0B"/>
    <w:rsid w:val="00CA614C"/>
    <w:rsid w:val="00CD2F64"/>
    <w:rsid w:val="00CE2EDD"/>
    <w:rsid w:val="00CE6EC2"/>
    <w:rsid w:val="00D232E7"/>
    <w:rsid w:val="00D31716"/>
    <w:rsid w:val="00D93952"/>
    <w:rsid w:val="00DA37E0"/>
    <w:rsid w:val="00DC3C67"/>
    <w:rsid w:val="00DD2DB2"/>
    <w:rsid w:val="00DD2F8B"/>
    <w:rsid w:val="00DE08A5"/>
    <w:rsid w:val="00DE16C9"/>
    <w:rsid w:val="00DE5320"/>
    <w:rsid w:val="00DF0E18"/>
    <w:rsid w:val="00DF1DD3"/>
    <w:rsid w:val="00E07710"/>
    <w:rsid w:val="00E22F05"/>
    <w:rsid w:val="00E339E9"/>
    <w:rsid w:val="00E6242B"/>
    <w:rsid w:val="00E747CA"/>
    <w:rsid w:val="00E77FF9"/>
    <w:rsid w:val="00E81971"/>
    <w:rsid w:val="00E83612"/>
    <w:rsid w:val="00E857A1"/>
    <w:rsid w:val="00ED5C23"/>
    <w:rsid w:val="00EE2610"/>
    <w:rsid w:val="00F03AE1"/>
    <w:rsid w:val="00F104A0"/>
    <w:rsid w:val="00F216BC"/>
    <w:rsid w:val="00F62010"/>
    <w:rsid w:val="00F65DE6"/>
    <w:rsid w:val="00F70DB2"/>
    <w:rsid w:val="00F722A6"/>
    <w:rsid w:val="00F83AC6"/>
    <w:rsid w:val="00FA75E8"/>
    <w:rsid w:val="00FC5770"/>
    <w:rsid w:val="00FC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6FC992"/>
  <w15:chartTrackingRefBased/>
  <w15:docId w15:val="{D8385F6F-49FA-8941-BC58-1EA6FDE9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72EA1"/>
    <w:rPr>
      <w:color w:val="0000FF"/>
      <w:u w:val="single"/>
    </w:rPr>
  </w:style>
  <w:style w:type="paragraph" w:customStyle="1" w:styleId="MDPI31text">
    <w:name w:val="MDPI_3.1_text"/>
    <w:qFormat/>
    <w:rsid w:val="00372EA1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character" w:styleId="a4">
    <w:name w:val="Emphasis"/>
    <w:basedOn w:val="a0"/>
    <w:qFormat/>
    <w:rsid w:val="00372EA1"/>
    <w:rPr>
      <w:i/>
      <w:iCs/>
    </w:rPr>
  </w:style>
  <w:style w:type="character" w:customStyle="1" w:styleId="apple-converted-space">
    <w:name w:val="apple-converted-space"/>
    <w:basedOn w:val="a0"/>
    <w:rsid w:val="00372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tibodyregistry.org/search.php?q=AB_21748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ntibodyregistry.org/search.php?q=AB_2798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tibodyregistry.org/search.php?q=AB_224388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ntibodyregistry.org/search.php?q=AB_10677756" TargetMode="External"/><Relationship Id="rId10" Type="http://schemas.openxmlformats.org/officeDocument/2006/relationships/hyperlink" Target="https://antibodyregistry.org/search.php?q=AB_2722623" TargetMode="External"/><Relationship Id="rId4" Type="http://schemas.openxmlformats.org/officeDocument/2006/relationships/hyperlink" Target="https://antibodyregistry.org/search.php?q=AB_314186" TargetMode="External"/><Relationship Id="rId9" Type="http://schemas.openxmlformats.org/officeDocument/2006/relationships/hyperlink" Target="https://antibodyregistry.org/search.php?q=AB_43605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1906</Words>
  <Characters>10867</Characters>
  <Application>Microsoft Office Word</Application>
  <DocSecurity>0</DocSecurity>
  <Lines>90</Lines>
  <Paragraphs>25</Paragraphs>
  <ScaleCrop>false</ScaleCrop>
  <Company/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2023-08-08T12:20:00Z</dcterms:created>
  <dcterms:modified xsi:type="dcterms:W3CDTF">2024-02-09T14:46:00Z</dcterms:modified>
</cp:coreProperties>
</file>