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29091"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lang w:val="en-US" w:eastAsia="zh-CN" w:bidi="ar"/>
          <w14:ligatures w14:val="none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lang w:bidi="ar"/>
          <w14:ligatures w14:val="none"/>
        </w:rPr>
        <w:t>Supplementary Table 5</w:t>
      </w:r>
      <w:bookmarkEnd w:id="0"/>
      <w:r>
        <w:rPr>
          <w:rFonts w:hint="eastAsia" w:ascii="Times New Roman" w:hAnsi="Times New Roman" w:eastAsia="宋体" w:cs="Times New Roman"/>
          <w:b/>
          <w:bCs/>
          <w:lang w:val="en-US" w:eastAsia="zh-CN" w:bidi="ar"/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lang w:bidi="ar"/>
          <w14:ligatures w14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lang w:bidi="ar"/>
          <w14:ligatures w14:val="none"/>
        </w:rPr>
        <w:t xml:space="preserve">Summary of </w:t>
      </w:r>
      <w:r>
        <w:rPr>
          <w:rFonts w:hint="eastAsia" w:ascii="Times New Roman" w:hAnsi="Times New Roman" w:eastAsia="宋体" w:cs="Times New Roman"/>
          <w:b/>
          <w:bCs/>
          <w:lang w:val="en-US" w:eastAsia="zh-CN" w:bidi="ar"/>
          <w14:ligatures w14:val="none"/>
        </w:rPr>
        <w:t>p</w:t>
      </w:r>
      <w:r>
        <w:rPr>
          <w:rFonts w:hint="eastAsia" w:ascii="Times New Roman" w:hAnsi="Times New Roman" w:eastAsia="宋体" w:cs="Times New Roman"/>
          <w:b/>
          <w:bCs/>
          <w:lang w:bidi="ar"/>
          <w14:ligatures w14:val="none"/>
        </w:rPr>
        <w:t xml:space="preserve">athogenicity </w:t>
      </w:r>
      <w:r>
        <w:rPr>
          <w:rFonts w:ascii="Times New Roman" w:hAnsi="Times New Roman" w:eastAsia="宋体" w:cs="Times New Roman"/>
          <w:b/>
          <w:bCs/>
          <w:lang w:bidi="ar"/>
          <w14:ligatures w14:val="none"/>
        </w:rPr>
        <w:t xml:space="preserve">prediction </w:t>
      </w:r>
      <w:r>
        <w:rPr>
          <w:rFonts w:hint="eastAsia" w:ascii="Times New Roman" w:hAnsi="Times New Roman" w:eastAsia="宋体" w:cs="Times New Roman"/>
          <w:b/>
          <w:bCs/>
          <w:lang w:val="en-US" w:eastAsia="zh-CN" w:bidi="ar"/>
          <w14:ligatures w14:val="none"/>
        </w:rPr>
        <w:t>tool</w:t>
      </w:r>
      <w:r>
        <w:rPr>
          <w:rFonts w:ascii="Times New Roman" w:hAnsi="Times New Roman" w:eastAsia="宋体" w:cs="Times New Roman"/>
          <w:b/>
          <w:bCs/>
          <w:lang w:bidi="ar"/>
          <w14:ligatures w14:val="none"/>
        </w:rPr>
        <w:t>s</w:t>
      </w:r>
      <w:r>
        <w:rPr>
          <w:rFonts w:hint="eastAsia" w:ascii="Times New Roman" w:hAnsi="Times New Roman" w:eastAsia="宋体" w:cs="Times New Roman"/>
          <w:b/>
          <w:bCs/>
          <w:lang w:val="en-US" w:eastAsia="zh-CN" w:bidi="ar"/>
          <w14:ligatures w14:val="none"/>
        </w:rPr>
        <w:t>.</w:t>
      </w:r>
    </w:p>
    <w:tbl>
      <w:tblPr>
        <w:tblStyle w:val="14"/>
        <w:tblpPr w:leftFromText="180" w:rightFromText="180" w:vertAnchor="page" w:horzAnchor="page" w:tblpXSpec="center" w:tblpY="2179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868"/>
        <w:gridCol w:w="1458"/>
        <w:gridCol w:w="4958"/>
      </w:tblGrid>
      <w:tr w14:paraId="4F6F3F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47309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</w:rPr>
              <w:t>rediction tool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F935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Score range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A5DA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Deleterious threshold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B5C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Information used</w:t>
            </w:r>
          </w:p>
        </w:tc>
      </w:tr>
      <w:tr w14:paraId="1A2058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28F6ED98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SIFT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77250D26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57FBF64F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14:ligatures w14:val="none"/>
              </w:rPr>
              <w:t>≤ 0.05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327B82C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Protein sequence homology and the physical properties of amino acids</w:t>
            </w:r>
          </w:p>
        </w:tc>
      </w:tr>
      <w:tr w14:paraId="558773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vAlign w:val="center"/>
          </w:tcPr>
          <w:p w14:paraId="7F62B81A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PolyPhen-2</w:t>
            </w:r>
          </w:p>
        </w:tc>
        <w:tc>
          <w:tcPr>
            <w:tcW w:w="0" w:type="auto"/>
            <w:vAlign w:val="center"/>
          </w:tcPr>
          <w:p w14:paraId="2286D07A">
            <w:pPr>
              <w:numPr>
                <w:numId w:val="0"/>
              </w:num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0 -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4BB55B83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14:ligatures w14:val="none"/>
              </w:rPr>
              <w:t>≥ 0.447</w:t>
            </w:r>
          </w:p>
        </w:tc>
        <w:tc>
          <w:tcPr>
            <w:tcW w:w="0" w:type="auto"/>
            <w:vAlign w:val="center"/>
          </w:tcPr>
          <w:p w14:paraId="65E1A964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Eight protein sequence features,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three protein structure features</w:t>
            </w:r>
          </w:p>
        </w:tc>
      </w:tr>
      <w:tr w14:paraId="7850FD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0" w:type="auto"/>
            <w:vAlign w:val="center"/>
          </w:tcPr>
          <w:p w14:paraId="45DE46C2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REVEL</w:t>
            </w:r>
          </w:p>
        </w:tc>
        <w:tc>
          <w:tcPr>
            <w:tcW w:w="0" w:type="auto"/>
            <w:vAlign w:val="center"/>
          </w:tcPr>
          <w:p w14:paraId="01470F8F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6C1FC230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14:ligatures w14:val="none"/>
              </w:rPr>
              <w:t>≥ 0.8</w:t>
            </w:r>
          </w:p>
        </w:tc>
        <w:tc>
          <w:tcPr>
            <w:tcW w:w="0" w:type="auto"/>
            <w:vAlign w:val="center"/>
          </w:tcPr>
          <w:p w14:paraId="4AE6240E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An ensemble score based on 13 individual scores for predicting the pathogenicity of missense variants</w:t>
            </w:r>
          </w:p>
        </w:tc>
      </w:tr>
      <w:tr w14:paraId="6D8390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0" w:type="auto"/>
            <w:vAlign w:val="center"/>
          </w:tcPr>
          <w:p w14:paraId="34CE12FB">
            <w:pPr>
              <w:tabs>
                <w:tab w:val="left" w:pos="549"/>
              </w:tabs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MetaSVM</w:t>
            </w:r>
          </w:p>
        </w:tc>
        <w:tc>
          <w:tcPr>
            <w:tcW w:w="0" w:type="auto"/>
            <w:vAlign w:val="center"/>
          </w:tcPr>
          <w:p w14:paraId="46BF37D4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56149B35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14:ligatures w14:val="none"/>
              </w:rPr>
              <w:t>&gt; 0</w:t>
            </w:r>
          </w:p>
        </w:tc>
        <w:tc>
          <w:tcPr>
            <w:tcW w:w="0" w:type="auto"/>
            <w:vMerge w:val="restart"/>
            <w:vAlign w:val="center"/>
          </w:tcPr>
          <w:p w14:paraId="4AE856E4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Ensemble prediction scores incorporate 10 individual scores, alongside the maximum allele frequency observed in the 1000 Genomes populations</w:t>
            </w:r>
          </w:p>
        </w:tc>
      </w:tr>
      <w:tr w14:paraId="65DE59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0" w:type="auto"/>
            <w:vAlign w:val="center"/>
          </w:tcPr>
          <w:p w14:paraId="53CF520F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MetaLR</w:t>
            </w:r>
          </w:p>
        </w:tc>
        <w:tc>
          <w:tcPr>
            <w:tcW w:w="0" w:type="auto"/>
            <w:vAlign w:val="center"/>
          </w:tcPr>
          <w:p w14:paraId="419178B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54B4613A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14:ligatures w14:val="none"/>
              </w:rPr>
              <w:t>&gt; 0.5</w:t>
            </w:r>
          </w:p>
        </w:tc>
        <w:tc>
          <w:tcPr>
            <w:tcW w:w="0" w:type="auto"/>
            <w:vMerge w:val="continue"/>
            <w:vAlign w:val="center"/>
          </w:tcPr>
          <w:p w14:paraId="6B064711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260B1E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0" w:type="auto"/>
            <w:vAlign w:val="center"/>
          </w:tcPr>
          <w:p w14:paraId="4C4E585D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MetaRNN</w:t>
            </w:r>
          </w:p>
        </w:tc>
        <w:tc>
          <w:tcPr>
            <w:tcW w:w="0" w:type="auto"/>
            <w:vAlign w:val="center"/>
          </w:tcPr>
          <w:p w14:paraId="2C4BD59B">
            <w:pPr>
              <w:numPr>
                <w:numId w:val="0"/>
              </w:num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0 -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07DE0A44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&gt; 0.5</w:t>
            </w:r>
          </w:p>
        </w:tc>
        <w:tc>
          <w:tcPr>
            <w:tcW w:w="0" w:type="auto"/>
            <w:vAlign w:val="center"/>
          </w:tcPr>
          <w:p w14:paraId="79011BC7">
            <w:pPr>
              <w:tabs>
                <w:tab w:val="left" w:pos="577"/>
              </w:tabs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An ensemble prediction score integrates 16 scores from various prediction tools, 8 conservation scores, and allele frequency data from the 1000 Genomes Project, ExAC, and gnomAD</w:t>
            </w:r>
          </w:p>
        </w:tc>
      </w:tr>
    </w:tbl>
    <w:p w14:paraId="3A999B2A"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lang w:bidi="ar"/>
          <w14:ligatures w14:val="none"/>
        </w:rPr>
      </w:pPr>
      <w:r>
        <w:rPr>
          <w:rFonts w:ascii="Times New Roman" w:hAnsi="Times New Roman" w:eastAsia="宋体" w:cs="Times New Roman"/>
          <w:lang w:bidi="ar"/>
          <w14:ligatures w14:val="none"/>
        </w:rPr>
        <w:t>Legend: SIFT,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orting </w:t>
      </w:r>
      <w:r>
        <w:rPr>
          <w:rFonts w:hint="eastAsia"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ntolerant </w:t>
      </w:r>
      <w:r>
        <w:rPr>
          <w:rFonts w:hint="eastAsia"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rom </w:t>
      </w:r>
      <w:r>
        <w:rPr>
          <w:rFonts w:hint="eastAsia"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olerant; PolyPhen-2, Polymorphism Phenotyping v2; REVEL, Rare Exome Variant Ensemble Learner; MetaSVM, Meta-Analytic Support Vector Machine; MetaLR, Meta-Analytic Logistic Regression; MetaRNN, Meta-Analytic Recurrent Neural Network</w:t>
      </w:r>
      <w:r>
        <w:rPr>
          <w:rFonts w:hint="eastAsia" w:ascii="Times New Roman" w:hAnsi="Times New Roman" w:cs="Times New Roman"/>
        </w:rPr>
        <w:t>.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AEF"/>
    <w:rsid w:val="001132AD"/>
    <w:rsid w:val="003B36DB"/>
    <w:rsid w:val="004017DE"/>
    <w:rsid w:val="00637E4E"/>
    <w:rsid w:val="00641AEF"/>
    <w:rsid w:val="00676B28"/>
    <w:rsid w:val="0072083F"/>
    <w:rsid w:val="00927585"/>
    <w:rsid w:val="00AE539E"/>
    <w:rsid w:val="00BA0D71"/>
    <w:rsid w:val="00EF6301"/>
    <w:rsid w:val="013959FB"/>
    <w:rsid w:val="531910E2"/>
    <w:rsid w:val="797C0647"/>
    <w:rsid w:val="7DBB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uiPriority w:val="1"/>
  </w:style>
  <w:style w:type="table" w:default="1" w:styleId="1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933</Characters>
  <Lines>7</Lines>
  <Paragraphs>2</Paragraphs>
  <TotalTime>52</TotalTime>
  <ScaleCrop>false</ScaleCrop>
  <LinksUpToDate>false</LinksUpToDate>
  <CharactersWithSpaces>1053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2025-04-12T13:34:00Z</dcterms:created>
  <dc:creator>Jing</dc:creator>
  <cp:lastModifiedBy>小张</cp:lastModifiedBy>
  <dcterms:modified xsi:type="dcterms:W3CDTF">2025-04-12T16:06:11Z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eyJoZGlkIjoiZjU5N2E2NjgwZDIzMDczZTZhNTMxZmMzY2MzNjc4NjQiLCJ1c2VySWQiOiIxMjc3MjUyNDM5In0=</vt:lpwstr>
  </property>
  <property fmtid="{D5CDD505-2E9C-101B-9397-08002B2CF9AE}" pid="3" name="KSOProductBuildVer">
    <vt:lpwstr>2052-12.1.0.20305</vt:lpwstr>
  </property>
  <property fmtid="{D5CDD505-2E9C-101B-9397-08002B2CF9AE}" pid="4" name="ICV">
    <vt:lpwstr>7D2C1A62C2C0438292FC5EE766A17F1F_13</vt:lpwstr>
  </property>
</Properties>
</file>