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E0AB2F">
      <w:pPr>
        <w:rPr>
          <w:rFonts w:ascii="Times New Roman" w:hAnsi="Times New Roman" w:eastAsia="宋体" w:cs="Times New Roman"/>
          <w:b/>
          <w:bCs/>
          <w:szCs w:val="21"/>
          <w:highlight w:val="none"/>
        </w:rPr>
      </w:pPr>
      <w:r>
        <w:rPr>
          <w:rFonts w:ascii="Times New Roman" w:hAnsi="Times New Roman" w:eastAsia="宋体" w:cs="Times New Roman"/>
          <w:b/>
          <w:bCs/>
          <w:szCs w:val="21"/>
          <w:highlight w:val="none"/>
        </w:rPr>
        <w:t>Supplementary materials</w:t>
      </w:r>
      <w:bookmarkStart w:id="1" w:name="_GoBack"/>
      <w:bookmarkEnd w:id="1"/>
    </w:p>
    <w:p w14:paraId="75142FD1">
      <w:pPr>
        <w:spacing w:line="360" w:lineRule="auto"/>
        <w:rPr>
          <w:rFonts w:ascii="Times New Roman" w:hAnsi="Times New Roman" w:eastAsia="宋体" w:cs="Times New Roman"/>
          <w:b/>
          <w:bCs/>
          <w:szCs w:val="21"/>
          <w:highlight w:val="none"/>
        </w:rPr>
      </w:pPr>
      <w:r>
        <w:rPr>
          <w:rFonts w:ascii="Times New Roman" w:hAnsi="Times New Roman" w:eastAsia="宋体" w:cs="Times New Roman"/>
          <w:b/>
          <w:bCs/>
          <w:szCs w:val="21"/>
          <w:highlight w:val="none"/>
        </w:rPr>
        <w:t>Table 1: The qPCR primer sequences used in this study.</w:t>
      </w:r>
    </w:p>
    <w:tbl>
      <w:tblPr>
        <w:tblStyle w:val="2"/>
        <w:tblW w:w="84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54"/>
        <w:gridCol w:w="3584"/>
        <w:gridCol w:w="3525"/>
      </w:tblGrid>
      <w:tr w14:paraId="433E5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4" w:type="dxa"/>
            <w:vAlign w:val="center"/>
          </w:tcPr>
          <w:p w14:paraId="227B6DF9">
            <w:pPr>
              <w:spacing w:line="480" w:lineRule="auto"/>
              <w:jc w:val="center"/>
              <w:rPr>
                <w:rFonts w:ascii="Times New Roman" w:hAnsi="Times New Roman" w:eastAsia="宋体" w:cs="Times New Roman"/>
                <w:b/>
                <w:bCs/>
                <w:sz w:val="18"/>
                <w:szCs w:val="18"/>
                <w:highlight w:val="none"/>
              </w:rPr>
            </w:pPr>
            <w:r>
              <w:rPr>
                <w:rFonts w:ascii="Times New Roman" w:hAnsi="Times New Roman" w:eastAsia="宋体" w:cs="Times New Roman"/>
                <w:b/>
                <w:bCs/>
                <w:sz w:val="18"/>
                <w:szCs w:val="18"/>
                <w:highlight w:val="none"/>
              </w:rPr>
              <w:t>Gene name</w:t>
            </w:r>
          </w:p>
        </w:tc>
        <w:tc>
          <w:tcPr>
            <w:tcW w:w="3584" w:type="dxa"/>
            <w:vAlign w:val="center"/>
          </w:tcPr>
          <w:p w14:paraId="7436A579">
            <w:pPr>
              <w:spacing w:line="480" w:lineRule="auto"/>
              <w:jc w:val="center"/>
              <w:rPr>
                <w:rFonts w:ascii="Times New Roman" w:hAnsi="Times New Roman" w:eastAsia="宋体" w:cs="Times New Roman"/>
                <w:b/>
                <w:bCs/>
                <w:sz w:val="18"/>
                <w:szCs w:val="18"/>
                <w:highlight w:val="none"/>
              </w:rPr>
            </w:pPr>
            <w:r>
              <w:rPr>
                <w:rFonts w:ascii="Times New Roman" w:hAnsi="Times New Roman" w:eastAsia="宋体" w:cs="Times New Roman"/>
                <w:b/>
                <w:bCs/>
                <w:sz w:val="18"/>
                <w:szCs w:val="18"/>
                <w:highlight w:val="none"/>
              </w:rPr>
              <w:t>Forward Primer Sequence</w:t>
            </w:r>
          </w:p>
        </w:tc>
        <w:tc>
          <w:tcPr>
            <w:tcW w:w="3525" w:type="dxa"/>
            <w:vAlign w:val="center"/>
          </w:tcPr>
          <w:p w14:paraId="6F76FFC0">
            <w:pPr>
              <w:spacing w:line="480" w:lineRule="auto"/>
              <w:jc w:val="center"/>
              <w:rPr>
                <w:rFonts w:ascii="Times New Roman" w:hAnsi="Times New Roman" w:eastAsia="宋体" w:cs="Times New Roman"/>
                <w:b/>
                <w:bCs/>
                <w:sz w:val="18"/>
                <w:szCs w:val="18"/>
                <w:highlight w:val="none"/>
              </w:rPr>
            </w:pPr>
            <w:r>
              <w:rPr>
                <w:rFonts w:ascii="Times New Roman" w:hAnsi="Times New Roman" w:eastAsia="宋体" w:cs="Times New Roman"/>
                <w:b/>
                <w:bCs/>
                <w:sz w:val="18"/>
                <w:szCs w:val="18"/>
                <w:highlight w:val="none"/>
              </w:rPr>
              <w:t>Reverse Primer Sequence</w:t>
            </w:r>
          </w:p>
        </w:tc>
      </w:tr>
      <w:tr w14:paraId="2F51F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4" w:type="dxa"/>
            <w:vAlign w:val="center"/>
          </w:tcPr>
          <w:p w14:paraId="43CB4802">
            <w:pPr>
              <w:spacing w:line="480" w:lineRule="auto"/>
              <w:jc w:val="center"/>
              <w:rPr>
                <w:rFonts w:ascii="Times New Roman" w:hAnsi="Times New Roman" w:eastAsia="宋体" w:cs="Times New Roman"/>
                <w:sz w:val="18"/>
                <w:szCs w:val="18"/>
                <w:highlight w:val="none"/>
              </w:rPr>
            </w:pPr>
            <w:r>
              <w:rPr>
                <w:rFonts w:ascii="Times New Roman" w:hAnsi="Times New Roman" w:eastAsia="宋体" w:cs="Times New Roman"/>
                <w:sz w:val="18"/>
                <w:szCs w:val="18"/>
                <w:highlight w:val="none"/>
              </w:rPr>
              <w:t>XBP1u</w:t>
            </w:r>
          </w:p>
        </w:tc>
        <w:tc>
          <w:tcPr>
            <w:tcW w:w="3584" w:type="dxa"/>
            <w:vAlign w:val="center"/>
          </w:tcPr>
          <w:p w14:paraId="6896609F">
            <w:pPr>
              <w:spacing w:line="480" w:lineRule="auto"/>
              <w:jc w:val="center"/>
              <w:rPr>
                <w:rFonts w:ascii="Times New Roman" w:hAnsi="Times New Roman" w:eastAsia="宋体" w:cs="Times New Roman"/>
                <w:sz w:val="18"/>
                <w:szCs w:val="18"/>
                <w:highlight w:val="none"/>
              </w:rPr>
            </w:pPr>
            <w:r>
              <w:rPr>
                <w:rFonts w:ascii="Times New Roman" w:hAnsi="Times New Roman" w:eastAsia="宋体" w:cs="Times New Roman"/>
                <w:sz w:val="18"/>
                <w:szCs w:val="18"/>
                <w:highlight w:val="none"/>
              </w:rPr>
              <w:t>GACAGAGAGTCAAACTAACGTGG</w:t>
            </w:r>
          </w:p>
        </w:tc>
        <w:tc>
          <w:tcPr>
            <w:tcW w:w="3525" w:type="dxa"/>
            <w:vAlign w:val="center"/>
          </w:tcPr>
          <w:p w14:paraId="6C05A32D">
            <w:pPr>
              <w:spacing w:line="480" w:lineRule="auto"/>
              <w:jc w:val="center"/>
              <w:rPr>
                <w:rFonts w:ascii="Times New Roman" w:hAnsi="Times New Roman" w:eastAsia="宋体" w:cs="Times New Roman"/>
                <w:sz w:val="18"/>
                <w:szCs w:val="18"/>
                <w:highlight w:val="none"/>
              </w:rPr>
            </w:pPr>
            <w:r>
              <w:rPr>
                <w:rFonts w:ascii="Times New Roman" w:hAnsi="Times New Roman" w:eastAsia="宋体" w:cs="Times New Roman"/>
                <w:sz w:val="18"/>
                <w:szCs w:val="18"/>
                <w:highlight w:val="none"/>
              </w:rPr>
              <w:t>GTCCAGCAGGCAAGAAGGT</w:t>
            </w:r>
          </w:p>
        </w:tc>
      </w:tr>
      <w:tr w14:paraId="35797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4" w:type="dxa"/>
            <w:vAlign w:val="center"/>
          </w:tcPr>
          <w:p w14:paraId="77054F69">
            <w:pPr>
              <w:spacing w:line="480" w:lineRule="auto"/>
              <w:jc w:val="center"/>
              <w:rPr>
                <w:rFonts w:ascii="Times New Roman" w:hAnsi="Times New Roman" w:eastAsia="宋体" w:cs="Times New Roman"/>
                <w:sz w:val="18"/>
                <w:szCs w:val="18"/>
                <w:highlight w:val="none"/>
              </w:rPr>
            </w:pPr>
            <w:r>
              <w:rPr>
                <w:rFonts w:ascii="Times New Roman" w:hAnsi="Times New Roman" w:eastAsia="宋体" w:cs="Times New Roman"/>
                <w:sz w:val="18"/>
                <w:szCs w:val="18"/>
                <w:highlight w:val="none"/>
              </w:rPr>
              <w:t>XBP1s</w:t>
            </w:r>
          </w:p>
        </w:tc>
        <w:tc>
          <w:tcPr>
            <w:tcW w:w="3584" w:type="dxa"/>
            <w:vAlign w:val="center"/>
          </w:tcPr>
          <w:p w14:paraId="0F2A272B">
            <w:pPr>
              <w:spacing w:line="480" w:lineRule="auto"/>
              <w:jc w:val="center"/>
              <w:rPr>
                <w:rFonts w:ascii="Times New Roman" w:hAnsi="Times New Roman" w:eastAsia="宋体" w:cs="Times New Roman"/>
                <w:sz w:val="18"/>
                <w:szCs w:val="18"/>
                <w:highlight w:val="none"/>
              </w:rPr>
            </w:pPr>
            <w:r>
              <w:rPr>
                <w:rFonts w:ascii="Times New Roman" w:hAnsi="Times New Roman" w:eastAsia="宋体" w:cs="Times New Roman"/>
                <w:sz w:val="18"/>
                <w:szCs w:val="18"/>
                <w:highlight w:val="none"/>
              </w:rPr>
              <w:t>ACACGCTTGGGAATGGACAC</w:t>
            </w:r>
          </w:p>
        </w:tc>
        <w:tc>
          <w:tcPr>
            <w:tcW w:w="3525" w:type="dxa"/>
            <w:vAlign w:val="center"/>
          </w:tcPr>
          <w:p w14:paraId="6CE8D9A2">
            <w:pPr>
              <w:spacing w:line="480" w:lineRule="auto"/>
              <w:jc w:val="center"/>
              <w:rPr>
                <w:rFonts w:ascii="Times New Roman" w:hAnsi="Times New Roman" w:eastAsia="宋体" w:cs="Times New Roman"/>
                <w:sz w:val="18"/>
                <w:szCs w:val="18"/>
                <w:highlight w:val="none"/>
              </w:rPr>
            </w:pPr>
            <w:r>
              <w:rPr>
                <w:rFonts w:ascii="Times New Roman" w:hAnsi="Times New Roman" w:eastAsia="宋体" w:cs="Times New Roman"/>
                <w:sz w:val="18"/>
                <w:szCs w:val="18"/>
                <w:highlight w:val="none"/>
              </w:rPr>
              <w:t>CCATGGGAAGATGTTCTGGG</w:t>
            </w:r>
          </w:p>
        </w:tc>
      </w:tr>
      <w:tr w14:paraId="44D2C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4" w:type="dxa"/>
            <w:vAlign w:val="center"/>
          </w:tcPr>
          <w:p w14:paraId="76D88D72">
            <w:pPr>
              <w:spacing w:line="480" w:lineRule="auto"/>
              <w:jc w:val="center"/>
              <w:rPr>
                <w:rFonts w:ascii="Times New Roman" w:hAnsi="Times New Roman" w:eastAsia="宋体" w:cs="Times New Roman"/>
                <w:sz w:val="18"/>
                <w:szCs w:val="18"/>
                <w:highlight w:val="none"/>
              </w:rPr>
            </w:pPr>
            <w:r>
              <w:rPr>
                <w:rFonts w:ascii="Times New Roman" w:hAnsi="Times New Roman" w:eastAsia="宋体" w:cs="Times New Roman"/>
                <w:sz w:val="18"/>
                <w:szCs w:val="18"/>
                <w:highlight w:val="none"/>
              </w:rPr>
              <w:t>β-actin</w:t>
            </w:r>
          </w:p>
        </w:tc>
        <w:tc>
          <w:tcPr>
            <w:tcW w:w="3584" w:type="dxa"/>
            <w:vAlign w:val="center"/>
          </w:tcPr>
          <w:p w14:paraId="6CB749BE">
            <w:pPr>
              <w:spacing w:line="480" w:lineRule="auto"/>
              <w:jc w:val="center"/>
              <w:rPr>
                <w:rFonts w:ascii="Times New Roman" w:hAnsi="Times New Roman" w:eastAsia="宋体" w:cs="Times New Roman"/>
                <w:sz w:val="18"/>
                <w:szCs w:val="18"/>
                <w:highlight w:val="none"/>
              </w:rPr>
            </w:pPr>
            <w:r>
              <w:rPr>
                <w:rFonts w:ascii="Times New Roman" w:hAnsi="Times New Roman" w:eastAsia="宋体" w:cs="Times New Roman"/>
                <w:sz w:val="18"/>
                <w:szCs w:val="18"/>
                <w:highlight w:val="none"/>
              </w:rPr>
              <w:t>GGCTGTATTCCCCTCCATCG</w:t>
            </w:r>
          </w:p>
        </w:tc>
        <w:tc>
          <w:tcPr>
            <w:tcW w:w="3525" w:type="dxa"/>
            <w:vAlign w:val="center"/>
          </w:tcPr>
          <w:p w14:paraId="4E94FDA0">
            <w:pPr>
              <w:spacing w:line="480" w:lineRule="auto"/>
              <w:jc w:val="center"/>
              <w:rPr>
                <w:rFonts w:ascii="Times New Roman" w:hAnsi="Times New Roman" w:eastAsia="宋体" w:cs="Times New Roman"/>
                <w:sz w:val="18"/>
                <w:szCs w:val="18"/>
                <w:highlight w:val="none"/>
              </w:rPr>
            </w:pPr>
            <w:r>
              <w:rPr>
                <w:rFonts w:ascii="Times New Roman" w:hAnsi="Times New Roman" w:eastAsia="宋体" w:cs="Times New Roman"/>
                <w:sz w:val="18"/>
                <w:szCs w:val="18"/>
                <w:highlight w:val="none"/>
              </w:rPr>
              <w:t>CCAGTTGGTAACAATGCCATGT</w:t>
            </w:r>
          </w:p>
        </w:tc>
      </w:tr>
      <w:tr w14:paraId="50D8A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4" w:type="dxa"/>
            <w:vAlign w:val="center"/>
          </w:tcPr>
          <w:p w14:paraId="65968B28">
            <w:pPr>
              <w:spacing w:line="480" w:lineRule="auto"/>
              <w:jc w:val="center"/>
              <w:rPr>
                <w:rFonts w:ascii="Times New Roman" w:hAnsi="Times New Roman" w:eastAsia="宋体" w:cs="Times New Roman"/>
                <w:sz w:val="18"/>
                <w:szCs w:val="18"/>
                <w:highlight w:val="none"/>
              </w:rPr>
            </w:pPr>
            <w:r>
              <w:rPr>
                <w:rFonts w:ascii="Times New Roman" w:hAnsi="Times New Roman" w:eastAsia="宋体" w:cs="Times New Roman"/>
                <w:sz w:val="18"/>
                <w:szCs w:val="18"/>
                <w:highlight w:val="none"/>
              </w:rPr>
              <w:t>WFS1</w:t>
            </w:r>
          </w:p>
        </w:tc>
        <w:tc>
          <w:tcPr>
            <w:tcW w:w="3584" w:type="dxa"/>
            <w:vAlign w:val="center"/>
          </w:tcPr>
          <w:p w14:paraId="5B656B00">
            <w:pPr>
              <w:spacing w:line="480" w:lineRule="auto"/>
              <w:jc w:val="center"/>
              <w:rPr>
                <w:rFonts w:ascii="Times New Roman" w:hAnsi="Times New Roman" w:eastAsia="宋体" w:cs="Times New Roman"/>
                <w:sz w:val="18"/>
                <w:szCs w:val="18"/>
                <w:highlight w:val="none"/>
              </w:rPr>
            </w:pPr>
            <w:r>
              <w:rPr>
                <w:rFonts w:ascii="Times New Roman" w:hAnsi="Times New Roman" w:eastAsia="宋体" w:cs="Times New Roman"/>
                <w:sz w:val="18"/>
                <w:szCs w:val="18"/>
                <w:highlight w:val="none"/>
              </w:rPr>
              <w:t>GCGTGACTGACATCGACAAC</w:t>
            </w:r>
          </w:p>
        </w:tc>
        <w:tc>
          <w:tcPr>
            <w:tcW w:w="3525" w:type="dxa"/>
            <w:vAlign w:val="center"/>
          </w:tcPr>
          <w:p w14:paraId="5CC6C74C">
            <w:pPr>
              <w:spacing w:line="480" w:lineRule="auto"/>
              <w:jc w:val="center"/>
              <w:rPr>
                <w:rFonts w:ascii="Times New Roman" w:hAnsi="Times New Roman" w:eastAsia="宋体" w:cs="Times New Roman"/>
                <w:sz w:val="18"/>
                <w:szCs w:val="18"/>
                <w:highlight w:val="none"/>
              </w:rPr>
            </w:pPr>
            <w:r>
              <w:rPr>
                <w:rFonts w:ascii="Times New Roman" w:hAnsi="Times New Roman" w:eastAsia="宋体" w:cs="Times New Roman"/>
                <w:sz w:val="18"/>
                <w:szCs w:val="18"/>
                <w:highlight w:val="none"/>
              </w:rPr>
              <w:t>GTAGCGGTCGAACTTCTTGA</w:t>
            </w:r>
          </w:p>
        </w:tc>
      </w:tr>
    </w:tbl>
    <w:p w14:paraId="22D13D95">
      <w:pPr>
        <w:rPr>
          <w:rFonts w:ascii="Times New Roman" w:hAnsi="Times New Roman" w:eastAsia="宋体" w:cs="Times New Roman"/>
          <w:b/>
          <w:bCs/>
          <w:szCs w:val="21"/>
          <w:highlight w:val="none"/>
        </w:rPr>
      </w:pPr>
    </w:p>
    <w:p w14:paraId="503446EF">
      <w:pPr>
        <w:spacing w:line="480" w:lineRule="auto"/>
        <w:rPr>
          <w:rFonts w:ascii="Times New Roman" w:hAnsi="Times New Roman" w:eastAsia="宋体" w:cs="Times New Roman"/>
          <w:b/>
          <w:bCs/>
          <w:szCs w:val="21"/>
          <w:highlight w:val="none"/>
        </w:rPr>
      </w:pPr>
      <w:r>
        <w:rPr>
          <w:rFonts w:ascii="Times New Roman" w:hAnsi="Times New Roman" w:eastAsia="宋体" w:cs="Times New Roman"/>
          <w:b/>
          <w:bCs/>
          <w:szCs w:val="21"/>
          <w:highlight w:val="none"/>
        </w:rPr>
        <w:t>Table 2:</w:t>
      </w:r>
      <w:r>
        <w:rPr>
          <w:rFonts w:ascii="Times New Roman" w:hAnsi="Times New Roman" w:eastAsia="宋体" w:cs="Times New Roman"/>
          <w:szCs w:val="21"/>
          <w:highlight w:val="none"/>
        </w:rPr>
        <w:t xml:space="preserve"> </w:t>
      </w:r>
      <w:r>
        <w:rPr>
          <w:rFonts w:ascii="Times New Roman" w:hAnsi="Times New Roman" w:eastAsia="宋体" w:cs="Times New Roman"/>
          <w:b/>
          <w:bCs/>
          <w:szCs w:val="21"/>
          <w:highlight w:val="none"/>
        </w:rPr>
        <w:t>The longitudinal follow-up of the proband’s beta-cell function.</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0"/>
        <w:gridCol w:w="2132"/>
        <w:gridCol w:w="976"/>
        <w:gridCol w:w="1117"/>
        <w:gridCol w:w="988"/>
      </w:tblGrid>
      <w:tr w14:paraId="49741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0" w:type="dxa"/>
            <w:vAlign w:val="center"/>
          </w:tcPr>
          <w:p w14:paraId="00921572">
            <w:pPr>
              <w:jc w:val="center"/>
              <w:rPr>
                <w:rFonts w:ascii="Times New Roman" w:hAnsi="Times New Roman" w:eastAsia="宋体" w:cs="Times New Roman"/>
                <w:szCs w:val="21"/>
                <w:highlight w:val="none"/>
              </w:rPr>
            </w:pPr>
            <w:bookmarkStart w:id="0" w:name="OLE_LINK34" w:colFirst="0" w:colLast="1"/>
            <w:r>
              <w:rPr>
                <w:rFonts w:ascii="Times New Roman" w:hAnsi="Times New Roman" w:eastAsia="宋体" w:cs="Times New Roman"/>
                <w:szCs w:val="21"/>
                <w:highlight w:val="none"/>
              </w:rPr>
              <w:t>Follow-up time</w:t>
            </w:r>
          </w:p>
        </w:tc>
        <w:tc>
          <w:tcPr>
            <w:tcW w:w="2132" w:type="dxa"/>
            <w:vAlign w:val="center"/>
          </w:tcPr>
          <w:p w14:paraId="7F4D68FD">
            <w:pPr>
              <w:jc w:val="center"/>
              <w:rPr>
                <w:rFonts w:ascii="Times New Roman" w:hAnsi="Times New Roman" w:eastAsia="宋体" w:cs="Times New Roman"/>
                <w:szCs w:val="21"/>
                <w:highlight w:val="none"/>
              </w:rPr>
            </w:pPr>
          </w:p>
        </w:tc>
        <w:tc>
          <w:tcPr>
            <w:tcW w:w="976" w:type="dxa"/>
            <w:vAlign w:val="center"/>
          </w:tcPr>
          <w:p w14:paraId="57C1A30D">
            <w:pPr>
              <w:jc w:val="center"/>
              <w:rPr>
                <w:rFonts w:ascii="Times New Roman" w:hAnsi="Times New Roman" w:eastAsia="宋体" w:cs="Times New Roman"/>
                <w:szCs w:val="21"/>
                <w:highlight w:val="none"/>
              </w:rPr>
            </w:pPr>
            <w:r>
              <w:rPr>
                <w:rFonts w:ascii="Times New Roman" w:hAnsi="Times New Roman" w:eastAsia="宋体" w:cs="Times New Roman"/>
                <w:szCs w:val="21"/>
                <w:highlight w:val="none"/>
              </w:rPr>
              <w:t>0min</w:t>
            </w:r>
          </w:p>
        </w:tc>
        <w:tc>
          <w:tcPr>
            <w:tcW w:w="1117" w:type="dxa"/>
            <w:vAlign w:val="center"/>
          </w:tcPr>
          <w:p w14:paraId="3A9919BE">
            <w:pPr>
              <w:jc w:val="center"/>
              <w:rPr>
                <w:rFonts w:ascii="Times New Roman" w:hAnsi="Times New Roman" w:eastAsia="宋体" w:cs="Times New Roman"/>
                <w:szCs w:val="21"/>
                <w:highlight w:val="none"/>
              </w:rPr>
            </w:pPr>
            <w:r>
              <w:rPr>
                <w:rFonts w:ascii="Times New Roman" w:hAnsi="Times New Roman" w:eastAsia="宋体" w:cs="Times New Roman"/>
                <w:szCs w:val="21"/>
                <w:highlight w:val="none"/>
              </w:rPr>
              <w:t>60min</w:t>
            </w:r>
          </w:p>
        </w:tc>
        <w:tc>
          <w:tcPr>
            <w:tcW w:w="988" w:type="dxa"/>
            <w:vAlign w:val="center"/>
          </w:tcPr>
          <w:p w14:paraId="1E7D56B5">
            <w:pPr>
              <w:jc w:val="center"/>
              <w:rPr>
                <w:rFonts w:ascii="Times New Roman" w:hAnsi="Times New Roman" w:eastAsia="宋体" w:cs="Times New Roman"/>
                <w:szCs w:val="21"/>
                <w:highlight w:val="none"/>
              </w:rPr>
            </w:pPr>
            <w:r>
              <w:rPr>
                <w:rFonts w:ascii="Times New Roman" w:hAnsi="Times New Roman" w:eastAsia="宋体" w:cs="Times New Roman"/>
                <w:szCs w:val="21"/>
                <w:highlight w:val="none"/>
              </w:rPr>
              <w:t>120min</w:t>
            </w:r>
          </w:p>
        </w:tc>
      </w:tr>
      <w:tr w14:paraId="184E0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0" w:type="dxa"/>
            <w:vAlign w:val="center"/>
          </w:tcPr>
          <w:p w14:paraId="05DF896F">
            <w:pPr>
              <w:jc w:val="center"/>
              <w:rPr>
                <w:rFonts w:ascii="Times New Roman" w:hAnsi="Times New Roman" w:eastAsia="宋体" w:cs="Times New Roman"/>
                <w:szCs w:val="21"/>
                <w:highlight w:val="none"/>
              </w:rPr>
            </w:pPr>
            <w:r>
              <w:rPr>
                <w:rFonts w:ascii="Times New Roman" w:hAnsi="Times New Roman" w:eastAsia="宋体" w:cs="Times New Roman"/>
                <w:szCs w:val="21"/>
                <w:highlight w:val="none"/>
              </w:rPr>
              <w:t>2019.4</w:t>
            </w:r>
          </w:p>
        </w:tc>
        <w:tc>
          <w:tcPr>
            <w:tcW w:w="2132" w:type="dxa"/>
            <w:vAlign w:val="center"/>
          </w:tcPr>
          <w:p w14:paraId="6BA82C7B">
            <w:pPr>
              <w:jc w:val="center"/>
              <w:rPr>
                <w:rFonts w:ascii="Times New Roman" w:hAnsi="Times New Roman" w:eastAsia="宋体" w:cs="Times New Roman"/>
                <w:szCs w:val="21"/>
                <w:highlight w:val="none"/>
              </w:rPr>
            </w:pPr>
            <w:r>
              <w:rPr>
                <w:rFonts w:ascii="Times New Roman" w:hAnsi="Times New Roman" w:eastAsia="宋体" w:cs="Times New Roman"/>
                <w:szCs w:val="21"/>
                <w:highlight w:val="none"/>
              </w:rPr>
              <w:t>Glucose(mmol/l)</w:t>
            </w:r>
          </w:p>
        </w:tc>
        <w:tc>
          <w:tcPr>
            <w:tcW w:w="976" w:type="dxa"/>
            <w:vAlign w:val="center"/>
          </w:tcPr>
          <w:p w14:paraId="2DBF5DA0">
            <w:pPr>
              <w:jc w:val="center"/>
              <w:rPr>
                <w:rFonts w:ascii="Times New Roman" w:hAnsi="Times New Roman" w:eastAsia="宋体" w:cs="Times New Roman"/>
                <w:szCs w:val="21"/>
                <w:highlight w:val="none"/>
              </w:rPr>
            </w:pPr>
            <w:r>
              <w:rPr>
                <w:rFonts w:ascii="Times New Roman" w:hAnsi="Times New Roman" w:eastAsia="宋体" w:cs="Times New Roman"/>
                <w:szCs w:val="21"/>
                <w:highlight w:val="none"/>
              </w:rPr>
              <w:t>6.08</w:t>
            </w:r>
          </w:p>
        </w:tc>
        <w:tc>
          <w:tcPr>
            <w:tcW w:w="1117" w:type="dxa"/>
            <w:vAlign w:val="center"/>
          </w:tcPr>
          <w:p w14:paraId="21778F2E">
            <w:pPr>
              <w:jc w:val="center"/>
              <w:rPr>
                <w:rFonts w:ascii="Times New Roman" w:hAnsi="Times New Roman" w:eastAsia="宋体" w:cs="Times New Roman"/>
                <w:szCs w:val="21"/>
                <w:highlight w:val="none"/>
              </w:rPr>
            </w:pPr>
            <w:r>
              <w:rPr>
                <w:rFonts w:ascii="Times New Roman" w:hAnsi="Times New Roman" w:eastAsia="宋体" w:cs="Times New Roman"/>
                <w:szCs w:val="21"/>
                <w:highlight w:val="none"/>
              </w:rPr>
              <w:t>14.97</w:t>
            </w:r>
          </w:p>
        </w:tc>
        <w:tc>
          <w:tcPr>
            <w:tcW w:w="988" w:type="dxa"/>
            <w:vAlign w:val="center"/>
          </w:tcPr>
          <w:p w14:paraId="02BC9934">
            <w:pPr>
              <w:jc w:val="center"/>
              <w:rPr>
                <w:rFonts w:ascii="Times New Roman" w:hAnsi="Times New Roman" w:eastAsia="宋体" w:cs="Times New Roman"/>
                <w:szCs w:val="21"/>
                <w:highlight w:val="none"/>
              </w:rPr>
            </w:pPr>
            <w:r>
              <w:rPr>
                <w:rFonts w:ascii="Times New Roman" w:hAnsi="Times New Roman" w:eastAsia="宋体" w:cs="Times New Roman"/>
                <w:szCs w:val="21"/>
                <w:highlight w:val="none"/>
              </w:rPr>
              <w:t>18.78</w:t>
            </w:r>
          </w:p>
        </w:tc>
      </w:tr>
      <w:tr w14:paraId="51B0F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0" w:type="dxa"/>
            <w:vAlign w:val="center"/>
          </w:tcPr>
          <w:p w14:paraId="04DF9F1F">
            <w:pPr>
              <w:jc w:val="center"/>
              <w:rPr>
                <w:rFonts w:ascii="Times New Roman" w:hAnsi="Times New Roman" w:eastAsia="宋体" w:cs="Times New Roman"/>
                <w:szCs w:val="21"/>
                <w:highlight w:val="none"/>
              </w:rPr>
            </w:pPr>
          </w:p>
        </w:tc>
        <w:tc>
          <w:tcPr>
            <w:tcW w:w="2132" w:type="dxa"/>
            <w:vAlign w:val="center"/>
          </w:tcPr>
          <w:p w14:paraId="11E82076">
            <w:pPr>
              <w:jc w:val="center"/>
              <w:rPr>
                <w:rFonts w:ascii="Times New Roman" w:hAnsi="Times New Roman" w:eastAsia="宋体" w:cs="Times New Roman"/>
                <w:szCs w:val="21"/>
                <w:highlight w:val="none"/>
              </w:rPr>
            </w:pPr>
            <w:r>
              <w:rPr>
                <w:rFonts w:ascii="Times New Roman" w:hAnsi="Times New Roman" w:eastAsia="宋体" w:cs="Times New Roman"/>
                <w:szCs w:val="21"/>
                <w:highlight w:val="none"/>
              </w:rPr>
              <w:t>Insulin(pmol/l)</w:t>
            </w:r>
          </w:p>
        </w:tc>
        <w:tc>
          <w:tcPr>
            <w:tcW w:w="976" w:type="dxa"/>
            <w:vAlign w:val="center"/>
          </w:tcPr>
          <w:p w14:paraId="11320B30">
            <w:pPr>
              <w:jc w:val="center"/>
              <w:rPr>
                <w:rFonts w:ascii="Times New Roman" w:hAnsi="Times New Roman" w:eastAsia="宋体" w:cs="Times New Roman"/>
                <w:szCs w:val="21"/>
                <w:highlight w:val="none"/>
              </w:rPr>
            </w:pPr>
            <w:r>
              <w:rPr>
                <w:rFonts w:ascii="Times New Roman" w:hAnsi="Times New Roman" w:eastAsia="宋体" w:cs="Times New Roman"/>
                <w:szCs w:val="21"/>
                <w:highlight w:val="none"/>
              </w:rPr>
              <w:t>7.7</w:t>
            </w:r>
          </w:p>
        </w:tc>
        <w:tc>
          <w:tcPr>
            <w:tcW w:w="1117" w:type="dxa"/>
            <w:vAlign w:val="center"/>
          </w:tcPr>
          <w:p w14:paraId="47E3EC61">
            <w:pPr>
              <w:jc w:val="center"/>
              <w:rPr>
                <w:rFonts w:ascii="Times New Roman" w:hAnsi="Times New Roman" w:eastAsia="宋体" w:cs="Times New Roman"/>
                <w:szCs w:val="21"/>
                <w:highlight w:val="none"/>
              </w:rPr>
            </w:pPr>
            <w:r>
              <w:rPr>
                <w:rFonts w:ascii="Times New Roman" w:hAnsi="Times New Roman" w:eastAsia="宋体" w:cs="Times New Roman"/>
                <w:szCs w:val="21"/>
                <w:highlight w:val="none"/>
              </w:rPr>
              <w:t>47.03</w:t>
            </w:r>
          </w:p>
        </w:tc>
        <w:tc>
          <w:tcPr>
            <w:tcW w:w="988" w:type="dxa"/>
            <w:vAlign w:val="center"/>
          </w:tcPr>
          <w:p w14:paraId="0DF02B12">
            <w:pPr>
              <w:jc w:val="center"/>
              <w:rPr>
                <w:rFonts w:ascii="Times New Roman" w:hAnsi="Times New Roman" w:eastAsia="宋体" w:cs="Times New Roman"/>
                <w:szCs w:val="21"/>
                <w:highlight w:val="none"/>
              </w:rPr>
            </w:pPr>
            <w:r>
              <w:rPr>
                <w:rFonts w:ascii="Times New Roman" w:hAnsi="Times New Roman" w:eastAsia="宋体" w:cs="Times New Roman"/>
                <w:szCs w:val="21"/>
                <w:highlight w:val="none"/>
              </w:rPr>
              <w:t>50.48</w:t>
            </w:r>
          </w:p>
        </w:tc>
      </w:tr>
      <w:tr w14:paraId="4005F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0" w:type="dxa"/>
            <w:vAlign w:val="center"/>
          </w:tcPr>
          <w:p w14:paraId="0E3CE616">
            <w:pPr>
              <w:jc w:val="center"/>
              <w:rPr>
                <w:rFonts w:ascii="Times New Roman" w:hAnsi="Times New Roman" w:eastAsia="宋体" w:cs="Times New Roman"/>
                <w:szCs w:val="21"/>
                <w:highlight w:val="none"/>
              </w:rPr>
            </w:pPr>
          </w:p>
        </w:tc>
        <w:tc>
          <w:tcPr>
            <w:tcW w:w="2132" w:type="dxa"/>
            <w:vAlign w:val="center"/>
          </w:tcPr>
          <w:p w14:paraId="5153976F">
            <w:pPr>
              <w:jc w:val="center"/>
              <w:rPr>
                <w:rFonts w:ascii="Times New Roman" w:hAnsi="Times New Roman" w:eastAsia="宋体" w:cs="Times New Roman"/>
                <w:szCs w:val="21"/>
                <w:highlight w:val="none"/>
              </w:rPr>
            </w:pPr>
            <w:r>
              <w:rPr>
                <w:rFonts w:ascii="Times New Roman" w:hAnsi="Times New Roman" w:eastAsia="宋体" w:cs="Times New Roman"/>
                <w:szCs w:val="21"/>
                <w:highlight w:val="none"/>
              </w:rPr>
              <w:t>C-peptide(pmol/l)</w:t>
            </w:r>
          </w:p>
        </w:tc>
        <w:tc>
          <w:tcPr>
            <w:tcW w:w="976" w:type="dxa"/>
            <w:vAlign w:val="center"/>
          </w:tcPr>
          <w:p w14:paraId="0EE55512">
            <w:pPr>
              <w:jc w:val="center"/>
              <w:rPr>
                <w:rFonts w:ascii="Times New Roman" w:hAnsi="Times New Roman" w:eastAsia="宋体" w:cs="Times New Roman"/>
                <w:szCs w:val="21"/>
                <w:highlight w:val="none"/>
              </w:rPr>
            </w:pPr>
            <w:r>
              <w:rPr>
                <w:rFonts w:ascii="Times New Roman" w:hAnsi="Times New Roman" w:eastAsia="宋体" w:cs="Times New Roman"/>
                <w:szCs w:val="21"/>
                <w:highlight w:val="none"/>
              </w:rPr>
              <w:t>157.9</w:t>
            </w:r>
          </w:p>
        </w:tc>
        <w:tc>
          <w:tcPr>
            <w:tcW w:w="1117" w:type="dxa"/>
            <w:vAlign w:val="center"/>
          </w:tcPr>
          <w:p w14:paraId="0EFD3B8E">
            <w:pPr>
              <w:jc w:val="center"/>
              <w:rPr>
                <w:rFonts w:ascii="Times New Roman" w:hAnsi="Times New Roman" w:eastAsia="宋体" w:cs="Times New Roman"/>
                <w:szCs w:val="21"/>
                <w:highlight w:val="none"/>
              </w:rPr>
            </w:pPr>
            <w:r>
              <w:rPr>
                <w:rFonts w:ascii="Times New Roman" w:hAnsi="Times New Roman" w:eastAsia="宋体" w:cs="Times New Roman"/>
                <w:szCs w:val="21"/>
                <w:highlight w:val="none"/>
              </w:rPr>
              <w:t>515.4</w:t>
            </w:r>
          </w:p>
        </w:tc>
        <w:tc>
          <w:tcPr>
            <w:tcW w:w="988" w:type="dxa"/>
            <w:vAlign w:val="center"/>
          </w:tcPr>
          <w:p w14:paraId="23E269EA">
            <w:pPr>
              <w:jc w:val="center"/>
              <w:rPr>
                <w:rFonts w:ascii="Times New Roman" w:hAnsi="Times New Roman" w:eastAsia="宋体" w:cs="Times New Roman"/>
                <w:szCs w:val="21"/>
                <w:highlight w:val="none"/>
              </w:rPr>
            </w:pPr>
            <w:r>
              <w:rPr>
                <w:rFonts w:ascii="Times New Roman" w:hAnsi="Times New Roman" w:eastAsia="宋体" w:cs="Times New Roman"/>
                <w:szCs w:val="21"/>
                <w:highlight w:val="none"/>
              </w:rPr>
              <w:t>715.7</w:t>
            </w:r>
          </w:p>
        </w:tc>
      </w:tr>
      <w:tr w14:paraId="2C1E7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0" w:type="dxa"/>
            <w:vAlign w:val="center"/>
          </w:tcPr>
          <w:p w14:paraId="404ACFA8">
            <w:pPr>
              <w:jc w:val="center"/>
              <w:rPr>
                <w:rFonts w:ascii="Times New Roman" w:hAnsi="Times New Roman" w:eastAsia="宋体" w:cs="Times New Roman"/>
                <w:szCs w:val="21"/>
                <w:highlight w:val="none"/>
              </w:rPr>
            </w:pPr>
            <w:r>
              <w:rPr>
                <w:rFonts w:ascii="Times New Roman" w:hAnsi="Times New Roman" w:eastAsia="宋体" w:cs="Times New Roman"/>
                <w:szCs w:val="21"/>
                <w:highlight w:val="none"/>
              </w:rPr>
              <w:t>2019.9</w:t>
            </w:r>
          </w:p>
        </w:tc>
        <w:tc>
          <w:tcPr>
            <w:tcW w:w="2132" w:type="dxa"/>
            <w:vAlign w:val="center"/>
          </w:tcPr>
          <w:p w14:paraId="110D2D83">
            <w:pPr>
              <w:jc w:val="center"/>
              <w:rPr>
                <w:rFonts w:ascii="Times New Roman" w:hAnsi="Times New Roman" w:eastAsia="宋体" w:cs="Times New Roman"/>
                <w:szCs w:val="21"/>
                <w:highlight w:val="none"/>
              </w:rPr>
            </w:pPr>
            <w:r>
              <w:rPr>
                <w:rFonts w:ascii="Times New Roman" w:hAnsi="Times New Roman" w:eastAsia="宋体" w:cs="Times New Roman"/>
                <w:szCs w:val="21"/>
                <w:highlight w:val="none"/>
              </w:rPr>
              <w:t>Glucose(mmol/l)</w:t>
            </w:r>
          </w:p>
        </w:tc>
        <w:tc>
          <w:tcPr>
            <w:tcW w:w="976" w:type="dxa"/>
            <w:vAlign w:val="center"/>
          </w:tcPr>
          <w:p w14:paraId="4197A706">
            <w:pPr>
              <w:widowControl/>
              <w:jc w:val="center"/>
              <w:textAlignment w:val="center"/>
              <w:rPr>
                <w:rFonts w:ascii="Times New Roman" w:hAnsi="Times New Roman" w:eastAsia="宋体" w:cs="Times New Roman"/>
                <w:szCs w:val="21"/>
                <w:highlight w:val="none"/>
              </w:rPr>
            </w:pPr>
            <w:r>
              <w:rPr>
                <w:rFonts w:ascii="Times New Roman" w:hAnsi="Times New Roman" w:eastAsia="宋体" w:cs="Times New Roman"/>
                <w:color w:val="000000"/>
                <w:kern w:val="0"/>
                <w:szCs w:val="21"/>
                <w:highlight w:val="none"/>
                <w:lang w:bidi="ar"/>
              </w:rPr>
              <w:t>5.43</w:t>
            </w:r>
          </w:p>
        </w:tc>
        <w:tc>
          <w:tcPr>
            <w:tcW w:w="1117" w:type="dxa"/>
            <w:vAlign w:val="center"/>
          </w:tcPr>
          <w:p w14:paraId="71EF6000">
            <w:pPr>
              <w:widowControl/>
              <w:jc w:val="center"/>
              <w:textAlignment w:val="center"/>
              <w:rPr>
                <w:rFonts w:ascii="Times New Roman" w:hAnsi="Times New Roman" w:eastAsia="宋体" w:cs="Times New Roman"/>
                <w:szCs w:val="21"/>
                <w:highlight w:val="none"/>
              </w:rPr>
            </w:pPr>
            <w:r>
              <w:rPr>
                <w:rFonts w:ascii="Times New Roman" w:hAnsi="Times New Roman" w:eastAsia="宋体" w:cs="Times New Roman"/>
                <w:color w:val="000000"/>
                <w:kern w:val="0"/>
                <w:szCs w:val="21"/>
                <w:highlight w:val="none"/>
                <w:lang w:bidi="ar"/>
              </w:rPr>
              <w:t>11.01</w:t>
            </w:r>
          </w:p>
        </w:tc>
        <w:tc>
          <w:tcPr>
            <w:tcW w:w="988" w:type="dxa"/>
            <w:vAlign w:val="center"/>
          </w:tcPr>
          <w:p w14:paraId="0742E381">
            <w:pPr>
              <w:widowControl/>
              <w:jc w:val="center"/>
              <w:textAlignment w:val="center"/>
              <w:rPr>
                <w:rFonts w:ascii="Times New Roman" w:hAnsi="Times New Roman" w:eastAsia="宋体" w:cs="Times New Roman"/>
                <w:szCs w:val="21"/>
                <w:highlight w:val="none"/>
              </w:rPr>
            </w:pPr>
            <w:r>
              <w:rPr>
                <w:rFonts w:ascii="Times New Roman" w:hAnsi="Times New Roman" w:eastAsia="宋体" w:cs="Times New Roman"/>
                <w:color w:val="000000"/>
                <w:kern w:val="0"/>
                <w:szCs w:val="21"/>
                <w:highlight w:val="none"/>
                <w:lang w:bidi="ar"/>
              </w:rPr>
              <w:t>12.13</w:t>
            </w:r>
          </w:p>
        </w:tc>
      </w:tr>
      <w:tr w14:paraId="65631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0" w:type="dxa"/>
            <w:vAlign w:val="center"/>
          </w:tcPr>
          <w:p w14:paraId="27C60CC3">
            <w:pPr>
              <w:jc w:val="center"/>
              <w:rPr>
                <w:rFonts w:ascii="Times New Roman" w:hAnsi="Times New Roman" w:eastAsia="宋体" w:cs="Times New Roman"/>
                <w:szCs w:val="21"/>
                <w:highlight w:val="none"/>
              </w:rPr>
            </w:pPr>
          </w:p>
        </w:tc>
        <w:tc>
          <w:tcPr>
            <w:tcW w:w="2132" w:type="dxa"/>
            <w:vAlign w:val="center"/>
          </w:tcPr>
          <w:p w14:paraId="73E46F6D">
            <w:pPr>
              <w:jc w:val="center"/>
              <w:rPr>
                <w:rFonts w:ascii="Times New Roman" w:hAnsi="Times New Roman" w:eastAsia="宋体" w:cs="Times New Roman"/>
                <w:szCs w:val="21"/>
                <w:highlight w:val="none"/>
              </w:rPr>
            </w:pPr>
            <w:r>
              <w:rPr>
                <w:rFonts w:ascii="Times New Roman" w:hAnsi="Times New Roman" w:eastAsia="宋体" w:cs="Times New Roman"/>
                <w:szCs w:val="21"/>
                <w:highlight w:val="none"/>
              </w:rPr>
              <w:t>Insulin(pmol/l)</w:t>
            </w:r>
          </w:p>
        </w:tc>
        <w:tc>
          <w:tcPr>
            <w:tcW w:w="976" w:type="dxa"/>
            <w:vAlign w:val="center"/>
          </w:tcPr>
          <w:p w14:paraId="1D939998">
            <w:pPr>
              <w:widowControl/>
              <w:jc w:val="center"/>
              <w:textAlignment w:val="center"/>
              <w:rPr>
                <w:rFonts w:ascii="Times New Roman" w:hAnsi="Times New Roman" w:eastAsia="宋体" w:cs="Times New Roman"/>
                <w:szCs w:val="21"/>
                <w:highlight w:val="none"/>
              </w:rPr>
            </w:pPr>
            <w:r>
              <w:rPr>
                <w:rFonts w:ascii="Times New Roman" w:hAnsi="Times New Roman" w:eastAsia="宋体" w:cs="Times New Roman"/>
                <w:color w:val="000000"/>
                <w:kern w:val="0"/>
                <w:szCs w:val="21"/>
                <w:highlight w:val="none"/>
                <w:lang w:bidi="ar"/>
              </w:rPr>
              <w:t>22.1</w:t>
            </w:r>
          </w:p>
        </w:tc>
        <w:tc>
          <w:tcPr>
            <w:tcW w:w="1117" w:type="dxa"/>
            <w:vAlign w:val="center"/>
          </w:tcPr>
          <w:p w14:paraId="42780C66">
            <w:pPr>
              <w:widowControl/>
              <w:jc w:val="center"/>
              <w:textAlignment w:val="center"/>
              <w:rPr>
                <w:rFonts w:ascii="Times New Roman" w:hAnsi="Times New Roman" w:eastAsia="宋体" w:cs="Times New Roman"/>
                <w:szCs w:val="21"/>
                <w:highlight w:val="none"/>
              </w:rPr>
            </w:pPr>
            <w:r>
              <w:rPr>
                <w:rFonts w:ascii="Times New Roman" w:hAnsi="Times New Roman" w:eastAsia="宋体" w:cs="Times New Roman"/>
                <w:color w:val="000000"/>
                <w:kern w:val="0"/>
                <w:szCs w:val="21"/>
                <w:highlight w:val="none"/>
                <w:lang w:bidi="ar"/>
              </w:rPr>
              <w:t>122.2</w:t>
            </w:r>
          </w:p>
        </w:tc>
        <w:tc>
          <w:tcPr>
            <w:tcW w:w="988" w:type="dxa"/>
            <w:vAlign w:val="center"/>
          </w:tcPr>
          <w:p w14:paraId="12807708">
            <w:pPr>
              <w:widowControl/>
              <w:jc w:val="center"/>
              <w:textAlignment w:val="center"/>
              <w:rPr>
                <w:rFonts w:ascii="Times New Roman" w:hAnsi="Times New Roman" w:eastAsia="宋体" w:cs="Times New Roman"/>
                <w:szCs w:val="21"/>
                <w:highlight w:val="none"/>
              </w:rPr>
            </w:pPr>
            <w:r>
              <w:rPr>
                <w:rFonts w:ascii="Times New Roman" w:hAnsi="Times New Roman" w:eastAsia="宋体" w:cs="Times New Roman"/>
                <w:color w:val="000000"/>
                <w:kern w:val="0"/>
                <w:szCs w:val="21"/>
                <w:highlight w:val="none"/>
                <w:lang w:bidi="ar"/>
              </w:rPr>
              <w:t>182.6</w:t>
            </w:r>
          </w:p>
        </w:tc>
      </w:tr>
      <w:bookmarkEnd w:id="0"/>
      <w:tr w14:paraId="5BB83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0" w:type="dxa"/>
            <w:vAlign w:val="center"/>
          </w:tcPr>
          <w:p w14:paraId="2560D128">
            <w:pPr>
              <w:jc w:val="center"/>
              <w:rPr>
                <w:rFonts w:ascii="Times New Roman" w:hAnsi="Times New Roman" w:eastAsia="宋体" w:cs="Times New Roman"/>
                <w:szCs w:val="21"/>
                <w:highlight w:val="none"/>
              </w:rPr>
            </w:pPr>
          </w:p>
        </w:tc>
        <w:tc>
          <w:tcPr>
            <w:tcW w:w="2132" w:type="dxa"/>
            <w:vAlign w:val="center"/>
          </w:tcPr>
          <w:p w14:paraId="0E44B8C9">
            <w:pPr>
              <w:jc w:val="center"/>
              <w:rPr>
                <w:rFonts w:ascii="Times New Roman" w:hAnsi="Times New Roman" w:eastAsia="宋体" w:cs="Times New Roman"/>
                <w:szCs w:val="21"/>
                <w:highlight w:val="none"/>
              </w:rPr>
            </w:pPr>
            <w:r>
              <w:rPr>
                <w:rFonts w:ascii="Times New Roman" w:hAnsi="Times New Roman" w:eastAsia="宋体" w:cs="Times New Roman"/>
                <w:szCs w:val="21"/>
                <w:highlight w:val="none"/>
              </w:rPr>
              <w:t>C-peptide（pmol/l）</w:t>
            </w:r>
          </w:p>
        </w:tc>
        <w:tc>
          <w:tcPr>
            <w:tcW w:w="976" w:type="dxa"/>
            <w:vAlign w:val="center"/>
          </w:tcPr>
          <w:p w14:paraId="7D71B4E8">
            <w:pPr>
              <w:widowControl/>
              <w:jc w:val="center"/>
              <w:textAlignment w:val="center"/>
              <w:rPr>
                <w:rFonts w:ascii="Times New Roman" w:hAnsi="Times New Roman" w:eastAsia="宋体" w:cs="Times New Roman"/>
                <w:szCs w:val="21"/>
                <w:highlight w:val="none"/>
              </w:rPr>
            </w:pPr>
            <w:r>
              <w:rPr>
                <w:rFonts w:ascii="Times New Roman" w:hAnsi="Times New Roman" w:eastAsia="宋体" w:cs="Times New Roman"/>
                <w:color w:val="000000"/>
                <w:kern w:val="0"/>
                <w:szCs w:val="21"/>
                <w:highlight w:val="none"/>
                <w:lang w:bidi="ar"/>
              </w:rPr>
              <w:t>376.1</w:t>
            </w:r>
          </w:p>
        </w:tc>
        <w:tc>
          <w:tcPr>
            <w:tcW w:w="1117" w:type="dxa"/>
            <w:vAlign w:val="center"/>
          </w:tcPr>
          <w:p w14:paraId="0E3629D6">
            <w:pPr>
              <w:widowControl/>
              <w:jc w:val="center"/>
              <w:textAlignment w:val="center"/>
              <w:rPr>
                <w:rFonts w:ascii="Times New Roman" w:hAnsi="Times New Roman" w:eastAsia="宋体" w:cs="Times New Roman"/>
                <w:szCs w:val="21"/>
                <w:highlight w:val="none"/>
              </w:rPr>
            </w:pPr>
            <w:r>
              <w:rPr>
                <w:rFonts w:ascii="Times New Roman" w:hAnsi="Times New Roman" w:eastAsia="宋体" w:cs="Times New Roman"/>
                <w:color w:val="000000"/>
                <w:kern w:val="0"/>
                <w:szCs w:val="21"/>
                <w:highlight w:val="none"/>
                <w:lang w:bidi="ar"/>
              </w:rPr>
              <w:t>916</w:t>
            </w:r>
          </w:p>
        </w:tc>
        <w:tc>
          <w:tcPr>
            <w:tcW w:w="988" w:type="dxa"/>
            <w:vAlign w:val="center"/>
          </w:tcPr>
          <w:p w14:paraId="4EEFAC77">
            <w:pPr>
              <w:widowControl/>
              <w:jc w:val="center"/>
              <w:textAlignment w:val="center"/>
              <w:rPr>
                <w:rFonts w:ascii="Times New Roman" w:hAnsi="Times New Roman" w:eastAsia="宋体" w:cs="Times New Roman"/>
                <w:szCs w:val="21"/>
                <w:highlight w:val="none"/>
              </w:rPr>
            </w:pPr>
            <w:r>
              <w:rPr>
                <w:rFonts w:ascii="Times New Roman" w:hAnsi="Times New Roman" w:eastAsia="宋体" w:cs="Times New Roman"/>
                <w:color w:val="000000"/>
                <w:kern w:val="0"/>
                <w:szCs w:val="21"/>
                <w:highlight w:val="none"/>
                <w:lang w:bidi="ar"/>
              </w:rPr>
              <w:t>1610</w:t>
            </w:r>
          </w:p>
        </w:tc>
      </w:tr>
      <w:tr w14:paraId="173D1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0" w:type="dxa"/>
            <w:vAlign w:val="center"/>
          </w:tcPr>
          <w:p w14:paraId="44B4F390">
            <w:pPr>
              <w:jc w:val="center"/>
              <w:rPr>
                <w:rFonts w:ascii="Times New Roman" w:hAnsi="Times New Roman" w:eastAsia="宋体" w:cs="Times New Roman"/>
                <w:szCs w:val="21"/>
                <w:highlight w:val="none"/>
              </w:rPr>
            </w:pPr>
            <w:r>
              <w:rPr>
                <w:rFonts w:ascii="Times New Roman" w:hAnsi="Times New Roman" w:eastAsia="宋体" w:cs="Times New Roman"/>
                <w:szCs w:val="21"/>
                <w:highlight w:val="none"/>
              </w:rPr>
              <w:t>2020.7</w:t>
            </w:r>
          </w:p>
        </w:tc>
        <w:tc>
          <w:tcPr>
            <w:tcW w:w="2132" w:type="dxa"/>
            <w:vAlign w:val="center"/>
          </w:tcPr>
          <w:p w14:paraId="6CF0B4C6">
            <w:pPr>
              <w:jc w:val="center"/>
              <w:rPr>
                <w:rFonts w:ascii="Times New Roman" w:hAnsi="Times New Roman" w:eastAsia="宋体" w:cs="Times New Roman"/>
                <w:szCs w:val="21"/>
                <w:highlight w:val="none"/>
              </w:rPr>
            </w:pPr>
            <w:r>
              <w:rPr>
                <w:rFonts w:ascii="Times New Roman" w:hAnsi="Times New Roman" w:eastAsia="宋体" w:cs="Times New Roman"/>
                <w:szCs w:val="21"/>
                <w:highlight w:val="none"/>
              </w:rPr>
              <w:t>Glucose(mmol/l)</w:t>
            </w:r>
          </w:p>
        </w:tc>
        <w:tc>
          <w:tcPr>
            <w:tcW w:w="976" w:type="dxa"/>
            <w:vAlign w:val="center"/>
          </w:tcPr>
          <w:p w14:paraId="69540B7C">
            <w:pPr>
              <w:widowControl/>
              <w:jc w:val="center"/>
              <w:textAlignment w:val="center"/>
              <w:rPr>
                <w:rFonts w:ascii="Times New Roman" w:hAnsi="Times New Roman" w:eastAsia="宋体" w:cs="Times New Roman"/>
                <w:szCs w:val="21"/>
                <w:highlight w:val="none"/>
              </w:rPr>
            </w:pPr>
            <w:r>
              <w:rPr>
                <w:rFonts w:ascii="Times New Roman" w:hAnsi="Times New Roman" w:eastAsia="宋体" w:cs="Times New Roman"/>
                <w:color w:val="000000"/>
                <w:kern w:val="0"/>
                <w:szCs w:val="21"/>
                <w:highlight w:val="none"/>
                <w:lang w:bidi="ar"/>
              </w:rPr>
              <w:t>5.87</w:t>
            </w:r>
          </w:p>
        </w:tc>
        <w:tc>
          <w:tcPr>
            <w:tcW w:w="1117" w:type="dxa"/>
            <w:vAlign w:val="center"/>
          </w:tcPr>
          <w:p w14:paraId="5849821E">
            <w:pPr>
              <w:widowControl/>
              <w:jc w:val="center"/>
              <w:textAlignment w:val="center"/>
              <w:rPr>
                <w:rFonts w:ascii="Times New Roman" w:hAnsi="Times New Roman" w:eastAsia="宋体" w:cs="Times New Roman"/>
                <w:szCs w:val="21"/>
                <w:highlight w:val="none"/>
              </w:rPr>
            </w:pPr>
            <w:r>
              <w:rPr>
                <w:rFonts w:ascii="Times New Roman" w:hAnsi="Times New Roman" w:eastAsia="宋体" w:cs="Times New Roman"/>
                <w:color w:val="000000"/>
                <w:kern w:val="0"/>
                <w:szCs w:val="21"/>
                <w:highlight w:val="none"/>
                <w:lang w:bidi="ar"/>
              </w:rPr>
              <w:t>11.58</w:t>
            </w:r>
          </w:p>
        </w:tc>
        <w:tc>
          <w:tcPr>
            <w:tcW w:w="988" w:type="dxa"/>
            <w:vAlign w:val="center"/>
          </w:tcPr>
          <w:p w14:paraId="17118C39">
            <w:pPr>
              <w:widowControl/>
              <w:jc w:val="center"/>
              <w:textAlignment w:val="center"/>
              <w:rPr>
                <w:rFonts w:ascii="Times New Roman" w:hAnsi="Times New Roman" w:eastAsia="宋体" w:cs="Times New Roman"/>
                <w:szCs w:val="21"/>
                <w:highlight w:val="none"/>
              </w:rPr>
            </w:pPr>
            <w:r>
              <w:rPr>
                <w:rFonts w:ascii="Times New Roman" w:hAnsi="Times New Roman" w:eastAsia="宋体" w:cs="Times New Roman"/>
                <w:color w:val="000000"/>
                <w:kern w:val="0"/>
                <w:szCs w:val="21"/>
                <w:highlight w:val="none"/>
                <w:lang w:bidi="ar"/>
              </w:rPr>
              <w:t>13.84</w:t>
            </w:r>
          </w:p>
        </w:tc>
      </w:tr>
      <w:tr w14:paraId="4BD5C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900" w:type="dxa"/>
            <w:vAlign w:val="center"/>
          </w:tcPr>
          <w:p w14:paraId="1E0B4FC8">
            <w:pPr>
              <w:jc w:val="center"/>
              <w:rPr>
                <w:rFonts w:ascii="Times New Roman" w:hAnsi="Times New Roman" w:eastAsia="宋体" w:cs="Times New Roman"/>
                <w:szCs w:val="21"/>
                <w:highlight w:val="none"/>
              </w:rPr>
            </w:pPr>
          </w:p>
        </w:tc>
        <w:tc>
          <w:tcPr>
            <w:tcW w:w="2132" w:type="dxa"/>
            <w:vAlign w:val="center"/>
          </w:tcPr>
          <w:p w14:paraId="33007FA7">
            <w:pPr>
              <w:jc w:val="center"/>
              <w:rPr>
                <w:rFonts w:ascii="Times New Roman" w:hAnsi="Times New Roman" w:eastAsia="宋体" w:cs="Times New Roman"/>
                <w:szCs w:val="21"/>
                <w:highlight w:val="none"/>
              </w:rPr>
            </w:pPr>
            <w:r>
              <w:rPr>
                <w:rFonts w:ascii="Times New Roman" w:hAnsi="Times New Roman" w:eastAsia="宋体" w:cs="Times New Roman"/>
                <w:szCs w:val="21"/>
                <w:highlight w:val="none"/>
              </w:rPr>
              <w:t>Insulin(pmol/l)</w:t>
            </w:r>
          </w:p>
        </w:tc>
        <w:tc>
          <w:tcPr>
            <w:tcW w:w="976" w:type="dxa"/>
            <w:vAlign w:val="center"/>
          </w:tcPr>
          <w:p w14:paraId="352DF4E6">
            <w:pPr>
              <w:widowControl/>
              <w:jc w:val="center"/>
              <w:textAlignment w:val="center"/>
              <w:rPr>
                <w:rFonts w:ascii="Times New Roman" w:hAnsi="Times New Roman" w:eastAsia="宋体" w:cs="Times New Roman"/>
                <w:szCs w:val="21"/>
                <w:highlight w:val="none"/>
              </w:rPr>
            </w:pPr>
            <w:r>
              <w:rPr>
                <w:rFonts w:ascii="Times New Roman" w:hAnsi="Times New Roman" w:eastAsia="宋体" w:cs="Times New Roman"/>
                <w:color w:val="000000"/>
                <w:kern w:val="0"/>
                <w:szCs w:val="21"/>
                <w:highlight w:val="none"/>
                <w:lang w:bidi="ar"/>
              </w:rPr>
              <w:t>52.1</w:t>
            </w:r>
          </w:p>
        </w:tc>
        <w:tc>
          <w:tcPr>
            <w:tcW w:w="1117" w:type="dxa"/>
            <w:vAlign w:val="center"/>
          </w:tcPr>
          <w:p w14:paraId="3F18DD1E">
            <w:pPr>
              <w:widowControl/>
              <w:jc w:val="center"/>
              <w:textAlignment w:val="center"/>
              <w:rPr>
                <w:rFonts w:ascii="Times New Roman" w:hAnsi="Times New Roman" w:eastAsia="宋体" w:cs="Times New Roman"/>
                <w:szCs w:val="21"/>
                <w:highlight w:val="none"/>
              </w:rPr>
            </w:pPr>
            <w:r>
              <w:rPr>
                <w:rFonts w:ascii="Times New Roman" w:hAnsi="Times New Roman" w:eastAsia="宋体" w:cs="Times New Roman"/>
                <w:color w:val="000000"/>
                <w:kern w:val="0"/>
                <w:szCs w:val="21"/>
                <w:highlight w:val="none"/>
                <w:lang w:bidi="ar"/>
              </w:rPr>
              <w:t>177.2</w:t>
            </w:r>
          </w:p>
        </w:tc>
        <w:tc>
          <w:tcPr>
            <w:tcW w:w="988" w:type="dxa"/>
            <w:vAlign w:val="center"/>
          </w:tcPr>
          <w:p w14:paraId="37E79F44">
            <w:pPr>
              <w:widowControl/>
              <w:jc w:val="center"/>
              <w:textAlignment w:val="center"/>
              <w:rPr>
                <w:rFonts w:ascii="Times New Roman" w:hAnsi="Times New Roman" w:eastAsia="宋体" w:cs="Times New Roman"/>
                <w:szCs w:val="21"/>
                <w:highlight w:val="none"/>
              </w:rPr>
            </w:pPr>
            <w:r>
              <w:rPr>
                <w:rFonts w:ascii="Times New Roman" w:hAnsi="Times New Roman" w:eastAsia="宋体" w:cs="Times New Roman"/>
                <w:color w:val="000000"/>
                <w:kern w:val="0"/>
                <w:szCs w:val="21"/>
                <w:highlight w:val="none"/>
                <w:lang w:bidi="ar"/>
              </w:rPr>
              <w:t>170.2</w:t>
            </w:r>
          </w:p>
        </w:tc>
      </w:tr>
      <w:tr w14:paraId="61547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0" w:type="dxa"/>
            <w:vAlign w:val="center"/>
          </w:tcPr>
          <w:p w14:paraId="630A6CE0">
            <w:pPr>
              <w:jc w:val="center"/>
              <w:rPr>
                <w:rFonts w:ascii="Times New Roman" w:hAnsi="Times New Roman" w:eastAsia="宋体" w:cs="Times New Roman"/>
                <w:szCs w:val="21"/>
                <w:highlight w:val="none"/>
              </w:rPr>
            </w:pPr>
          </w:p>
        </w:tc>
        <w:tc>
          <w:tcPr>
            <w:tcW w:w="2132" w:type="dxa"/>
            <w:vAlign w:val="center"/>
          </w:tcPr>
          <w:p w14:paraId="21FFB59A">
            <w:pPr>
              <w:jc w:val="center"/>
              <w:rPr>
                <w:rFonts w:ascii="Times New Roman" w:hAnsi="Times New Roman" w:eastAsia="宋体" w:cs="Times New Roman"/>
                <w:szCs w:val="21"/>
                <w:highlight w:val="none"/>
              </w:rPr>
            </w:pPr>
            <w:r>
              <w:rPr>
                <w:rFonts w:ascii="Times New Roman" w:hAnsi="Times New Roman" w:eastAsia="宋体" w:cs="Times New Roman"/>
                <w:szCs w:val="21"/>
                <w:highlight w:val="none"/>
              </w:rPr>
              <w:t>C-peptide(pmol/l)</w:t>
            </w:r>
          </w:p>
        </w:tc>
        <w:tc>
          <w:tcPr>
            <w:tcW w:w="976" w:type="dxa"/>
            <w:vAlign w:val="center"/>
          </w:tcPr>
          <w:p w14:paraId="69E6A1D2">
            <w:pPr>
              <w:widowControl/>
              <w:jc w:val="center"/>
              <w:textAlignment w:val="center"/>
              <w:rPr>
                <w:rFonts w:ascii="Times New Roman" w:hAnsi="Times New Roman" w:eastAsia="宋体" w:cs="Times New Roman"/>
                <w:szCs w:val="21"/>
                <w:highlight w:val="none"/>
              </w:rPr>
            </w:pPr>
            <w:r>
              <w:rPr>
                <w:rFonts w:ascii="Times New Roman" w:hAnsi="Times New Roman" w:eastAsia="宋体" w:cs="Times New Roman"/>
                <w:color w:val="000000"/>
                <w:kern w:val="0"/>
                <w:szCs w:val="21"/>
                <w:highlight w:val="none"/>
                <w:lang w:bidi="ar"/>
              </w:rPr>
              <w:t>489.7</w:t>
            </w:r>
          </w:p>
        </w:tc>
        <w:tc>
          <w:tcPr>
            <w:tcW w:w="1117" w:type="dxa"/>
            <w:vAlign w:val="center"/>
          </w:tcPr>
          <w:p w14:paraId="4FDADD10">
            <w:pPr>
              <w:widowControl/>
              <w:jc w:val="center"/>
              <w:textAlignment w:val="center"/>
              <w:rPr>
                <w:rFonts w:ascii="Times New Roman" w:hAnsi="Times New Roman" w:eastAsia="宋体" w:cs="Times New Roman"/>
                <w:szCs w:val="21"/>
                <w:highlight w:val="none"/>
              </w:rPr>
            </w:pPr>
            <w:r>
              <w:rPr>
                <w:rFonts w:ascii="Times New Roman" w:hAnsi="Times New Roman" w:eastAsia="宋体" w:cs="Times New Roman"/>
                <w:color w:val="000000"/>
                <w:kern w:val="0"/>
                <w:szCs w:val="21"/>
                <w:highlight w:val="none"/>
                <w:lang w:bidi="ar"/>
              </w:rPr>
              <w:t>1065</w:t>
            </w:r>
          </w:p>
        </w:tc>
        <w:tc>
          <w:tcPr>
            <w:tcW w:w="988" w:type="dxa"/>
            <w:vAlign w:val="center"/>
          </w:tcPr>
          <w:p w14:paraId="1A5F9E9C">
            <w:pPr>
              <w:widowControl/>
              <w:jc w:val="center"/>
              <w:textAlignment w:val="center"/>
              <w:rPr>
                <w:rFonts w:ascii="Times New Roman" w:hAnsi="Times New Roman" w:eastAsia="宋体" w:cs="Times New Roman"/>
                <w:szCs w:val="21"/>
                <w:highlight w:val="none"/>
              </w:rPr>
            </w:pPr>
            <w:r>
              <w:rPr>
                <w:rFonts w:ascii="Times New Roman" w:hAnsi="Times New Roman" w:eastAsia="宋体" w:cs="Times New Roman"/>
                <w:color w:val="000000"/>
                <w:kern w:val="0"/>
                <w:szCs w:val="21"/>
                <w:highlight w:val="none"/>
                <w:lang w:bidi="ar"/>
              </w:rPr>
              <w:t>1572</w:t>
            </w:r>
          </w:p>
        </w:tc>
      </w:tr>
      <w:tr w14:paraId="62781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trPr>
        <w:tc>
          <w:tcPr>
            <w:tcW w:w="1900" w:type="dxa"/>
            <w:vAlign w:val="center"/>
          </w:tcPr>
          <w:p w14:paraId="00EA54F7">
            <w:pPr>
              <w:jc w:val="center"/>
              <w:rPr>
                <w:rFonts w:ascii="Times New Roman" w:hAnsi="Times New Roman" w:eastAsia="宋体" w:cs="Times New Roman"/>
                <w:szCs w:val="21"/>
                <w:highlight w:val="none"/>
              </w:rPr>
            </w:pPr>
            <w:r>
              <w:rPr>
                <w:rFonts w:ascii="Times New Roman" w:hAnsi="Times New Roman" w:eastAsia="宋体" w:cs="Times New Roman"/>
                <w:szCs w:val="21"/>
                <w:highlight w:val="none"/>
              </w:rPr>
              <w:t>2021.9</w:t>
            </w:r>
          </w:p>
        </w:tc>
        <w:tc>
          <w:tcPr>
            <w:tcW w:w="2132" w:type="dxa"/>
            <w:vAlign w:val="center"/>
          </w:tcPr>
          <w:p w14:paraId="38CA2A46">
            <w:pPr>
              <w:jc w:val="center"/>
              <w:rPr>
                <w:rFonts w:ascii="Times New Roman" w:hAnsi="Times New Roman" w:eastAsia="宋体" w:cs="Times New Roman"/>
                <w:szCs w:val="21"/>
                <w:highlight w:val="none"/>
              </w:rPr>
            </w:pPr>
            <w:r>
              <w:rPr>
                <w:rFonts w:ascii="Times New Roman" w:hAnsi="Times New Roman" w:eastAsia="宋体" w:cs="Times New Roman"/>
                <w:szCs w:val="21"/>
                <w:highlight w:val="none"/>
              </w:rPr>
              <w:t>Glucose(mmol/l)</w:t>
            </w:r>
          </w:p>
        </w:tc>
        <w:tc>
          <w:tcPr>
            <w:tcW w:w="976" w:type="dxa"/>
            <w:vAlign w:val="center"/>
          </w:tcPr>
          <w:p w14:paraId="3EC48F28">
            <w:pPr>
              <w:widowControl/>
              <w:jc w:val="center"/>
              <w:textAlignment w:val="center"/>
              <w:rPr>
                <w:rFonts w:ascii="Times New Roman" w:hAnsi="Times New Roman" w:eastAsia="宋体" w:cs="Times New Roman"/>
                <w:szCs w:val="21"/>
                <w:highlight w:val="none"/>
              </w:rPr>
            </w:pPr>
            <w:r>
              <w:rPr>
                <w:rFonts w:ascii="Times New Roman" w:hAnsi="Times New Roman" w:eastAsia="宋体" w:cs="Times New Roman"/>
                <w:color w:val="000000"/>
                <w:kern w:val="0"/>
                <w:szCs w:val="21"/>
                <w:highlight w:val="none"/>
                <w:lang w:bidi="ar"/>
              </w:rPr>
              <w:t>5.07</w:t>
            </w:r>
          </w:p>
        </w:tc>
        <w:tc>
          <w:tcPr>
            <w:tcW w:w="1117" w:type="dxa"/>
            <w:vAlign w:val="center"/>
          </w:tcPr>
          <w:p w14:paraId="15B4BAAA">
            <w:pPr>
              <w:widowControl/>
              <w:jc w:val="center"/>
              <w:textAlignment w:val="center"/>
              <w:rPr>
                <w:rFonts w:ascii="Times New Roman" w:hAnsi="Times New Roman" w:eastAsia="宋体" w:cs="Times New Roman"/>
                <w:szCs w:val="21"/>
                <w:highlight w:val="none"/>
              </w:rPr>
            </w:pPr>
            <w:r>
              <w:rPr>
                <w:rFonts w:ascii="Times New Roman" w:hAnsi="Times New Roman" w:eastAsia="宋体" w:cs="Times New Roman"/>
                <w:color w:val="000000"/>
                <w:kern w:val="0"/>
                <w:szCs w:val="21"/>
                <w:highlight w:val="none"/>
                <w:lang w:bidi="ar"/>
              </w:rPr>
              <w:t>12.56</w:t>
            </w:r>
          </w:p>
        </w:tc>
        <w:tc>
          <w:tcPr>
            <w:tcW w:w="988" w:type="dxa"/>
            <w:vAlign w:val="center"/>
          </w:tcPr>
          <w:p w14:paraId="5169CA06">
            <w:pPr>
              <w:widowControl/>
              <w:jc w:val="center"/>
              <w:textAlignment w:val="center"/>
              <w:rPr>
                <w:rFonts w:ascii="Times New Roman" w:hAnsi="Times New Roman" w:eastAsia="宋体" w:cs="Times New Roman"/>
                <w:szCs w:val="21"/>
                <w:highlight w:val="none"/>
              </w:rPr>
            </w:pPr>
            <w:r>
              <w:rPr>
                <w:rFonts w:ascii="Times New Roman" w:hAnsi="Times New Roman" w:eastAsia="宋体" w:cs="Times New Roman"/>
                <w:color w:val="000000"/>
                <w:kern w:val="0"/>
                <w:szCs w:val="21"/>
                <w:highlight w:val="none"/>
                <w:lang w:bidi="ar"/>
              </w:rPr>
              <w:t>14.75</w:t>
            </w:r>
          </w:p>
        </w:tc>
      </w:tr>
      <w:tr w14:paraId="1C71A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0" w:type="dxa"/>
            <w:vAlign w:val="center"/>
          </w:tcPr>
          <w:p w14:paraId="356A8F3D">
            <w:pPr>
              <w:jc w:val="center"/>
              <w:rPr>
                <w:rFonts w:ascii="Times New Roman" w:hAnsi="Times New Roman" w:eastAsia="宋体" w:cs="Times New Roman"/>
                <w:szCs w:val="21"/>
                <w:highlight w:val="none"/>
              </w:rPr>
            </w:pPr>
          </w:p>
        </w:tc>
        <w:tc>
          <w:tcPr>
            <w:tcW w:w="2132" w:type="dxa"/>
            <w:vAlign w:val="center"/>
          </w:tcPr>
          <w:p w14:paraId="5405F4F8">
            <w:pPr>
              <w:jc w:val="center"/>
              <w:rPr>
                <w:rFonts w:ascii="Times New Roman" w:hAnsi="Times New Roman" w:eastAsia="宋体" w:cs="Times New Roman"/>
                <w:szCs w:val="21"/>
                <w:highlight w:val="none"/>
              </w:rPr>
            </w:pPr>
            <w:r>
              <w:rPr>
                <w:rFonts w:ascii="Times New Roman" w:hAnsi="Times New Roman" w:eastAsia="宋体" w:cs="Times New Roman"/>
                <w:szCs w:val="21"/>
                <w:highlight w:val="none"/>
              </w:rPr>
              <w:t>Insulin(pmol/l)</w:t>
            </w:r>
          </w:p>
        </w:tc>
        <w:tc>
          <w:tcPr>
            <w:tcW w:w="976" w:type="dxa"/>
            <w:vAlign w:val="center"/>
          </w:tcPr>
          <w:p w14:paraId="0393B7D2">
            <w:pPr>
              <w:widowControl/>
              <w:jc w:val="center"/>
              <w:textAlignment w:val="center"/>
              <w:rPr>
                <w:rFonts w:ascii="Times New Roman" w:hAnsi="Times New Roman" w:eastAsia="宋体" w:cs="Times New Roman"/>
                <w:szCs w:val="21"/>
                <w:highlight w:val="none"/>
              </w:rPr>
            </w:pPr>
            <w:r>
              <w:rPr>
                <w:rFonts w:ascii="Times New Roman" w:hAnsi="Times New Roman" w:eastAsia="宋体" w:cs="Times New Roman"/>
                <w:color w:val="000000"/>
                <w:kern w:val="0"/>
                <w:szCs w:val="21"/>
                <w:highlight w:val="none"/>
                <w:lang w:bidi="ar"/>
              </w:rPr>
              <w:t>17</w:t>
            </w:r>
          </w:p>
        </w:tc>
        <w:tc>
          <w:tcPr>
            <w:tcW w:w="1117" w:type="dxa"/>
            <w:vAlign w:val="center"/>
          </w:tcPr>
          <w:p w14:paraId="54FFB214">
            <w:pPr>
              <w:widowControl/>
              <w:jc w:val="center"/>
              <w:textAlignment w:val="center"/>
              <w:rPr>
                <w:rFonts w:ascii="Times New Roman" w:hAnsi="Times New Roman" w:eastAsia="宋体" w:cs="Times New Roman"/>
                <w:szCs w:val="21"/>
                <w:highlight w:val="none"/>
              </w:rPr>
            </w:pPr>
            <w:r>
              <w:rPr>
                <w:rFonts w:ascii="Times New Roman" w:hAnsi="Times New Roman" w:eastAsia="宋体" w:cs="Times New Roman"/>
                <w:color w:val="000000"/>
                <w:kern w:val="0"/>
                <w:szCs w:val="21"/>
                <w:highlight w:val="none"/>
                <w:lang w:bidi="ar"/>
              </w:rPr>
              <w:t>141.4</w:t>
            </w:r>
          </w:p>
        </w:tc>
        <w:tc>
          <w:tcPr>
            <w:tcW w:w="988" w:type="dxa"/>
            <w:vAlign w:val="center"/>
          </w:tcPr>
          <w:p w14:paraId="705F8B58">
            <w:pPr>
              <w:widowControl/>
              <w:jc w:val="center"/>
              <w:textAlignment w:val="center"/>
              <w:rPr>
                <w:rFonts w:ascii="Times New Roman" w:hAnsi="Times New Roman" w:eastAsia="宋体" w:cs="Times New Roman"/>
                <w:szCs w:val="21"/>
                <w:highlight w:val="none"/>
              </w:rPr>
            </w:pPr>
            <w:r>
              <w:rPr>
                <w:rFonts w:ascii="Times New Roman" w:hAnsi="Times New Roman" w:eastAsia="宋体" w:cs="Times New Roman"/>
                <w:color w:val="000000"/>
                <w:kern w:val="0"/>
                <w:szCs w:val="21"/>
                <w:highlight w:val="none"/>
                <w:lang w:bidi="ar"/>
              </w:rPr>
              <w:t>117.2</w:t>
            </w:r>
          </w:p>
        </w:tc>
      </w:tr>
      <w:tr w14:paraId="2C779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0" w:type="dxa"/>
            <w:vAlign w:val="center"/>
          </w:tcPr>
          <w:p w14:paraId="4F03EC0C">
            <w:pPr>
              <w:jc w:val="center"/>
              <w:rPr>
                <w:rFonts w:ascii="Times New Roman" w:hAnsi="Times New Roman" w:eastAsia="宋体" w:cs="Times New Roman"/>
                <w:szCs w:val="21"/>
                <w:highlight w:val="none"/>
              </w:rPr>
            </w:pPr>
          </w:p>
        </w:tc>
        <w:tc>
          <w:tcPr>
            <w:tcW w:w="2132" w:type="dxa"/>
            <w:vAlign w:val="center"/>
          </w:tcPr>
          <w:p w14:paraId="6483596E">
            <w:pPr>
              <w:jc w:val="center"/>
              <w:rPr>
                <w:rFonts w:ascii="Times New Roman" w:hAnsi="Times New Roman" w:eastAsia="宋体" w:cs="Times New Roman"/>
                <w:szCs w:val="21"/>
                <w:highlight w:val="none"/>
              </w:rPr>
            </w:pPr>
            <w:r>
              <w:rPr>
                <w:rFonts w:ascii="Times New Roman" w:hAnsi="Times New Roman" w:eastAsia="宋体" w:cs="Times New Roman"/>
                <w:szCs w:val="21"/>
                <w:highlight w:val="none"/>
              </w:rPr>
              <w:t>C-peptide(pmol/l)</w:t>
            </w:r>
          </w:p>
        </w:tc>
        <w:tc>
          <w:tcPr>
            <w:tcW w:w="976" w:type="dxa"/>
            <w:vAlign w:val="center"/>
          </w:tcPr>
          <w:p w14:paraId="1E0ABF55">
            <w:pPr>
              <w:widowControl/>
              <w:jc w:val="center"/>
              <w:textAlignment w:val="center"/>
              <w:rPr>
                <w:rFonts w:ascii="Times New Roman" w:hAnsi="Times New Roman" w:eastAsia="宋体" w:cs="Times New Roman"/>
                <w:szCs w:val="21"/>
                <w:highlight w:val="none"/>
              </w:rPr>
            </w:pPr>
            <w:r>
              <w:rPr>
                <w:rFonts w:ascii="Times New Roman" w:hAnsi="Times New Roman" w:eastAsia="宋体" w:cs="Times New Roman"/>
                <w:color w:val="000000"/>
                <w:kern w:val="0"/>
                <w:szCs w:val="21"/>
                <w:highlight w:val="none"/>
                <w:lang w:bidi="ar"/>
              </w:rPr>
              <w:t>354</w:t>
            </w:r>
          </w:p>
        </w:tc>
        <w:tc>
          <w:tcPr>
            <w:tcW w:w="1117" w:type="dxa"/>
            <w:vAlign w:val="center"/>
          </w:tcPr>
          <w:p w14:paraId="1D5AE8B6">
            <w:pPr>
              <w:widowControl/>
              <w:jc w:val="center"/>
              <w:textAlignment w:val="center"/>
              <w:rPr>
                <w:rFonts w:ascii="Times New Roman" w:hAnsi="Times New Roman" w:eastAsia="宋体" w:cs="Times New Roman"/>
                <w:szCs w:val="21"/>
                <w:highlight w:val="none"/>
              </w:rPr>
            </w:pPr>
            <w:r>
              <w:rPr>
                <w:rFonts w:ascii="Times New Roman" w:hAnsi="Times New Roman" w:eastAsia="宋体" w:cs="Times New Roman"/>
                <w:color w:val="000000"/>
                <w:kern w:val="0"/>
                <w:szCs w:val="21"/>
                <w:highlight w:val="none"/>
                <w:lang w:bidi="ar"/>
              </w:rPr>
              <w:t>995.1</w:t>
            </w:r>
          </w:p>
        </w:tc>
        <w:tc>
          <w:tcPr>
            <w:tcW w:w="988" w:type="dxa"/>
            <w:vAlign w:val="center"/>
          </w:tcPr>
          <w:p w14:paraId="439E56DF">
            <w:pPr>
              <w:widowControl/>
              <w:jc w:val="center"/>
              <w:textAlignment w:val="center"/>
              <w:rPr>
                <w:rFonts w:ascii="Times New Roman" w:hAnsi="Times New Roman" w:eastAsia="宋体" w:cs="Times New Roman"/>
                <w:szCs w:val="21"/>
                <w:highlight w:val="none"/>
              </w:rPr>
            </w:pPr>
            <w:r>
              <w:rPr>
                <w:rFonts w:ascii="Times New Roman" w:hAnsi="Times New Roman" w:eastAsia="宋体" w:cs="Times New Roman"/>
                <w:color w:val="000000"/>
                <w:kern w:val="0"/>
                <w:szCs w:val="21"/>
                <w:highlight w:val="none"/>
                <w:lang w:bidi="ar"/>
              </w:rPr>
              <w:t>1208</w:t>
            </w:r>
          </w:p>
        </w:tc>
      </w:tr>
      <w:tr w14:paraId="63FE4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900" w:type="dxa"/>
            <w:vAlign w:val="center"/>
          </w:tcPr>
          <w:p w14:paraId="0208BE2C">
            <w:pPr>
              <w:jc w:val="center"/>
              <w:rPr>
                <w:rFonts w:ascii="Times New Roman" w:hAnsi="Times New Roman" w:eastAsia="宋体" w:cs="Times New Roman"/>
                <w:szCs w:val="21"/>
                <w:highlight w:val="none"/>
              </w:rPr>
            </w:pPr>
            <w:r>
              <w:rPr>
                <w:rFonts w:ascii="Times New Roman" w:hAnsi="Times New Roman" w:eastAsia="宋体" w:cs="Times New Roman"/>
                <w:szCs w:val="21"/>
                <w:highlight w:val="none"/>
              </w:rPr>
              <w:t>2024.6</w:t>
            </w:r>
          </w:p>
        </w:tc>
        <w:tc>
          <w:tcPr>
            <w:tcW w:w="2132" w:type="dxa"/>
            <w:vAlign w:val="center"/>
          </w:tcPr>
          <w:p w14:paraId="24743D28">
            <w:pPr>
              <w:jc w:val="center"/>
              <w:rPr>
                <w:rFonts w:ascii="Times New Roman" w:hAnsi="Times New Roman" w:eastAsia="宋体" w:cs="Times New Roman"/>
                <w:szCs w:val="21"/>
                <w:highlight w:val="none"/>
              </w:rPr>
            </w:pPr>
            <w:r>
              <w:rPr>
                <w:rFonts w:ascii="Times New Roman" w:hAnsi="Times New Roman" w:eastAsia="宋体" w:cs="Times New Roman"/>
                <w:szCs w:val="21"/>
                <w:highlight w:val="none"/>
              </w:rPr>
              <w:t>Glucose(mmol/l)</w:t>
            </w:r>
          </w:p>
        </w:tc>
        <w:tc>
          <w:tcPr>
            <w:tcW w:w="976" w:type="dxa"/>
            <w:vAlign w:val="center"/>
          </w:tcPr>
          <w:p w14:paraId="1A5AF097">
            <w:pPr>
              <w:widowControl/>
              <w:jc w:val="center"/>
              <w:textAlignment w:val="center"/>
              <w:rPr>
                <w:rFonts w:ascii="Times New Roman" w:hAnsi="Times New Roman" w:eastAsia="宋体" w:cs="Times New Roman"/>
                <w:color w:val="000000"/>
                <w:kern w:val="0"/>
                <w:szCs w:val="21"/>
                <w:highlight w:val="none"/>
                <w:lang w:bidi="ar"/>
              </w:rPr>
            </w:pPr>
            <w:r>
              <w:rPr>
                <w:rFonts w:ascii="Times New Roman" w:hAnsi="Times New Roman" w:eastAsia="宋体" w:cs="Times New Roman"/>
                <w:color w:val="000000"/>
                <w:kern w:val="0"/>
                <w:szCs w:val="21"/>
                <w:highlight w:val="none"/>
                <w:lang w:bidi="ar"/>
              </w:rPr>
              <w:t>5.16</w:t>
            </w:r>
          </w:p>
        </w:tc>
        <w:tc>
          <w:tcPr>
            <w:tcW w:w="1117" w:type="dxa"/>
            <w:vAlign w:val="center"/>
          </w:tcPr>
          <w:p w14:paraId="2DCC9F28">
            <w:pPr>
              <w:widowControl/>
              <w:jc w:val="center"/>
              <w:textAlignment w:val="center"/>
              <w:rPr>
                <w:rFonts w:ascii="Times New Roman" w:hAnsi="Times New Roman" w:eastAsia="宋体" w:cs="Times New Roman"/>
                <w:color w:val="000000"/>
                <w:kern w:val="0"/>
                <w:szCs w:val="21"/>
                <w:highlight w:val="none"/>
                <w:lang w:bidi="ar"/>
              </w:rPr>
            </w:pPr>
            <w:r>
              <w:rPr>
                <w:rFonts w:ascii="Times New Roman" w:hAnsi="Times New Roman" w:eastAsia="宋体" w:cs="Times New Roman"/>
                <w:color w:val="000000"/>
                <w:kern w:val="0"/>
                <w:szCs w:val="21"/>
                <w:highlight w:val="none"/>
                <w:lang w:bidi="ar"/>
              </w:rPr>
              <w:t>12.79</w:t>
            </w:r>
          </w:p>
        </w:tc>
        <w:tc>
          <w:tcPr>
            <w:tcW w:w="988" w:type="dxa"/>
            <w:vAlign w:val="center"/>
          </w:tcPr>
          <w:p w14:paraId="1E029441">
            <w:pPr>
              <w:widowControl/>
              <w:jc w:val="center"/>
              <w:textAlignment w:val="center"/>
              <w:rPr>
                <w:rFonts w:ascii="Times New Roman" w:hAnsi="Times New Roman" w:eastAsia="宋体" w:cs="Times New Roman"/>
                <w:color w:val="000000"/>
                <w:kern w:val="0"/>
                <w:szCs w:val="21"/>
                <w:highlight w:val="none"/>
                <w:lang w:bidi="ar"/>
              </w:rPr>
            </w:pPr>
            <w:r>
              <w:rPr>
                <w:rFonts w:ascii="Times New Roman" w:hAnsi="Times New Roman" w:eastAsia="宋体" w:cs="Times New Roman"/>
                <w:color w:val="000000"/>
                <w:kern w:val="0"/>
                <w:szCs w:val="21"/>
                <w:highlight w:val="none"/>
                <w:lang w:bidi="ar"/>
              </w:rPr>
              <w:t>13.4</w:t>
            </w:r>
          </w:p>
        </w:tc>
      </w:tr>
      <w:tr w14:paraId="29C81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0" w:type="dxa"/>
            <w:vAlign w:val="center"/>
          </w:tcPr>
          <w:p w14:paraId="2D5561DA">
            <w:pPr>
              <w:jc w:val="center"/>
              <w:rPr>
                <w:rFonts w:ascii="Times New Roman" w:hAnsi="Times New Roman" w:eastAsia="宋体" w:cs="Times New Roman"/>
                <w:szCs w:val="21"/>
                <w:highlight w:val="none"/>
              </w:rPr>
            </w:pPr>
          </w:p>
        </w:tc>
        <w:tc>
          <w:tcPr>
            <w:tcW w:w="2132" w:type="dxa"/>
            <w:vAlign w:val="center"/>
          </w:tcPr>
          <w:p w14:paraId="3F97B931">
            <w:pPr>
              <w:jc w:val="center"/>
              <w:rPr>
                <w:rFonts w:ascii="Times New Roman" w:hAnsi="Times New Roman" w:eastAsia="宋体" w:cs="Times New Roman"/>
                <w:szCs w:val="21"/>
                <w:highlight w:val="none"/>
              </w:rPr>
            </w:pPr>
            <w:r>
              <w:rPr>
                <w:rFonts w:ascii="Times New Roman" w:hAnsi="Times New Roman" w:eastAsia="宋体" w:cs="Times New Roman"/>
                <w:szCs w:val="21"/>
                <w:highlight w:val="none"/>
              </w:rPr>
              <w:t>Insulin(pmol/l)</w:t>
            </w:r>
          </w:p>
        </w:tc>
        <w:tc>
          <w:tcPr>
            <w:tcW w:w="976" w:type="dxa"/>
            <w:vAlign w:val="center"/>
          </w:tcPr>
          <w:p w14:paraId="3AA87434">
            <w:pPr>
              <w:widowControl/>
              <w:jc w:val="center"/>
              <w:textAlignment w:val="center"/>
              <w:rPr>
                <w:rFonts w:ascii="Times New Roman" w:hAnsi="Times New Roman" w:eastAsia="宋体" w:cs="Times New Roman"/>
                <w:color w:val="000000"/>
                <w:kern w:val="0"/>
                <w:szCs w:val="21"/>
                <w:highlight w:val="none"/>
                <w:lang w:bidi="ar"/>
              </w:rPr>
            </w:pPr>
            <w:r>
              <w:rPr>
                <w:rFonts w:ascii="Times New Roman" w:hAnsi="Times New Roman" w:eastAsia="宋体" w:cs="Times New Roman"/>
                <w:color w:val="000000"/>
                <w:kern w:val="0"/>
                <w:szCs w:val="21"/>
                <w:highlight w:val="none"/>
                <w:lang w:bidi="ar"/>
              </w:rPr>
              <w:t>18.6</w:t>
            </w:r>
          </w:p>
        </w:tc>
        <w:tc>
          <w:tcPr>
            <w:tcW w:w="1117" w:type="dxa"/>
            <w:vAlign w:val="center"/>
          </w:tcPr>
          <w:p w14:paraId="6B7EBBD7">
            <w:pPr>
              <w:widowControl/>
              <w:jc w:val="center"/>
              <w:textAlignment w:val="center"/>
              <w:rPr>
                <w:rFonts w:ascii="Times New Roman" w:hAnsi="Times New Roman" w:eastAsia="宋体" w:cs="Times New Roman"/>
                <w:color w:val="000000"/>
                <w:kern w:val="0"/>
                <w:szCs w:val="21"/>
                <w:highlight w:val="none"/>
                <w:lang w:bidi="ar"/>
              </w:rPr>
            </w:pPr>
            <w:r>
              <w:rPr>
                <w:rFonts w:ascii="Times New Roman" w:hAnsi="Times New Roman" w:eastAsia="宋体" w:cs="Times New Roman"/>
                <w:color w:val="000000"/>
                <w:kern w:val="0"/>
                <w:szCs w:val="21"/>
                <w:highlight w:val="none"/>
                <w:lang w:bidi="ar"/>
              </w:rPr>
              <w:t>142.8</w:t>
            </w:r>
          </w:p>
        </w:tc>
        <w:tc>
          <w:tcPr>
            <w:tcW w:w="988" w:type="dxa"/>
            <w:vAlign w:val="center"/>
          </w:tcPr>
          <w:p w14:paraId="77F915D9">
            <w:pPr>
              <w:widowControl/>
              <w:jc w:val="center"/>
              <w:textAlignment w:val="center"/>
              <w:rPr>
                <w:rFonts w:ascii="Times New Roman" w:hAnsi="Times New Roman" w:eastAsia="宋体" w:cs="Times New Roman"/>
                <w:color w:val="000000"/>
                <w:kern w:val="0"/>
                <w:szCs w:val="21"/>
                <w:highlight w:val="none"/>
                <w:lang w:bidi="ar"/>
              </w:rPr>
            </w:pPr>
            <w:r>
              <w:rPr>
                <w:rFonts w:ascii="Times New Roman" w:hAnsi="Times New Roman" w:eastAsia="宋体" w:cs="Times New Roman"/>
                <w:color w:val="000000"/>
                <w:kern w:val="0"/>
                <w:szCs w:val="21"/>
                <w:highlight w:val="none"/>
                <w:lang w:bidi="ar"/>
              </w:rPr>
              <w:t>107.9</w:t>
            </w:r>
          </w:p>
        </w:tc>
      </w:tr>
      <w:tr w14:paraId="56E5C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0" w:type="dxa"/>
            <w:vAlign w:val="center"/>
          </w:tcPr>
          <w:p w14:paraId="7B5A1C31">
            <w:pPr>
              <w:jc w:val="center"/>
              <w:rPr>
                <w:rFonts w:ascii="Times New Roman" w:hAnsi="Times New Roman" w:eastAsia="宋体" w:cs="Times New Roman"/>
                <w:szCs w:val="21"/>
                <w:highlight w:val="none"/>
              </w:rPr>
            </w:pPr>
          </w:p>
        </w:tc>
        <w:tc>
          <w:tcPr>
            <w:tcW w:w="2132" w:type="dxa"/>
            <w:vAlign w:val="center"/>
          </w:tcPr>
          <w:p w14:paraId="4AF86C8D">
            <w:pPr>
              <w:jc w:val="center"/>
              <w:rPr>
                <w:rFonts w:ascii="Times New Roman" w:hAnsi="Times New Roman" w:eastAsia="宋体" w:cs="Times New Roman"/>
                <w:szCs w:val="21"/>
                <w:highlight w:val="none"/>
              </w:rPr>
            </w:pPr>
            <w:r>
              <w:rPr>
                <w:rFonts w:ascii="Times New Roman" w:hAnsi="Times New Roman" w:eastAsia="宋体" w:cs="Times New Roman"/>
                <w:szCs w:val="21"/>
                <w:highlight w:val="none"/>
              </w:rPr>
              <w:t>C-peptide(pmol/l)</w:t>
            </w:r>
          </w:p>
        </w:tc>
        <w:tc>
          <w:tcPr>
            <w:tcW w:w="976" w:type="dxa"/>
            <w:vAlign w:val="center"/>
          </w:tcPr>
          <w:p w14:paraId="376934AA">
            <w:pPr>
              <w:widowControl/>
              <w:jc w:val="center"/>
              <w:textAlignment w:val="center"/>
              <w:rPr>
                <w:rFonts w:ascii="Times New Roman" w:hAnsi="Times New Roman" w:eastAsia="宋体" w:cs="Times New Roman"/>
                <w:color w:val="000000"/>
                <w:kern w:val="0"/>
                <w:szCs w:val="21"/>
                <w:highlight w:val="none"/>
                <w:lang w:bidi="ar"/>
              </w:rPr>
            </w:pPr>
            <w:r>
              <w:rPr>
                <w:rFonts w:ascii="Times New Roman" w:hAnsi="Times New Roman" w:eastAsia="宋体" w:cs="Times New Roman"/>
                <w:color w:val="000000"/>
                <w:kern w:val="0"/>
                <w:szCs w:val="21"/>
                <w:highlight w:val="none"/>
                <w:lang w:bidi="ar"/>
              </w:rPr>
              <w:t>433.8</w:t>
            </w:r>
          </w:p>
        </w:tc>
        <w:tc>
          <w:tcPr>
            <w:tcW w:w="1117" w:type="dxa"/>
            <w:vAlign w:val="center"/>
          </w:tcPr>
          <w:p w14:paraId="5A16369F">
            <w:pPr>
              <w:widowControl/>
              <w:jc w:val="center"/>
              <w:textAlignment w:val="center"/>
              <w:rPr>
                <w:rFonts w:ascii="Times New Roman" w:hAnsi="Times New Roman" w:eastAsia="宋体" w:cs="Times New Roman"/>
                <w:color w:val="000000"/>
                <w:kern w:val="0"/>
                <w:szCs w:val="21"/>
                <w:highlight w:val="none"/>
                <w:lang w:bidi="ar"/>
              </w:rPr>
            </w:pPr>
            <w:r>
              <w:rPr>
                <w:rFonts w:ascii="Times New Roman" w:hAnsi="Times New Roman" w:eastAsia="宋体" w:cs="Times New Roman"/>
                <w:color w:val="000000"/>
                <w:kern w:val="0"/>
                <w:szCs w:val="21"/>
                <w:highlight w:val="none"/>
                <w:lang w:bidi="ar"/>
              </w:rPr>
              <w:t>1134</w:t>
            </w:r>
          </w:p>
        </w:tc>
        <w:tc>
          <w:tcPr>
            <w:tcW w:w="988" w:type="dxa"/>
            <w:vAlign w:val="center"/>
          </w:tcPr>
          <w:p w14:paraId="213A5BF0">
            <w:pPr>
              <w:widowControl/>
              <w:jc w:val="center"/>
              <w:textAlignment w:val="center"/>
              <w:rPr>
                <w:rFonts w:ascii="Times New Roman" w:hAnsi="Times New Roman" w:eastAsia="宋体" w:cs="Times New Roman"/>
                <w:color w:val="000000"/>
                <w:kern w:val="0"/>
                <w:szCs w:val="21"/>
                <w:highlight w:val="none"/>
                <w:lang w:bidi="ar"/>
              </w:rPr>
            </w:pPr>
            <w:r>
              <w:rPr>
                <w:rFonts w:ascii="Times New Roman" w:hAnsi="Times New Roman" w:eastAsia="宋体" w:cs="Times New Roman"/>
                <w:color w:val="000000"/>
                <w:kern w:val="0"/>
                <w:szCs w:val="21"/>
                <w:highlight w:val="none"/>
                <w:lang w:bidi="ar"/>
              </w:rPr>
              <w:t>1554</w:t>
            </w:r>
          </w:p>
        </w:tc>
      </w:tr>
    </w:tbl>
    <w:p w14:paraId="077DCCF5">
      <w:pPr>
        <w:spacing w:line="360" w:lineRule="auto"/>
        <w:rPr>
          <w:rFonts w:ascii="Times New Roman" w:hAnsi="Times New Roman" w:cs="Times New Roman"/>
          <w:sz w:val="24"/>
          <w:highlight w:val="none"/>
        </w:rPr>
        <w:sectPr>
          <w:pgSz w:w="11906" w:h="16838"/>
          <w:pgMar w:top="1440" w:right="1800" w:bottom="1440" w:left="1800" w:header="851" w:footer="992" w:gutter="0"/>
          <w:cols w:space="425" w:num="1"/>
          <w:docGrid w:type="lines" w:linePitch="312" w:charSpace="0"/>
        </w:sectPr>
      </w:pPr>
    </w:p>
    <w:p w14:paraId="5E4B51CF">
      <w:pPr>
        <w:spacing w:line="360" w:lineRule="auto"/>
        <w:rPr>
          <w:rFonts w:ascii="Times New Roman" w:hAnsi="Times New Roman" w:eastAsia="宋体" w:cs="Times New Roman"/>
          <w:sz w:val="24"/>
          <w:highlight w:val="none"/>
        </w:rPr>
      </w:pPr>
    </w:p>
    <w:p w14:paraId="0A8E63DE">
      <w:pPr>
        <w:spacing w:line="480" w:lineRule="auto"/>
        <w:jc w:val="left"/>
        <w:rPr>
          <w:rFonts w:ascii="Times New Roman" w:hAnsi="Times New Roman" w:eastAsia="宋体" w:cs="Times New Roman"/>
          <w:b/>
          <w:bCs/>
          <w:szCs w:val="21"/>
          <w:highlight w:val="none"/>
        </w:rPr>
      </w:pPr>
      <w:r>
        <w:rPr>
          <w:rFonts w:ascii="Times New Roman" w:hAnsi="Times New Roman" w:eastAsia="宋体" w:cs="Times New Roman"/>
          <w:b/>
          <w:bCs/>
          <w:szCs w:val="21"/>
          <w:highlight w:val="none"/>
        </w:rPr>
        <w:t>Table 3: The beta-cell function of the family members who carry the same WFS1 mutation.</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6"/>
        <w:gridCol w:w="2045"/>
        <w:gridCol w:w="1128"/>
        <w:gridCol w:w="1132"/>
        <w:gridCol w:w="1140"/>
      </w:tblGrid>
      <w:tr w14:paraId="2E7C2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6" w:type="dxa"/>
          </w:tcPr>
          <w:p w14:paraId="139A042F">
            <w:pPr>
              <w:jc w:val="center"/>
              <w:rPr>
                <w:rFonts w:ascii="Times New Roman" w:hAnsi="Times New Roman" w:eastAsia="宋体" w:cs="Times New Roman"/>
                <w:szCs w:val="21"/>
                <w:highlight w:val="none"/>
              </w:rPr>
            </w:pPr>
            <w:r>
              <w:rPr>
                <w:rFonts w:ascii="Times New Roman" w:hAnsi="Times New Roman" w:eastAsia="宋体" w:cs="Times New Roman"/>
                <w:szCs w:val="21"/>
                <w:highlight w:val="none"/>
              </w:rPr>
              <w:t>Family members</w:t>
            </w:r>
          </w:p>
        </w:tc>
        <w:tc>
          <w:tcPr>
            <w:tcW w:w="2045" w:type="dxa"/>
          </w:tcPr>
          <w:p w14:paraId="169F2BF6">
            <w:pPr>
              <w:jc w:val="center"/>
              <w:rPr>
                <w:rFonts w:ascii="Times New Roman" w:hAnsi="Times New Roman" w:eastAsia="宋体" w:cs="Times New Roman"/>
                <w:szCs w:val="21"/>
                <w:highlight w:val="none"/>
              </w:rPr>
            </w:pPr>
          </w:p>
        </w:tc>
        <w:tc>
          <w:tcPr>
            <w:tcW w:w="1128" w:type="dxa"/>
          </w:tcPr>
          <w:p w14:paraId="73662846">
            <w:pPr>
              <w:jc w:val="center"/>
              <w:rPr>
                <w:rFonts w:ascii="Times New Roman" w:hAnsi="Times New Roman" w:eastAsia="宋体" w:cs="Times New Roman"/>
                <w:szCs w:val="21"/>
                <w:highlight w:val="none"/>
              </w:rPr>
            </w:pPr>
            <w:r>
              <w:rPr>
                <w:rFonts w:ascii="Times New Roman" w:hAnsi="Times New Roman" w:eastAsia="宋体" w:cs="Times New Roman"/>
                <w:szCs w:val="21"/>
                <w:highlight w:val="none"/>
              </w:rPr>
              <w:t>0min</w:t>
            </w:r>
          </w:p>
        </w:tc>
        <w:tc>
          <w:tcPr>
            <w:tcW w:w="1132" w:type="dxa"/>
          </w:tcPr>
          <w:p w14:paraId="3123F034">
            <w:pPr>
              <w:jc w:val="center"/>
              <w:rPr>
                <w:rFonts w:ascii="Times New Roman" w:hAnsi="Times New Roman" w:eastAsia="宋体" w:cs="Times New Roman"/>
                <w:szCs w:val="21"/>
                <w:highlight w:val="none"/>
              </w:rPr>
            </w:pPr>
            <w:r>
              <w:rPr>
                <w:rFonts w:ascii="Times New Roman" w:hAnsi="Times New Roman" w:eastAsia="宋体" w:cs="Times New Roman"/>
                <w:szCs w:val="21"/>
                <w:highlight w:val="none"/>
              </w:rPr>
              <w:t>60min</w:t>
            </w:r>
          </w:p>
        </w:tc>
        <w:tc>
          <w:tcPr>
            <w:tcW w:w="1140" w:type="dxa"/>
          </w:tcPr>
          <w:p w14:paraId="4AC2CE96">
            <w:pPr>
              <w:jc w:val="center"/>
              <w:rPr>
                <w:rFonts w:ascii="Times New Roman" w:hAnsi="Times New Roman" w:eastAsia="宋体" w:cs="Times New Roman"/>
                <w:szCs w:val="21"/>
                <w:highlight w:val="none"/>
              </w:rPr>
            </w:pPr>
            <w:r>
              <w:rPr>
                <w:rFonts w:ascii="Times New Roman" w:hAnsi="Times New Roman" w:eastAsia="宋体" w:cs="Times New Roman"/>
                <w:szCs w:val="21"/>
                <w:highlight w:val="none"/>
              </w:rPr>
              <w:t>120min</w:t>
            </w:r>
          </w:p>
        </w:tc>
      </w:tr>
      <w:tr w14:paraId="67A49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6" w:type="dxa"/>
          </w:tcPr>
          <w:p w14:paraId="6BD2B7A9">
            <w:pPr>
              <w:jc w:val="center"/>
              <w:rPr>
                <w:rFonts w:ascii="Times New Roman" w:hAnsi="Times New Roman" w:eastAsia="宋体" w:cs="Times New Roman"/>
                <w:szCs w:val="21"/>
                <w:highlight w:val="none"/>
              </w:rPr>
            </w:pPr>
            <w:r>
              <w:rPr>
                <w:rFonts w:ascii="Times New Roman" w:hAnsi="Times New Roman" w:eastAsia="宋体" w:cs="Times New Roman"/>
                <w:szCs w:val="21"/>
                <w:highlight w:val="none"/>
              </w:rPr>
              <w:t>II-2</w:t>
            </w:r>
          </w:p>
        </w:tc>
        <w:tc>
          <w:tcPr>
            <w:tcW w:w="2045" w:type="dxa"/>
          </w:tcPr>
          <w:p w14:paraId="0DDCCAA1">
            <w:pPr>
              <w:jc w:val="center"/>
              <w:rPr>
                <w:rFonts w:ascii="Times New Roman" w:hAnsi="Times New Roman" w:eastAsia="宋体" w:cs="Times New Roman"/>
                <w:szCs w:val="21"/>
                <w:highlight w:val="none"/>
              </w:rPr>
            </w:pPr>
            <w:r>
              <w:rPr>
                <w:rFonts w:ascii="Times New Roman" w:hAnsi="Times New Roman" w:eastAsia="宋体" w:cs="Times New Roman"/>
                <w:szCs w:val="21"/>
                <w:highlight w:val="none"/>
              </w:rPr>
              <w:t>Glucose(mmol/l)</w:t>
            </w:r>
          </w:p>
        </w:tc>
        <w:tc>
          <w:tcPr>
            <w:tcW w:w="1128" w:type="dxa"/>
          </w:tcPr>
          <w:p w14:paraId="6A563C41">
            <w:pPr>
              <w:jc w:val="center"/>
              <w:rPr>
                <w:rFonts w:ascii="Times New Roman" w:hAnsi="Times New Roman" w:eastAsia="宋体" w:cs="Times New Roman"/>
                <w:szCs w:val="21"/>
                <w:highlight w:val="none"/>
              </w:rPr>
            </w:pPr>
            <w:r>
              <w:rPr>
                <w:rFonts w:ascii="Times New Roman" w:hAnsi="Times New Roman" w:eastAsia="宋体" w:cs="Times New Roman"/>
                <w:szCs w:val="21"/>
                <w:highlight w:val="none"/>
              </w:rPr>
              <w:t>7.11</w:t>
            </w:r>
          </w:p>
        </w:tc>
        <w:tc>
          <w:tcPr>
            <w:tcW w:w="1132" w:type="dxa"/>
          </w:tcPr>
          <w:p w14:paraId="09528B8B">
            <w:pPr>
              <w:jc w:val="center"/>
              <w:rPr>
                <w:rFonts w:ascii="Times New Roman" w:hAnsi="Times New Roman" w:eastAsia="宋体" w:cs="Times New Roman"/>
                <w:szCs w:val="21"/>
                <w:highlight w:val="none"/>
              </w:rPr>
            </w:pPr>
            <w:r>
              <w:rPr>
                <w:rFonts w:ascii="Times New Roman" w:hAnsi="Times New Roman" w:eastAsia="宋体" w:cs="Times New Roman"/>
                <w:szCs w:val="21"/>
                <w:highlight w:val="none"/>
              </w:rPr>
              <w:t>12.41</w:t>
            </w:r>
          </w:p>
        </w:tc>
        <w:tc>
          <w:tcPr>
            <w:tcW w:w="1140" w:type="dxa"/>
          </w:tcPr>
          <w:p w14:paraId="3EC005A0">
            <w:pPr>
              <w:jc w:val="center"/>
              <w:rPr>
                <w:rFonts w:ascii="Times New Roman" w:hAnsi="Times New Roman" w:eastAsia="宋体" w:cs="Times New Roman"/>
                <w:szCs w:val="21"/>
                <w:highlight w:val="none"/>
              </w:rPr>
            </w:pPr>
            <w:r>
              <w:rPr>
                <w:rFonts w:ascii="Times New Roman" w:hAnsi="Times New Roman" w:eastAsia="宋体" w:cs="Times New Roman"/>
                <w:szCs w:val="21"/>
                <w:highlight w:val="none"/>
              </w:rPr>
              <w:t>12.11</w:t>
            </w:r>
          </w:p>
        </w:tc>
      </w:tr>
      <w:tr w14:paraId="583D6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6" w:type="dxa"/>
          </w:tcPr>
          <w:p w14:paraId="2F936959">
            <w:pPr>
              <w:jc w:val="center"/>
              <w:rPr>
                <w:rFonts w:ascii="Times New Roman" w:hAnsi="Times New Roman" w:eastAsia="宋体" w:cs="Times New Roman"/>
                <w:szCs w:val="21"/>
                <w:highlight w:val="none"/>
              </w:rPr>
            </w:pPr>
          </w:p>
        </w:tc>
        <w:tc>
          <w:tcPr>
            <w:tcW w:w="2045" w:type="dxa"/>
          </w:tcPr>
          <w:p w14:paraId="453D42D0">
            <w:pPr>
              <w:jc w:val="center"/>
              <w:rPr>
                <w:rFonts w:ascii="Times New Roman" w:hAnsi="Times New Roman" w:eastAsia="宋体" w:cs="Times New Roman"/>
                <w:szCs w:val="21"/>
                <w:highlight w:val="none"/>
              </w:rPr>
            </w:pPr>
            <w:r>
              <w:rPr>
                <w:rFonts w:ascii="Times New Roman" w:hAnsi="Times New Roman" w:eastAsia="宋体" w:cs="Times New Roman"/>
                <w:szCs w:val="21"/>
                <w:highlight w:val="none"/>
              </w:rPr>
              <w:t>Insulin(pmol/l)</w:t>
            </w:r>
          </w:p>
        </w:tc>
        <w:tc>
          <w:tcPr>
            <w:tcW w:w="1128" w:type="dxa"/>
          </w:tcPr>
          <w:p w14:paraId="5A390A57">
            <w:pPr>
              <w:jc w:val="center"/>
              <w:rPr>
                <w:rFonts w:ascii="Times New Roman" w:hAnsi="Times New Roman" w:eastAsia="宋体" w:cs="Times New Roman"/>
                <w:szCs w:val="21"/>
                <w:highlight w:val="none"/>
              </w:rPr>
            </w:pPr>
            <w:r>
              <w:rPr>
                <w:rFonts w:ascii="Times New Roman" w:hAnsi="Times New Roman" w:eastAsia="宋体" w:cs="Times New Roman"/>
                <w:szCs w:val="21"/>
                <w:highlight w:val="none"/>
              </w:rPr>
              <w:t>20.2</w:t>
            </w:r>
          </w:p>
        </w:tc>
        <w:tc>
          <w:tcPr>
            <w:tcW w:w="1132" w:type="dxa"/>
          </w:tcPr>
          <w:p w14:paraId="594E9135">
            <w:pPr>
              <w:jc w:val="center"/>
              <w:rPr>
                <w:rFonts w:ascii="Times New Roman" w:hAnsi="Times New Roman" w:eastAsia="宋体" w:cs="Times New Roman"/>
                <w:szCs w:val="21"/>
                <w:highlight w:val="none"/>
              </w:rPr>
            </w:pPr>
            <w:r>
              <w:rPr>
                <w:rFonts w:ascii="Times New Roman" w:hAnsi="Times New Roman" w:eastAsia="宋体" w:cs="Times New Roman"/>
                <w:szCs w:val="21"/>
                <w:highlight w:val="none"/>
              </w:rPr>
              <w:t>131.7</w:t>
            </w:r>
          </w:p>
        </w:tc>
        <w:tc>
          <w:tcPr>
            <w:tcW w:w="1140" w:type="dxa"/>
          </w:tcPr>
          <w:p w14:paraId="362583C8">
            <w:pPr>
              <w:jc w:val="center"/>
              <w:rPr>
                <w:rFonts w:ascii="Times New Roman" w:hAnsi="Times New Roman" w:eastAsia="宋体" w:cs="Times New Roman"/>
                <w:szCs w:val="21"/>
                <w:highlight w:val="none"/>
              </w:rPr>
            </w:pPr>
            <w:r>
              <w:rPr>
                <w:rFonts w:ascii="Times New Roman" w:hAnsi="Times New Roman" w:eastAsia="宋体" w:cs="Times New Roman"/>
                <w:szCs w:val="21"/>
                <w:highlight w:val="none"/>
              </w:rPr>
              <w:t>195.5</w:t>
            </w:r>
          </w:p>
        </w:tc>
      </w:tr>
      <w:tr w14:paraId="7C9FC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6" w:type="dxa"/>
          </w:tcPr>
          <w:p w14:paraId="47BA16A9">
            <w:pPr>
              <w:jc w:val="center"/>
              <w:rPr>
                <w:rFonts w:ascii="Times New Roman" w:hAnsi="Times New Roman" w:eastAsia="宋体" w:cs="Times New Roman"/>
                <w:szCs w:val="21"/>
                <w:highlight w:val="none"/>
              </w:rPr>
            </w:pPr>
          </w:p>
        </w:tc>
        <w:tc>
          <w:tcPr>
            <w:tcW w:w="2045" w:type="dxa"/>
          </w:tcPr>
          <w:p w14:paraId="490433B3">
            <w:pPr>
              <w:jc w:val="center"/>
              <w:rPr>
                <w:rFonts w:ascii="Times New Roman" w:hAnsi="Times New Roman" w:eastAsia="宋体" w:cs="Times New Roman"/>
                <w:szCs w:val="21"/>
                <w:highlight w:val="none"/>
              </w:rPr>
            </w:pPr>
            <w:r>
              <w:rPr>
                <w:rFonts w:ascii="Times New Roman" w:hAnsi="Times New Roman" w:eastAsia="宋体" w:cs="Times New Roman"/>
                <w:szCs w:val="21"/>
                <w:highlight w:val="none"/>
              </w:rPr>
              <w:t>C-peptide(pmol/l)</w:t>
            </w:r>
          </w:p>
        </w:tc>
        <w:tc>
          <w:tcPr>
            <w:tcW w:w="1128" w:type="dxa"/>
          </w:tcPr>
          <w:p w14:paraId="41403FDB">
            <w:pPr>
              <w:jc w:val="center"/>
              <w:rPr>
                <w:rFonts w:ascii="Times New Roman" w:hAnsi="Times New Roman" w:eastAsia="宋体" w:cs="Times New Roman"/>
                <w:szCs w:val="21"/>
                <w:highlight w:val="none"/>
              </w:rPr>
            </w:pPr>
            <w:r>
              <w:rPr>
                <w:rFonts w:ascii="Times New Roman" w:hAnsi="Times New Roman" w:eastAsia="宋体" w:cs="Times New Roman"/>
                <w:szCs w:val="21"/>
                <w:highlight w:val="none"/>
              </w:rPr>
              <w:t>424.4</w:t>
            </w:r>
          </w:p>
        </w:tc>
        <w:tc>
          <w:tcPr>
            <w:tcW w:w="1132" w:type="dxa"/>
          </w:tcPr>
          <w:p w14:paraId="58DE88A0">
            <w:pPr>
              <w:jc w:val="center"/>
              <w:rPr>
                <w:rFonts w:ascii="Times New Roman" w:hAnsi="Times New Roman" w:eastAsia="宋体" w:cs="Times New Roman"/>
                <w:szCs w:val="21"/>
                <w:highlight w:val="none"/>
              </w:rPr>
            </w:pPr>
            <w:r>
              <w:rPr>
                <w:rFonts w:ascii="Times New Roman" w:hAnsi="Times New Roman" w:eastAsia="宋体" w:cs="Times New Roman"/>
                <w:szCs w:val="21"/>
                <w:highlight w:val="none"/>
              </w:rPr>
              <w:t>1167</w:t>
            </w:r>
          </w:p>
        </w:tc>
        <w:tc>
          <w:tcPr>
            <w:tcW w:w="1140" w:type="dxa"/>
          </w:tcPr>
          <w:p w14:paraId="6C2C5AAF">
            <w:pPr>
              <w:jc w:val="center"/>
              <w:rPr>
                <w:rFonts w:ascii="Times New Roman" w:hAnsi="Times New Roman" w:eastAsia="宋体" w:cs="Times New Roman"/>
                <w:szCs w:val="21"/>
                <w:highlight w:val="none"/>
              </w:rPr>
            </w:pPr>
            <w:r>
              <w:rPr>
                <w:rFonts w:ascii="Times New Roman" w:hAnsi="Times New Roman" w:eastAsia="宋体" w:cs="Times New Roman"/>
                <w:szCs w:val="21"/>
                <w:highlight w:val="none"/>
              </w:rPr>
              <w:t>2141</w:t>
            </w:r>
          </w:p>
        </w:tc>
      </w:tr>
      <w:tr w14:paraId="2850F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6" w:type="dxa"/>
          </w:tcPr>
          <w:p w14:paraId="19E393FB">
            <w:pPr>
              <w:jc w:val="center"/>
              <w:rPr>
                <w:rFonts w:ascii="Times New Roman" w:hAnsi="Times New Roman" w:eastAsia="宋体" w:cs="Times New Roman"/>
                <w:szCs w:val="21"/>
                <w:highlight w:val="none"/>
              </w:rPr>
            </w:pPr>
            <w:r>
              <w:rPr>
                <w:rFonts w:ascii="Times New Roman" w:hAnsi="Times New Roman" w:eastAsia="宋体" w:cs="Times New Roman"/>
                <w:szCs w:val="21"/>
                <w:highlight w:val="none"/>
              </w:rPr>
              <w:t>II-3</w:t>
            </w:r>
          </w:p>
        </w:tc>
        <w:tc>
          <w:tcPr>
            <w:tcW w:w="2045" w:type="dxa"/>
          </w:tcPr>
          <w:p w14:paraId="4AB0D2A2">
            <w:pPr>
              <w:jc w:val="center"/>
              <w:rPr>
                <w:rFonts w:ascii="Times New Roman" w:hAnsi="Times New Roman" w:eastAsia="宋体" w:cs="Times New Roman"/>
                <w:szCs w:val="21"/>
                <w:highlight w:val="none"/>
              </w:rPr>
            </w:pPr>
            <w:r>
              <w:rPr>
                <w:rFonts w:ascii="Times New Roman" w:hAnsi="Times New Roman" w:eastAsia="宋体" w:cs="Times New Roman"/>
                <w:szCs w:val="21"/>
                <w:highlight w:val="none"/>
              </w:rPr>
              <w:t>Glucose(mmol/l)</w:t>
            </w:r>
          </w:p>
        </w:tc>
        <w:tc>
          <w:tcPr>
            <w:tcW w:w="1128" w:type="dxa"/>
          </w:tcPr>
          <w:p w14:paraId="7C8D7181">
            <w:pPr>
              <w:jc w:val="center"/>
              <w:rPr>
                <w:rFonts w:ascii="Times New Roman" w:hAnsi="Times New Roman" w:eastAsia="宋体" w:cs="Times New Roman"/>
                <w:szCs w:val="21"/>
                <w:highlight w:val="none"/>
              </w:rPr>
            </w:pPr>
            <w:r>
              <w:rPr>
                <w:rFonts w:ascii="Times New Roman" w:hAnsi="Times New Roman" w:eastAsia="宋体" w:cs="Times New Roman"/>
                <w:szCs w:val="21"/>
                <w:highlight w:val="none"/>
              </w:rPr>
              <w:t>6.00</w:t>
            </w:r>
          </w:p>
        </w:tc>
        <w:tc>
          <w:tcPr>
            <w:tcW w:w="1132" w:type="dxa"/>
          </w:tcPr>
          <w:p w14:paraId="59486E34">
            <w:pPr>
              <w:jc w:val="center"/>
              <w:rPr>
                <w:rFonts w:ascii="Times New Roman" w:hAnsi="Times New Roman" w:eastAsia="宋体" w:cs="Times New Roman"/>
                <w:szCs w:val="21"/>
                <w:highlight w:val="none"/>
              </w:rPr>
            </w:pPr>
            <w:r>
              <w:rPr>
                <w:rFonts w:ascii="Times New Roman" w:hAnsi="Times New Roman" w:eastAsia="宋体" w:cs="Times New Roman"/>
                <w:szCs w:val="21"/>
                <w:highlight w:val="none"/>
              </w:rPr>
              <w:t>10.16</w:t>
            </w:r>
          </w:p>
        </w:tc>
        <w:tc>
          <w:tcPr>
            <w:tcW w:w="1140" w:type="dxa"/>
          </w:tcPr>
          <w:p w14:paraId="4AB8A2F9">
            <w:pPr>
              <w:jc w:val="center"/>
              <w:rPr>
                <w:rFonts w:ascii="Times New Roman" w:hAnsi="Times New Roman" w:eastAsia="宋体" w:cs="Times New Roman"/>
                <w:szCs w:val="21"/>
                <w:highlight w:val="none"/>
              </w:rPr>
            </w:pPr>
            <w:r>
              <w:rPr>
                <w:rFonts w:ascii="Times New Roman" w:hAnsi="Times New Roman" w:eastAsia="宋体" w:cs="Times New Roman"/>
                <w:szCs w:val="21"/>
                <w:highlight w:val="none"/>
              </w:rPr>
              <w:t>6.27</w:t>
            </w:r>
          </w:p>
        </w:tc>
      </w:tr>
      <w:tr w14:paraId="0410E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6" w:type="dxa"/>
          </w:tcPr>
          <w:p w14:paraId="45C898AC">
            <w:pPr>
              <w:jc w:val="center"/>
              <w:rPr>
                <w:rFonts w:ascii="Times New Roman" w:hAnsi="Times New Roman" w:eastAsia="宋体" w:cs="Times New Roman"/>
                <w:szCs w:val="21"/>
                <w:highlight w:val="none"/>
              </w:rPr>
            </w:pPr>
          </w:p>
        </w:tc>
        <w:tc>
          <w:tcPr>
            <w:tcW w:w="2045" w:type="dxa"/>
          </w:tcPr>
          <w:p w14:paraId="3B95CF8F">
            <w:pPr>
              <w:jc w:val="center"/>
              <w:rPr>
                <w:rFonts w:ascii="Times New Roman" w:hAnsi="Times New Roman" w:eastAsia="宋体" w:cs="Times New Roman"/>
                <w:szCs w:val="21"/>
                <w:highlight w:val="none"/>
              </w:rPr>
            </w:pPr>
            <w:r>
              <w:rPr>
                <w:rFonts w:ascii="Times New Roman" w:hAnsi="Times New Roman" w:eastAsia="宋体" w:cs="Times New Roman"/>
                <w:szCs w:val="21"/>
                <w:highlight w:val="none"/>
              </w:rPr>
              <w:t>Insulin(pmol/l)</w:t>
            </w:r>
          </w:p>
        </w:tc>
        <w:tc>
          <w:tcPr>
            <w:tcW w:w="1128" w:type="dxa"/>
          </w:tcPr>
          <w:p w14:paraId="7D4868F4">
            <w:pPr>
              <w:jc w:val="center"/>
              <w:rPr>
                <w:rFonts w:ascii="Times New Roman" w:hAnsi="Times New Roman" w:eastAsia="宋体" w:cs="Times New Roman"/>
                <w:szCs w:val="21"/>
                <w:highlight w:val="none"/>
              </w:rPr>
            </w:pPr>
            <w:r>
              <w:rPr>
                <w:rFonts w:ascii="Times New Roman" w:hAnsi="Times New Roman" w:eastAsia="宋体" w:cs="Times New Roman"/>
                <w:szCs w:val="21"/>
                <w:highlight w:val="none"/>
              </w:rPr>
              <w:t>93.3</w:t>
            </w:r>
          </w:p>
        </w:tc>
        <w:tc>
          <w:tcPr>
            <w:tcW w:w="1132" w:type="dxa"/>
          </w:tcPr>
          <w:p w14:paraId="5DEF47D5">
            <w:pPr>
              <w:jc w:val="center"/>
              <w:rPr>
                <w:rFonts w:ascii="Times New Roman" w:hAnsi="Times New Roman" w:eastAsia="宋体" w:cs="Times New Roman"/>
                <w:szCs w:val="21"/>
                <w:highlight w:val="none"/>
              </w:rPr>
            </w:pPr>
            <w:r>
              <w:rPr>
                <w:rFonts w:ascii="Times New Roman" w:hAnsi="Times New Roman" w:eastAsia="宋体" w:cs="Times New Roman"/>
                <w:szCs w:val="21"/>
                <w:highlight w:val="none"/>
              </w:rPr>
              <w:t>1039</w:t>
            </w:r>
          </w:p>
        </w:tc>
        <w:tc>
          <w:tcPr>
            <w:tcW w:w="1140" w:type="dxa"/>
          </w:tcPr>
          <w:p w14:paraId="3FA3A57F">
            <w:pPr>
              <w:jc w:val="center"/>
              <w:rPr>
                <w:rFonts w:ascii="Times New Roman" w:hAnsi="Times New Roman" w:eastAsia="宋体" w:cs="Times New Roman"/>
                <w:szCs w:val="21"/>
                <w:highlight w:val="none"/>
              </w:rPr>
            </w:pPr>
            <w:r>
              <w:rPr>
                <w:rFonts w:ascii="Times New Roman" w:hAnsi="Times New Roman" w:eastAsia="宋体" w:cs="Times New Roman"/>
                <w:szCs w:val="21"/>
                <w:highlight w:val="none"/>
              </w:rPr>
              <w:t>884.7</w:t>
            </w:r>
          </w:p>
        </w:tc>
      </w:tr>
      <w:tr w14:paraId="65402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6" w:type="dxa"/>
          </w:tcPr>
          <w:p w14:paraId="169F99CB">
            <w:pPr>
              <w:jc w:val="center"/>
              <w:rPr>
                <w:rFonts w:ascii="Times New Roman" w:hAnsi="Times New Roman" w:eastAsia="宋体" w:cs="Times New Roman"/>
                <w:szCs w:val="21"/>
                <w:highlight w:val="none"/>
              </w:rPr>
            </w:pPr>
          </w:p>
        </w:tc>
        <w:tc>
          <w:tcPr>
            <w:tcW w:w="2045" w:type="dxa"/>
          </w:tcPr>
          <w:p w14:paraId="03DBC649">
            <w:pPr>
              <w:jc w:val="center"/>
              <w:rPr>
                <w:rFonts w:ascii="Times New Roman" w:hAnsi="Times New Roman" w:eastAsia="宋体" w:cs="Times New Roman"/>
                <w:szCs w:val="21"/>
                <w:highlight w:val="none"/>
              </w:rPr>
            </w:pPr>
            <w:r>
              <w:rPr>
                <w:rFonts w:ascii="Times New Roman" w:hAnsi="Times New Roman" w:eastAsia="宋体" w:cs="Times New Roman"/>
                <w:szCs w:val="21"/>
                <w:highlight w:val="none"/>
              </w:rPr>
              <w:t>C-peptide(pmol/l)</w:t>
            </w:r>
          </w:p>
        </w:tc>
        <w:tc>
          <w:tcPr>
            <w:tcW w:w="1128" w:type="dxa"/>
          </w:tcPr>
          <w:p w14:paraId="21528137">
            <w:pPr>
              <w:jc w:val="center"/>
              <w:rPr>
                <w:rFonts w:ascii="Times New Roman" w:hAnsi="Times New Roman" w:eastAsia="宋体" w:cs="Times New Roman"/>
                <w:szCs w:val="21"/>
                <w:highlight w:val="none"/>
              </w:rPr>
            </w:pPr>
            <w:r>
              <w:rPr>
                <w:rFonts w:ascii="Times New Roman" w:hAnsi="Times New Roman" w:eastAsia="宋体" w:cs="Times New Roman"/>
                <w:szCs w:val="21"/>
                <w:highlight w:val="none"/>
              </w:rPr>
              <w:t>996.4</w:t>
            </w:r>
          </w:p>
        </w:tc>
        <w:tc>
          <w:tcPr>
            <w:tcW w:w="1132" w:type="dxa"/>
          </w:tcPr>
          <w:p w14:paraId="7533D246">
            <w:pPr>
              <w:jc w:val="center"/>
              <w:rPr>
                <w:rFonts w:ascii="Times New Roman" w:hAnsi="Times New Roman" w:eastAsia="宋体" w:cs="Times New Roman"/>
                <w:szCs w:val="21"/>
                <w:highlight w:val="none"/>
              </w:rPr>
            </w:pPr>
            <w:r>
              <w:rPr>
                <w:rFonts w:ascii="Times New Roman" w:hAnsi="Times New Roman" w:eastAsia="宋体" w:cs="Times New Roman"/>
                <w:szCs w:val="21"/>
                <w:highlight w:val="none"/>
              </w:rPr>
              <w:t>4655</w:t>
            </w:r>
          </w:p>
        </w:tc>
        <w:tc>
          <w:tcPr>
            <w:tcW w:w="1140" w:type="dxa"/>
          </w:tcPr>
          <w:p w14:paraId="6016C994">
            <w:pPr>
              <w:jc w:val="center"/>
              <w:rPr>
                <w:rFonts w:ascii="Times New Roman" w:hAnsi="Times New Roman" w:eastAsia="宋体" w:cs="Times New Roman"/>
                <w:szCs w:val="21"/>
                <w:highlight w:val="none"/>
              </w:rPr>
            </w:pPr>
            <w:r>
              <w:rPr>
                <w:rFonts w:ascii="Times New Roman" w:hAnsi="Times New Roman" w:eastAsia="宋体" w:cs="Times New Roman"/>
                <w:szCs w:val="21"/>
                <w:highlight w:val="none"/>
              </w:rPr>
              <w:t>4279</w:t>
            </w:r>
          </w:p>
        </w:tc>
      </w:tr>
      <w:tr w14:paraId="2115D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6" w:type="dxa"/>
            <w:vAlign w:val="center"/>
          </w:tcPr>
          <w:p w14:paraId="68218618">
            <w:pPr>
              <w:jc w:val="center"/>
              <w:rPr>
                <w:rFonts w:ascii="Times New Roman" w:hAnsi="Times New Roman" w:eastAsia="宋体" w:cs="Times New Roman"/>
                <w:szCs w:val="21"/>
                <w:highlight w:val="none"/>
              </w:rPr>
            </w:pPr>
            <w:r>
              <w:rPr>
                <w:rFonts w:ascii="Times New Roman" w:hAnsi="Times New Roman" w:eastAsia="宋体" w:cs="Times New Roman"/>
                <w:szCs w:val="21"/>
                <w:highlight w:val="none"/>
              </w:rPr>
              <w:t>III-2</w:t>
            </w:r>
          </w:p>
        </w:tc>
        <w:tc>
          <w:tcPr>
            <w:tcW w:w="2045" w:type="dxa"/>
          </w:tcPr>
          <w:p w14:paraId="692240ED">
            <w:pPr>
              <w:jc w:val="center"/>
              <w:rPr>
                <w:rFonts w:ascii="Times New Roman" w:hAnsi="Times New Roman" w:eastAsia="宋体" w:cs="Times New Roman"/>
                <w:szCs w:val="21"/>
                <w:highlight w:val="none"/>
              </w:rPr>
            </w:pPr>
            <w:r>
              <w:rPr>
                <w:rFonts w:ascii="Times New Roman" w:hAnsi="Times New Roman" w:eastAsia="宋体" w:cs="Times New Roman"/>
                <w:szCs w:val="21"/>
                <w:highlight w:val="none"/>
              </w:rPr>
              <w:t>Glucose(mmol/l)</w:t>
            </w:r>
          </w:p>
        </w:tc>
        <w:tc>
          <w:tcPr>
            <w:tcW w:w="1128" w:type="dxa"/>
          </w:tcPr>
          <w:p w14:paraId="6221A7C0">
            <w:pPr>
              <w:jc w:val="center"/>
              <w:rPr>
                <w:rFonts w:ascii="Times New Roman" w:hAnsi="Times New Roman" w:eastAsia="宋体" w:cs="Times New Roman"/>
                <w:szCs w:val="21"/>
                <w:highlight w:val="none"/>
              </w:rPr>
            </w:pPr>
            <w:r>
              <w:rPr>
                <w:rFonts w:ascii="Times New Roman" w:hAnsi="Times New Roman" w:eastAsia="宋体" w:cs="Times New Roman"/>
                <w:szCs w:val="21"/>
                <w:highlight w:val="none"/>
              </w:rPr>
              <w:t>4.68</w:t>
            </w:r>
          </w:p>
        </w:tc>
        <w:tc>
          <w:tcPr>
            <w:tcW w:w="1132" w:type="dxa"/>
          </w:tcPr>
          <w:p w14:paraId="402D60EB">
            <w:pPr>
              <w:jc w:val="center"/>
              <w:rPr>
                <w:rFonts w:ascii="Times New Roman" w:hAnsi="Times New Roman" w:eastAsia="宋体" w:cs="Times New Roman"/>
                <w:szCs w:val="21"/>
                <w:highlight w:val="none"/>
              </w:rPr>
            </w:pPr>
            <w:r>
              <w:rPr>
                <w:rFonts w:ascii="Times New Roman" w:hAnsi="Times New Roman" w:eastAsia="宋体" w:cs="Times New Roman"/>
                <w:szCs w:val="21"/>
                <w:highlight w:val="none"/>
              </w:rPr>
              <w:t>6.06</w:t>
            </w:r>
          </w:p>
        </w:tc>
        <w:tc>
          <w:tcPr>
            <w:tcW w:w="1140" w:type="dxa"/>
          </w:tcPr>
          <w:p w14:paraId="27EBEDFD">
            <w:pPr>
              <w:jc w:val="center"/>
              <w:rPr>
                <w:rFonts w:ascii="Times New Roman" w:hAnsi="Times New Roman" w:eastAsia="宋体" w:cs="Times New Roman"/>
                <w:szCs w:val="21"/>
                <w:highlight w:val="none"/>
              </w:rPr>
            </w:pPr>
            <w:r>
              <w:rPr>
                <w:rFonts w:ascii="Times New Roman" w:hAnsi="Times New Roman" w:eastAsia="宋体" w:cs="Times New Roman"/>
                <w:szCs w:val="21"/>
                <w:highlight w:val="none"/>
              </w:rPr>
              <w:t>3.55</w:t>
            </w:r>
          </w:p>
        </w:tc>
      </w:tr>
      <w:tr w14:paraId="15189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6" w:type="dxa"/>
          </w:tcPr>
          <w:p w14:paraId="5EA004F9">
            <w:pPr>
              <w:jc w:val="center"/>
              <w:rPr>
                <w:rFonts w:ascii="Times New Roman" w:hAnsi="Times New Roman" w:eastAsia="宋体" w:cs="Times New Roman"/>
                <w:szCs w:val="21"/>
                <w:highlight w:val="none"/>
              </w:rPr>
            </w:pPr>
          </w:p>
        </w:tc>
        <w:tc>
          <w:tcPr>
            <w:tcW w:w="2045" w:type="dxa"/>
          </w:tcPr>
          <w:p w14:paraId="3BEBA8F0">
            <w:pPr>
              <w:jc w:val="center"/>
              <w:rPr>
                <w:rFonts w:ascii="Times New Roman" w:hAnsi="Times New Roman" w:eastAsia="宋体" w:cs="Times New Roman"/>
                <w:szCs w:val="21"/>
                <w:highlight w:val="none"/>
              </w:rPr>
            </w:pPr>
            <w:r>
              <w:rPr>
                <w:rFonts w:ascii="Times New Roman" w:hAnsi="Times New Roman" w:eastAsia="宋体" w:cs="Times New Roman"/>
                <w:szCs w:val="21"/>
                <w:highlight w:val="none"/>
              </w:rPr>
              <w:t>Insulin(pmol/l)</w:t>
            </w:r>
          </w:p>
        </w:tc>
        <w:tc>
          <w:tcPr>
            <w:tcW w:w="1128" w:type="dxa"/>
          </w:tcPr>
          <w:p w14:paraId="5ABCC8EA">
            <w:pPr>
              <w:jc w:val="center"/>
              <w:rPr>
                <w:rFonts w:ascii="Times New Roman" w:hAnsi="Times New Roman" w:eastAsia="宋体" w:cs="Times New Roman"/>
                <w:szCs w:val="21"/>
                <w:highlight w:val="none"/>
              </w:rPr>
            </w:pPr>
            <w:r>
              <w:rPr>
                <w:rFonts w:ascii="Times New Roman" w:hAnsi="Times New Roman" w:eastAsia="宋体" w:cs="Times New Roman"/>
                <w:szCs w:val="21"/>
                <w:highlight w:val="none"/>
              </w:rPr>
              <w:t>79.6</w:t>
            </w:r>
          </w:p>
        </w:tc>
        <w:tc>
          <w:tcPr>
            <w:tcW w:w="1132" w:type="dxa"/>
          </w:tcPr>
          <w:p w14:paraId="1774AF06">
            <w:pPr>
              <w:jc w:val="center"/>
              <w:rPr>
                <w:rFonts w:ascii="Times New Roman" w:hAnsi="Times New Roman" w:eastAsia="宋体" w:cs="Times New Roman"/>
                <w:szCs w:val="21"/>
                <w:highlight w:val="none"/>
              </w:rPr>
            </w:pPr>
            <w:r>
              <w:rPr>
                <w:rFonts w:ascii="Times New Roman" w:hAnsi="Times New Roman" w:eastAsia="宋体" w:cs="Times New Roman"/>
                <w:szCs w:val="21"/>
                <w:highlight w:val="none"/>
              </w:rPr>
              <w:t>858.1</w:t>
            </w:r>
          </w:p>
        </w:tc>
        <w:tc>
          <w:tcPr>
            <w:tcW w:w="1140" w:type="dxa"/>
          </w:tcPr>
          <w:p w14:paraId="726B2FE0">
            <w:pPr>
              <w:jc w:val="center"/>
              <w:rPr>
                <w:rFonts w:ascii="Times New Roman" w:hAnsi="Times New Roman" w:eastAsia="宋体" w:cs="Times New Roman"/>
                <w:szCs w:val="21"/>
                <w:highlight w:val="none"/>
              </w:rPr>
            </w:pPr>
            <w:r>
              <w:rPr>
                <w:rFonts w:ascii="Times New Roman" w:hAnsi="Times New Roman" w:eastAsia="宋体" w:cs="Times New Roman"/>
                <w:szCs w:val="21"/>
                <w:highlight w:val="none"/>
              </w:rPr>
              <w:t>370</w:t>
            </w:r>
          </w:p>
        </w:tc>
      </w:tr>
      <w:tr w14:paraId="6F8AF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6" w:type="dxa"/>
          </w:tcPr>
          <w:p w14:paraId="6B1E6E27">
            <w:pPr>
              <w:jc w:val="center"/>
              <w:rPr>
                <w:rFonts w:ascii="Times New Roman" w:hAnsi="Times New Roman" w:eastAsia="宋体" w:cs="Times New Roman"/>
                <w:szCs w:val="21"/>
                <w:highlight w:val="none"/>
              </w:rPr>
            </w:pPr>
          </w:p>
        </w:tc>
        <w:tc>
          <w:tcPr>
            <w:tcW w:w="2045" w:type="dxa"/>
          </w:tcPr>
          <w:p w14:paraId="0974B37A">
            <w:pPr>
              <w:jc w:val="center"/>
              <w:rPr>
                <w:rFonts w:ascii="Times New Roman" w:hAnsi="Times New Roman" w:eastAsia="宋体" w:cs="Times New Roman"/>
                <w:szCs w:val="21"/>
                <w:highlight w:val="none"/>
              </w:rPr>
            </w:pPr>
            <w:r>
              <w:rPr>
                <w:rFonts w:ascii="Times New Roman" w:hAnsi="Times New Roman" w:eastAsia="宋体" w:cs="Times New Roman"/>
                <w:szCs w:val="21"/>
                <w:highlight w:val="none"/>
              </w:rPr>
              <w:t>C-peptide(pmol/l)</w:t>
            </w:r>
          </w:p>
        </w:tc>
        <w:tc>
          <w:tcPr>
            <w:tcW w:w="1128" w:type="dxa"/>
          </w:tcPr>
          <w:p w14:paraId="5D15F29C">
            <w:pPr>
              <w:jc w:val="center"/>
              <w:rPr>
                <w:rFonts w:ascii="Times New Roman" w:hAnsi="Times New Roman" w:eastAsia="宋体" w:cs="Times New Roman"/>
                <w:szCs w:val="21"/>
                <w:highlight w:val="none"/>
              </w:rPr>
            </w:pPr>
            <w:r>
              <w:rPr>
                <w:rFonts w:ascii="Times New Roman" w:hAnsi="Times New Roman" w:eastAsia="宋体" w:cs="Times New Roman"/>
                <w:szCs w:val="21"/>
                <w:highlight w:val="none"/>
              </w:rPr>
              <w:t>615.3</w:t>
            </w:r>
          </w:p>
        </w:tc>
        <w:tc>
          <w:tcPr>
            <w:tcW w:w="1132" w:type="dxa"/>
          </w:tcPr>
          <w:p w14:paraId="2E0939B8">
            <w:pPr>
              <w:jc w:val="center"/>
              <w:rPr>
                <w:rFonts w:ascii="Times New Roman" w:hAnsi="Times New Roman" w:eastAsia="宋体" w:cs="Times New Roman"/>
                <w:szCs w:val="21"/>
                <w:highlight w:val="none"/>
              </w:rPr>
            </w:pPr>
            <w:r>
              <w:rPr>
                <w:rFonts w:ascii="Times New Roman" w:hAnsi="Times New Roman" w:eastAsia="宋体" w:cs="Times New Roman"/>
                <w:szCs w:val="21"/>
                <w:highlight w:val="none"/>
              </w:rPr>
              <w:t>3648</w:t>
            </w:r>
          </w:p>
        </w:tc>
        <w:tc>
          <w:tcPr>
            <w:tcW w:w="1140" w:type="dxa"/>
          </w:tcPr>
          <w:p w14:paraId="32F802AA">
            <w:pPr>
              <w:jc w:val="center"/>
              <w:rPr>
                <w:rFonts w:ascii="Times New Roman" w:hAnsi="Times New Roman" w:eastAsia="宋体" w:cs="Times New Roman"/>
                <w:szCs w:val="21"/>
                <w:highlight w:val="none"/>
              </w:rPr>
            </w:pPr>
            <w:r>
              <w:rPr>
                <w:rFonts w:ascii="Times New Roman" w:hAnsi="Times New Roman" w:eastAsia="宋体" w:cs="Times New Roman"/>
                <w:szCs w:val="21"/>
                <w:highlight w:val="none"/>
              </w:rPr>
              <w:t>2542</w:t>
            </w:r>
          </w:p>
        </w:tc>
      </w:tr>
      <w:tr w14:paraId="1C772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6" w:type="dxa"/>
          </w:tcPr>
          <w:p w14:paraId="4236F38B">
            <w:pPr>
              <w:jc w:val="center"/>
              <w:rPr>
                <w:rFonts w:ascii="Times New Roman" w:hAnsi="Times New Roman" w:eastAsia="宋体" w:cs="Times New Roman"/>
                <w:szCs w:val="21"/>
                <w:highlight w:val="none"/>
              </w:rPr>
            </w:pPr>
            <w:r>
              <w:rPr>
                <w:rFonts w:ascii="Times New Roman" w:hAnsi="Times New Roman" w:eastAsia="宋体" w:cs="Times New Roman"/>
                <w:szCs w:val="21"/>
                <w:highlight w:val="none"/>
              </w:rPr>
              <w:t>I-3</w:t>
            </w:r>
          </w:p>
        </w:tc>
        <w:tc>
          <w:tcPr>
            <w:tcW w:w="2045" w:type="dxa"/>
          </w:tcPr>
          <w:p w14:paraId="5129E826">
            <w:pPr>
              <w:jc w:val="center"/>
              <w:rPr>
                <w:rFonts w:ascii="Times New Roman" w:hAnsi="Times New Roman" w:eastAsia="宋体" w:cs="Times New Roman"/>
                <w:szCs w:val="21"/>
                <w:highlight w:val="none"/>
              </w:rPr>
            </w:pPr>
            <w:r>
              <w:rPr>
                <w:rFonts w:ascii="Times New Roman" w:hAnsi="Times New Roman" w:eastAsia="宋体" w:cs="Times New Roman"/>
                <w:szCs w:val="21"/>
                <w:highlight w:val="none"/>
              </w:rPr>
              <w:t>Glucose(mmol/l)</w:t>
            </w:r>
          </w:p>
        </w:tc>
        <w:tc>
          <w:tcPr>
            <w:tcW w:w="1128" w:type="dxa"/>
          </w:tcPr>
          <w:p w14:paraId="4FBBCCAD">
            <w:pPr>
              <w:jc w:val="center"/>
              <w:rPr>
                <w:rFonts w:ascii="Times New Roman" w:hAnsi="Times New Roman" w:eastAsia="宋体" w:cs="Times New Roman"/>
                <w:szCs w:val="21"/>
                <w:highlight w:val="none"/>
              </w:rPr>
            </w:pPr>
            <w:r>
              <w:rPr>
                <w:rFonts w:ascii="Times New Roman" w:hAnsi="Times New Roman" w:eastAsia="宋体" w:cs="Times New Roman"/>
                <w:szCs w:val="21"/>
                <w:highlight w:val="none"/>
              </w:rPr>
              <w:t>5.31</w:t>
            </w:r>
          </w:p>
        </w:tc>
        <w:tc>
          <w:tcPr>
            <w:tcW w:w="1132" w:type="dxa"/>
          </w:tcPr>
          <w:p w14:paraId="72A7DEA3">
            <w:pPr>
              <w:jc w:val="center"/>
              <w:rPr>
                <w:rFonts w:ascii="Times New Roman" w:hAnsi="Times New Roman" w:eastAsia="宋体" w:cs="Times New Roman"/>
                <w:szCs w:val="21"/>
                <w:highlight w:val="none"/>
              </w:rPr>
            </w:pPr>
            <w:r>
              <w:rPr>
                <w:rFonts w:ascii="Times New Roman" w:hAnsi="Times New Roman" w:eastAsia="宋体" w:cs="Times New Roman"/>
                <w:szCs w:val="21"/>
                <w:highlight w:val="none"/>
              </w:rPr>
              <w:t>7.73</w:t>
            </w:r>
          </w:p>
        </w:tc>
        <w:tc>
          <w:tcPr>
            <w:tcW w:w="1140" w:type="dxa"/>
          </w:tcPr>
          <w:p w14:paraId="2D151298">
            <w:pPr>
              <w:jc w:val="center"/>
              <w:rPr>
                <w:rFonts w:ascii="Times New Roman" w:hAnsi="Times New Roman" w:eastAsia="宋体" w:cs="Times New Roman"/>
                <w:szCs w:val="21"/>
                <w:highlight w:val="none"/>
              </w:rPr>
            </w:pPr>
            <w:r>
              <w:rPr>
                <w:rFonts w:ascii="Times New Roman" w:hAnsi="Times New Roman" w:eastAsia="宋体" w:cs="Times New Roman"/>
                <w:szCs w:val="21"/>
                <w:highlight w:val="none"/>
              </w:rPr>
              <w:t>6.12</w:t>
            </w:r>
          </w:p>
        </w:tc>
      </w:tr>
      <w:tr w14:paraId="2C7C5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6" w:type="dxa"/>
          </w:tcPr>
          <w:p w14:paraId="21853E17">
            <w:pPr>
              <w:jc w:val="center"/>
              <w:rPr>
                <w:rFonts w:ascii="Times New Roman" w:hAnsi="Times New Roman" w:eastAsia="宋体" w:cs="Times New Roman"/>
                <w:szCs w:val="21"/>
                <w:highlight w:val="none"/>
              </w:rPr>
            </w:pPr>
          </w:p>
        </w:tc>
        <w:tc>
          <w:tcPr>
            <w:tcW w:w="2045" w:type="dxa"/>
          </w:tcPr>
          <w:p w14:paraId="0FABC276">
            <w:pPr>
              <w:jc w:val="center"/>
              <w:rPr>
                <w:rFonts w:ascii="Times New Roman" w:hAnsi="Times New Roman" w:eastAsia="宋体" w:cs="Times New Roman"/>
                <w:szCs w:val="21"/>
                <w:highlight w:val="none"/>
              </w:rPr>
            </w:pPr>
            <w:r>
              <w:rPr>
                <w:rFonts w:ascii="Times New Roman" w:hAnsi="Times New Roman" w:eastAsia="宋体" w:cs="Times New Roman"/>
                <w:szCs w:val="21"/>
                <w:highlight w:val="none"/>
              </w:rPr>
              <w:t>Insulin(pmol/l)</w:t>
            </w:r>
          </w:p>
        </w:tc>
        <w:tc>
          <w:tcPr>
            <w:tcW w:w="1128" w:type="dxa"/>
          </w:tcPr>
          <w:p w14:paraId="4B4FF4FE">
            <w:pPr>
              <w:jc w:val="center"/>
              <w:rPr>
                <w:rFonts w:ascii="Times New Roman" w:hAnsi="Times New Roman" w:eastAsia="宋体" w:cs="Times New Roman"/>
                <w:szCs w:val="21"/>
                <w:highlight w:val="none"/>
              </w:rPr>
            </w:pPr>
            <w:r>
              <w:rPr>
                <w:rFonts w:ascii="Times New Roman" w:hAnsi="Times New Roman" w:eastAsia="宋体" w:cs="Times New Roman"/>
                <w:szCs w:val="21"/>
                <w:highlight w:val="none"/>
              </w:rPr>
              <w:t>35.2</w:t>
            </w:r>
          </w:p>
        </w:tc>
        <w:tc>
          <w:tcPr>
            <w:tcW w:w="1132" w:type="dxa"/>
          </w:tcPr>
          <w:p w14:paraId="5576A317">
            <w:pPr>
              <w:jc w:val="center"/>
              <w:rPr>
                <w:rFonts w:ascii="Times New Roman" w:hAnsi="Times New Roman" w:eastAsia="宋体" w:cs="Times New Roman"/>
                <w:szCs w:val="21"/>
                <w:highlight w:val="none"/>
              </w:rPr>
            </w:pPr>
            <w:r>
              <w:rPr>
                <w:rFonts w:ascii="Times New Roman" w:hAnsi="Times New Roman" w:eastAsia="宋体" w:cs="Times New Roman"/>
                <w:szCs w:val="21"/>
                <w:highlight w:val="none"/>
              </w:rPr>
              <w:t>436</w:t>
            </w:r>
          </w:p>
        </w:tc>
        <w:tc>
          <w:tcPr>
            <w:tcW w:w="1140" w:type="dxa"/>
          </w:tcPr>
          <w:p w14:paraId="435B9BFF">
            <w:pPr>
              <w:jc w:val="center"/>
              <w:rPr>
                <w:rFonts w:ascii="Times New Roman" w:hAnsi="Times New Roman" w:eastAsia="宋体" w:cs="Times New Roman"/>
                <w:szCs w:val="21"/>
                <w:highlight w:val="none"/>
              </w:rPr>
            </w:pPr>
            <w:r>
              <w:rPr>
                <w:rFonts w:ascii="Times New Roman" w:hAnsi="Times New Roman" w:eastAsia="宋体" w:cs="Times New Roman"/>
                <w:szCs w:val="21"/>
                <w:highlight w:val="none"/>
              </w:rPr>
              <w:t>349</w:t>
            </w:r>
          </w:p>
        </w:tc>
      </w:tr>
      <w:tr w14:paraId="4632F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6" w:type="dxa"/>
          </w:tcPr>
          <w:p w14:paraId="39E362F1">
            <w:pPr>
              <w:jc w:val="center"/>
              <w:rPr>
                <w:rFonts w:ascii="Times New Roman" w:hAnsi="Times New Roman" w:eastAsia="宋体" w:cs="Times New Roman"/>
                <w:szCs w:val="21"/>
                <w:highlight w:val="none"/>
              </w:rPr>
            </w:pPr>
          </w:p>
        </w:tc>
        <w:tc>
          <w:tcPr>
            <w:tcW w:w="2045" w:type="dxa"/>
          </w:tcPr>
          <w:p w14:paraId="63578EB1">
            <w:pPr>
              <w:jc w:val="center"/>
              <w:rPr>
                <w:rFonts w:ascii="Times New Roman" w:hAnsi="Times New Roman" w:eastAsia="宋体" w:cs="Times New Roman"/>
                <w:szCs w:val="21"/>
                <w:highlight w:val="none"/>
              </w:rPr>
            </w:pPr>
            <w:r>
              <w:rPr>
                <w:rFonts w:ascii="Times New Roman" w:hAnsi="Times New Roman" w:eastAsia="宋体" w:cs="Times New Roman"/>
                <w:szCs w:val="21"/>
                <w:highlight w:val="none"/>
              </w:rPr>
              <w:t>C-peptide(pmol/l)</w:t>
            </w:r>
          </w:p>
        </w:tc>
        <w:tc>
          <w:tcPr>
            <w:tcW w:w="1128" w:type="dxa"/>
          </w:tcPr>
          <w:p w14:paraId="3109FFA8">
            <w:pPr>
              <w:jc w:val="center"/>
              <w:rPr>
                <w:rFonts w:ascii="Times New Roman" w:hAnsi="Times New Roman" w:eastAsia="宋体" w:cs="Times New Roman"/>
                <w:szCs w:val="21"/>
                <w:highlight w:val="none"/>
              </w:rPr>
            </w:pPr>
            <w:r>
              <w:rPr>
                <w:rFonts w:ascii="Times New Roman" w:hAnsi="Times New Roman" w:eastAsia="宋体" w:cs="Times New Roman"/>
                <w:szCs w:val="21"/>
                <w:highlight w:val="none"/>
              </w:rPr>
              <w:t>550.1</w:t>
            </w:r>
          </w:p>
        </w:tc>
        <w:tc>
          <w:tcPr>
            <w:tcW w:w="1132" w:type="dxa"/>
          </w:tcPr>
          <w:p w14:paraId="67A1A453">
            <w:pPr>
              <w:jc w:val="center"/>
              <w:rPr>
                <w:rFonts w:ascii="Times New Roman" w:hAnsi="Times New Roman" w:eastAsia="宋体" w:cs="Times New Roman"/>
                <w:szCs w:val="21"/>
                <w:highlight w:val="none"/>
              </w:rPr>
            </w:pPr>
            <w:r>
              <w:rPr>
                <w:rFonts w:ascii="Times New Roman" w:hAnsi="Times New Roman" w:eastAsia="宋体" w:cs="Times New Roman"/>
                <w:szCs w:val="21"/>
                <w:highlight w:val="none"/>
              </w:rPr>
              <w:t>2966</w:t>
            </w:r>
          </w:p>
        </w:tc>
        <w:tc>
          <w:tcPr>
            <w:tcW w:w="1140" w:type="dxa"/>
          </w:tcPr>
          <w:p w14:paraId="3F29EB41">
            <w:pPr>
              <w:jc w:val="center"/>
              <w:rPr>
                <w:rFonts w:ascii="Times New Roman" w:hAnsi="Times New Roman" w:eastAsia="宋体" w:cs="Times New Roman"/>
                <w:szCs w:val="21"/>
                <w:highlight w:val="none"/>
              </w:rPr>
            </w:pPr>
            <w:r>
              <w:rPr>
                <w:rFonts w:ascii="Times New Roman" w:hAnsi="Times New Roman" w:eastAsia="宋体" w:cs="Times New Roman"/>
                <w:szCs w:val="21"/>
                <w:highlight w:val="none"/>
              </w:rPr>
              <w:t>2983</w:t>
            </w:r>
          </w:p>
        </w:tc>
      </w:tr>
    </w:tbl>
    <w:p w14:paraId="2BC995F4">
      <w:pPr>
        <w:spacing w:line="360" w:lineRule="auto"/>
        <w:rPr>
          <w:rFonts w:ascii="Times New Roman" w:hAnsi="Times New Roman" w:eastAsia="宋体" w:cs="Times New Roman"/>
          <w:b/>
          <w:bCs/>
          <w:szCs w:val="21"/>
          <w:highlight w:val="none"/>
        </w:rPr>
      </w:pPr>
    </w:p>
    <w:p w14:paraId="6F8A7573">
      <w:pPr>
        <w:spacing w:line="360" w:lineRule="auto"/>
        <w:rPr>
          <w:rFonts w:ascii="Times New Roman" w:hAnsi="Times New Roman" w:eastAsia="宋体" w:cs="Times New Roman"/>
          <w:b/>
          <w:bCs/>
          <w:szCs w:val="21"/>
          <w:highlight w:val="none"/>
        </w:rPr>
      </w:pPr>
      <w:r>
        <w:rPr>
          <w:rFonts w:ascii="Times New Roman" w:hAnsi="Times New Roman" w:eastAsia="宋体" w:cs="Times New Roman"/>
          <w:b/>
          <w:bCs/>
          <w:szCs w:val="21"/>
          <w:highlight w:val="none"/>
        </w:rPr>
        <w:t>Table 4: The longitudinal follow-up of the proband’s HbA1c</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00"/>
        <w:gridCol w:w="1711"/>
      </w:tblGrid>
      <w:tr w14:paraId="3196F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0" w:type="dxa"/>
          </w:tcPr>
          <w:p w14:paraId="2DC8A561">
            <w:pPr>
              <w:jc w:val="center"/>
              <w:rPr>
                <w:rFonts w:ascii="Times New Roman" w:hAnsi="Times New Roman" w:eastAsia="宋体" w:cs="Times New Roman"/>
                <w:szCs w:val="21"/>
                <w:highlight w:val="none"/>
              </w:rPr>
            </w:pPr>
            <w:r>
              <w:rPr>
                <w:rFonts w:ascii="Times New Roman" w:hAnsi="Times New Roman" w:eastAsia="宋体" w:cs="Times New Roman"/>
                <w:szCs w:val="21"/>
                <w:highlight w:val="none"/>
              </w:rPr>
              <w:t>Follow-up time</w:t>
            </w:r>
          </w:p>
        </w:tc>
        <w:tc>
          <w:tcPr>
            <w:tcW w:w="1711" w:type="dxa"/>
          </w:tcPr>
          <w:p w14:paraId="057D4399">
            <w:pPr>
              <w:jc w:val="center"/>
              <w:rPr>
                <w:rFonts w:ascii="Times New Roman" w:hAnsi="Times New Roman" w:eastAsia="宋体" w:cs="Times New Roman"/>
                <w:szCs w:val="21"/>
                <w:highlight w:val="none"/>
              </w:rPr>
            </w:pPr>
            <w:r>
              <w:rPr>
                <w:rFonts w:ascii="Times New Roman" w:hAnsi="Times New Roman" w:eastAsia="宋体" w:cs="Times New Roman"/>
                <w:szCs w:val="21"/>
                <w:highlight w:val="none"/>
              </w:rPr>
              <w:t>HbA1c(%)</w:t>
            </w:r>
          </w:p>
        </w:tc>
      </w:tr>
      <w:tr w14:paraId="42C0E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0" w:type="dxa"/>
          </w:tcPr>
          <w:p w14:paraId="06B754A3">
            <w:pPr>
              <w:jc w:val="center"/>
              <w:rPr>
                <w:rFonts w:ascii="Times New Roman" w:hAnsi="Times New Roman" w:eastAsia="宋体" w:cs="Times New Roman"/>
                <w:szCs w:val="21"/>
                <w:highlight w:val="none"/>
              </w:rPr>
            </w:pPr>
            <w:r>
              <w:rPr>
                <w:rFonts w:ascii="Times New Roman" w:hAnsi="Times New Roman" w:eastAsia="宋体" w:cs="Times New Roman"/>
                <w:szCs w:val="21"/>
                <w:highlight w:val="none"/>
              </w:rPr>
              <w:t>2019.4</w:t>
            </w:r>
          </w:p>
        </w:tc>
        <w:tc>
          <w:tcPr>
            <w:tcW w:w="1711" w:type="dxa"/>
          </w:tcPr>
          <w:p w14:paraId="42369362">
            <w:pPr>
              <w:jc w:val="center"/>
              <w:rPr>
                <w:rFonts w:ascii="Times New Roman" w:hAnsi="Times New Roman" w:eastAsia="宋体" w:cs="Times New Roman"/>
                <w:szCs w:val="21"/>
                <w:highlight w:val="none"/>
              </w:rPr>
            </w:pPr>
            <w:r>
              <w:rPr>
                <w:rFonts w:ascii="Times New Roman" w:hAnsi="Times New Roman" w:eastAsia="宋体" w:cs="Times New Roman"/>
                <w:szCs w:val="21"/>
                <w:highlight w:val="none"/>
              </w:rPr>
              <w:t>13.1</w:t>
            </w:r>
          </w:p>
        </w:tc>
      </w:tr>
      <w:tr w14:paraId="36B1A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0" w:type="dxa"/>
          </w:tcPr>
          <w:p w14:paraId="7DD7FC1A">
            <w:pPr>
              <w:jc w:val="center"/>
              <w:rPr>
                <w:rFonts w:ascii="Times New Roman" w:hAnsi="Times New Roman" w:eastAsia="宋体" w:cs="Times New Roman"/>
                <w:szCs w:val="21"/>
                <w:highlight w:val="none"/>
              </w:rPr>
            </w:pPr>
            <w:r>
              <w:rPr>
                <w:rFonts w:ascii="Times New Roman" w:hAnsi="Times New Roman" w:eastAsia="宋体" w:cs="Times New Roman"/>
                <w:szCs w:val="21"/>
                <w:highlight w:val="none"/>
              </w:rPr>
              <w:t>2019.9</w:t>
            </w:r>
          </w:p>
        </w:tc>
        <w:tc>
          <w:tcPr>
            <w:tcW w:w="1711" w:type="dxa"/>
          </w:tcPr>
          <w:p w14:paraId="61EF5C37">
            <w:pPr>
              <w:jc w:val="center"/>
              <w:rPr>
                <w:rFonts w:ascii="Times New Roman" w:hAnsi="Times New Roman" w:eastAsia="宋体" w:cs="Times New Roman"/>
                <w:szCs w:val="21"/>
                <w:highlight w:val="none"/>
              </w:rPr>
            </w:pPr>
            <w:r>
              <w:rPr>
                <w:rFonts w:ascii="Times New Roman" w:hAnsi="Times New Roman" w:eastAsia="宋体" w:cs="Times New Roman"/>
                <w:szCs w:val="21"/>
                <w:highlight w:val="none"/>
              </w:rPr>
              <w:t>5.9</w:t>
            </w:r>
          </w:p>
        </w:tc>
      </w:tr>
      <w:tr w14:paraId="1EE59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0" w:type="dxa"/>
          </w:tcPr>
          <w:p w14:paraId="57EEE95A">
            <w:pPr>
              <w:jc w:val="center"/>
              <w:rPr>
                <w:rFonts w:ascii="Times New Roman" w:hAnsi="Times New Roman" w:eastAsia="宋体" w:cs="Times New Roman"/>
                <w:szCs w:val="21"/>
                <w:highlight w:val="none"/>
              </w:rPr>
            </w:pPr>
            <w:r>
              <w:rPr>
                <w:rFonts w:ascii="Times New Roman" w:hAnsi="Times New Roman" w:eastAsia="宋体" w:cs="Times New Roman"/>
                <w:szCs w:val="21"/>
                <w:highlight w:val="none"/>
              </w:rPr>
              <w:t>2020.7</w:t>
            </w:r>
          </w:p>
        </w:tc>
        <w:tc>
          <w:tcPr>
            <w:tcW w:w="1711" w:type="dxa"/>
          </w:tcPr>
          <w:p w14:paraId="037AF3BF">
            <w:pPr>
              <w:jc w:val="center"/>
              <w:rPr>
                <w:rFonts w:ascii="Times New Roman" w:hAnsi="Times New Roman" w:eastAsia="宋体" w:cs="Times New Roman"/>
                <w:szCs w:val="21"/>
                <w:highlight w:val="none"/>
              </w:rPr>
            </w:pPr>
            <w:r>
              <w:rPr>
                <w:rFonts w:ascii="Times New Roman" w:hAnsi="Times New Roman" w:eastAsia="宋体" w:cs="Times New Roman"/>
                <w:szCs w:val="21"/>
                <w:highlight w:val="none"/>
              </w:rPr>
              <w:t>6.4</w:t>
            </w:r>
          </w:p>
        </w:tc>
      </w:tr>
      <w:tr w14:paraId="4F384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0" w:type="dxa"/>
          </w:tcPr>
          <w:p w14:paraId="68B42BCF">
            <w:pPr>
              <w:jc w:val="center"/>
              <w:rPr>
                <w:rFonts w:ascii="Times New Roman" w:hAnsi="Times New Roman" w:eastAsia="宋体" w:cs="Times New Roman"/>
                <w:szCs w:val="21"/>
                <w:highlight w:val="none"/>
              </w:rPr>
            </w:pPr>
            <w:r>
              <w:rPr>
                <w:rFonts w:ascii="Times New Roman" w:hAnsi="Times New Roman" w:eastAsia="宋体" w:cs="Times New Roman"/>
                <w:szCs w:val="21"/>
                <w:highlight w:val="none"/>
              </w:rPr>
              <w:t>2021.9</w:t>
            </w:r>
          </w:p>
        </w:tc>
        <w:tc>
          <w:tcPr>
            <w:tcW w:w="1711" w:type="dxa"/>
          </w:tcPr>
          <w:p w14:paraId="63019830">
            <w:pPr>
              <w:jc w:val="center"/>
              <w:rPr>
                <w:rFonts w:ascii="Times New Roman" w:hAnsi="Times New Roman" w:eastAsia="宋体" w:cs="Times New Roman"/>
                <w:szCs w:val="21"/>
                <w:highlight w:val="none"/>
              </w:rPr>
            </w:pPr>
            <w:r>
              <w:rPr>
                <w:rFonts w:ascii="Times New Roman" w:hAnsi="Times New Roman" w:eastAsia="宋体" w:cs="Times New Roman"/>
                <w:szCs w:val="21"/>
                <w:highlight w:val="none"/>
              </w:rPr>
              <w:t>5.7</w:t>
            </w:r>
          </w:p>
        </w:tc>
      </w:tr>
      <w:tr w14:paraId="4DC7D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0" w:type="dxa"/>
          </w:tcPr>
          <w:p w14:paraId="3D824091">
            <w:pPr>
              <w:jc w:val="center"/>
              <w:rPr>
                <w:rFonts w:ascii="Times New Roman" w:hAnsi="Times New Roman" w:eastAsia="宋体" w:cs="Times New Roman"/>
                <w:szCs w:val="21"/>
                <w:highlight w:val="none"/>
              </w:rPr>
            </w:pPr>
            <w:r>
              <w:rPr>
                <w:rFonts w:ascii="Times New Roman" w:hAnsi="Times New Roman" w:eastAsia="宋体" w:cs="Times New Roman"/>
                <w:szCs w:val="21"/>
                <w:highlight w:val="none"/>
              </w:rPr>
              <w:t>2024.9</w:t>
            </w:r>
          </w:p>
        </w:tc>
        <w:tc>
          <w:tcPr>
            <w:tcW w:w="1711" w:type="dxa"/>
          </w:tcPr>
          <w:p w14:paraId="48F3D890">
            <w:pPr>
              <w:jc w:val="center"/>
              <w:rPr>
                <w:rFonts w:ascii="Times New Roman" w:hAnsi="Times New Roman" w:eastAsia="宋体" w:cs="Times New Roman"/>
                <w:szCs w:val="21"/>
                <w:highlight w:val="none"/>
              </w:rPr>
            </w:pPr>
            <w:r>
              <w:rPr>
                <w:rFonts w:ascii="Times New Roman" w:hAnsi="Times New Roman" w:eastAsia="宋体" w:cs="Times New Roman"/>
                <w:szCs w:val="21"/>
                <w:highlight w:val="none"/>
              </w:rPr>
              <w:t>5.5</w:t>
            </w:r>
          </w:p>
        </w:tc>
      </w:tr>
    </w:tbl>
    <w:p w14:paraId="0682329D">
      <w:pPr>
        <w:spacing w:line="360" w:lineRule="auto"/>
        <w:rPr>
          <w:rFonts w:ascii="Times New Roman" w:hAnsi="Times New Roman" w:eastAsia="宋体" w:cs="Times New Roman"/>
          <w:b/>
          <w:bCs/>
          <w:sz w:val="24"/>
          <w:highlight w:val="none"/>
        </w:rPr>
      </w:pPr>
    </w:p>
    <w:p w14:paraId="1BFF5DEB">
      <w:pPr>
        <w:rPr>
          <w:rFonts w:ascii="Times New Roman" w:hAnsi="Times New Roman" w:cs="Times New Roman"/>
          <w:highlight w:val="none"/>
        </w:rPr>
        <w:sectPr>
          <w:pgSz w:w="11906" w:h="16838"/>
          <w:pgMar w:top="1440" w:right="1800" w:bottom="1440" w:left="1800" w:header="851" w:footer="992" w:gutter="0"/>
          <w:cols w:space="425" w:num="1"/>
          <w:docGrid w:type="lines" w:linePitch="312" w:charSpace="0"/>
        </w:sectPr>
      </w:pPr>
    </w:p>
    <w:p w14:paraId="62535863">
      <w:pPr>
        <w:spacing w:line="360" w:lineRule="auto"/>
        <w:rPr>
          <w:rFonts w:ascii="Times New Roman" w:hAnsi="Times New Roman" w:eastAsia="宋体" w:cs="Times New Roman"/>
          <w:b/>
          <w:bCs/>
          <w:szCs w:val="21"/>
          <w:highlight w:val="none"/>
        </w:rPr>
      </w:pPr>
      <w:r>
        <w:rPr>
          <w:rFonts w:ascii="Times New Roman" w:hAnsi="Times New Roman" w:eastAsia="宋体" w:cs="Times New Roman"/>
          <w:b/>
          <w:bCs/>
          <w:szCs w:val="21"/>
          <w:highlight w:val="none"/>
        </w:rPr>
        <w:t>Table 5: Summary of the clinical features and the reported mutations phenotyped as isolated DM.</w:t>
      </w:r>
    </w:p>
    <w:tbl>
      <w:tblPr>
        <w:tblStyle w:val="2"/>
        <w:tblW w:w="14335" w:type="dxa"/>
        <w:tblInd w:w="98" w:type="dxa"/>
        <w:tblLayout w:type="fixed"/>
        <w:tblCellMar>
          <w:top w:w="0" w:type="dxa"/>
          <w:left w:w="108" w:type="dxa"/>
          <w:bottom w:w="0" w:type="dxa"/>
          <w:right w:w="108" w:type="dxa"/>
        </w:tblCellMar>
      </w:tblPr>
      <w:tblGrid>
        <w:gridCol w:w="746"/>
        <w:gridCol w:w="2378"/>
        <w:gridCol w:w="791"/>
        <w:gridCol w:w="746"/>
        <w:gridCol w:w="885"/>
        <w:gridCol w:w="1361"/>
        <w:gridCol w:w="1244"/>
        <w:gridCol w:w="1246"/>
        <w:gridCol w:w="1146"/>
        <w:gridCol w:w="1162"/>
        <w:gridCol w:w="1315"/>
        <w:gridCol w:w="1315"/>
      </w:tblGrid>
      <w:tr w14:paraId="35EEED76">
        <w:tblPrEx>
          <w:tblCellMar>
            <w:top w:w="0" w:type="dxa"/>
            <w:left w:w="108" w:type="dxa"/>
            <w:bottom w:w="0" w:type="dxa"/>
            <w:right w:w="108" w:type="dxa"/>
          </w:tblCellMar>
        </w:tblPrEx>
        <w:trPr>
          <w:trHeight w:val="280" w:hRule="atLeast"/>
        </w:trPr>
        <w:tc>
          <w:tcPr>
            <w:tcW w:w="746" w:type="dxa"/>
            <w:tcBorders>
              <w:top w:val="single" w:color="auto" w:sz="4" w:space="0"/>
              <w:left w:val="nil"/>
              <w:bottom w:val="single" w:color="auto" w:sz="4" w:space="0"/>
              <w:right w:val="nil"/>
            </w:tcBorders>
            <w:vAlign w:val="center"/>
          </w:tcPr>
          <w:p w14:paraId="3272C028">
            <w:pPr>
              <w:widowControl/>
              <w:jc w:val="center"/>
              <w:textAlignment w:val="center"/>
              <w:rPr>
                <w:rFonts w:ascii="Times New Roman" w:hAnsi="Times New Roman" w:eastAsia="宋体" w:cs="Times New Roman"/>
                <w:color w:val="000000"/>
                <w:kern w:val="0"/>
                <w:sz w:val="16"/>
                <w:szCs w:val="16"/>
                <w:highlight w:val="none"/>
                <w:lang w:bidi="ar"/>
              </w:rPr>
            </w:pPr>
            <w:r>
              <w:rPr>
                <w:rFonts w:ascii="Times New Roman" w:hAnsi="Times New Roman" w:eastAsia="宋体" w:cs="Times New Roman"/>
                <w:b/>
                <w:bCs/>
                <w:color w:val="000000"/>
                <w:kern w:val="0"/>
                <w:sz w:val="16"/>
                <w:szCs w:val="16"/>
                <w:highlight w:val="none"/>
                <w:lang w:bidi="ar"/>
              </w:rPr>
              <w:t>Patient</w:t>
            </w:r>
          </w:p>
        </w:tc>
        <w:tc>
          <w:tcPr>
            <w:tcW w:w="2378" w:type="dxa"/>
            <w:tcBorders>
              <w:top w:val="single" w:color="auto" w:sz="4" w:space="0"/>
              <w:left w:val="nil"/>
              <w:bottom w:val="single" w:color="auto" w:sz="4" w:space="0"/>
              <w:right w:val="nil"/>
            </w:tcBorders>
            <w:vAlign w:val="center"/>
          </w:tcPr>
          <w:p w14:paraId="77429179">
            <w:pPr>
              <w:widowControl/>
              <w:jc w:val="center"/>
              <w:textAlignment w:val="center"/>
              <w:rPr>
                <w:rFonts w:ascii="Times New Roman" w:hAnsi="Times New Roman" w:eastAsia="宋体" w:cs="Times New Roman"/>
                <w:color w:val="000000"/>
                <w:kern w:val="0"/>
                <w:sz w:val="16"/>
                <w:szCs w:val="16"/>
                <w:highlight w:val="none"/>
                <w:lang w:bidi="ar"/>
              </w:rPr>
            </w:pPr>
            <w:r>
              <w:rPr>
                <w:rFonts w:ascii="Times New Roman" w:hAnsi="Times New Roman" w:eastAsia="宋体" w:cs="Times New Roman"/>
                <w:b/>
                <w:bCs/>
                <w:color w:val="000000"/>
                <w:kern w:val="0"/>
                <w:sz w:val="16"/>
                <w:szCs w:val="16"/>
                <w:highlight w:val="none"/>
                <w:lang w:bidi="ar"/>
              </w:rPr>
              <w:t>Mutation</w:t>
            </w:r>
          </w:p>
        </w:tc>
        <w:tc>
          <w:tcPr>
            <w:tcW w:w="791" w:type="dxa"/>
            <w:tcBorders>
              <w:top w:val="single" w:color="auto" w:sz="4" w:space="0"/>
              <w:left w:val="nil"/>
              <w:bottom w:val="single" w:color="auto" w:sz="4" w:space="0"/>
              <w:right w:val="nil"/>
            </w:tcBorders>
            <w:vAlign w:val="center"/>
          </w:tcPr>
          <w:p w14:paraId="4FD3D215">
            <w:pPr>
              <w:widowControl/>
              <w:jc w:val="center"/>
              <w:textAlignment w:val="center"/>
              <w:rPr>
                <w:rFonts w:ascii="Times New Roman" w:hAnsi="Times New Roman" w:eastAsia="宋体" w:cs="Times New Roman"/>
                <w:color w:val="000000"/>
                <w:kern w:val="0"/>
                <w:sz w:val="16"/>
                <w:szCs w:val="16"/>
                <w:highlight w:val="none"/>
                <w:lang w:bidi="ar"/>
              </w:rPr>
            </w:pPr>
            <w:r>
              <w:rPr>
                <w:rFonts w:ascii="Times New Roman" w:hAnsi="Times New Roman" w:eastAsia="宋体" w:cs="Times New Roman"/>
                <w:b/>
                <w:bCs/>
                <w:color w:val="000000"/>
                <w:kern w:val="0"/>
                <w:sz w:val="16"/>
                <w:szCs w:val="16"/>
                <w:highlight w:val="none"/>
                <w:lang w:bidi="ar"/>
              </w:rPr>
              <w:t>Age at onset of diabetes</w:t>
            </w:r>
          </w:p>
        </w:tc>
        <w:tc>
          <w:tcPr>
            <w:tcW w:w="746" w:type="dxa"/>
            <w:tcBorders>
              <w:top w:val="single" w:color="auto" w:sz="4" w:space="0"/>
              <w:left w:val="nil"/>
              <w:bottom w:val="single" w:color="auto" w:sz="4" w:space="0"/>
              <w:right w:val="nil"/>
            </w:tcBorders>
            <w:vAlign w:val="center"/>
          </w:tcPr>
          <w:p w14:paraId="0C2F44AD">
            <w:pPr>
              <w:widowControl/>
              <w:jc w:val="center"/>
              <w:textAlignment w:val="center"/>
              <w:rPr>
                <w:rFonts w:ascii="Times New Roman" w:hAnsi="Times New Roman" w:eastAsia="宋体" w:cs="Times New Roman"/>
                <w:color w:val="000000"/>
                <w:kern w:val="0"/>
                <w:sz w:val="16"/>
                <w:szCs w:val="16"/>
                <w:highlight w:val="none"/>
                <w:lang w:bidi="ar"/>
              </w:rPr>
            </w:pPr>
            <w:r>
              <w:rPr>
                <w:rFonts w:ascii="Times New Roman" w:hAnsi="Times New Roman" w:eastAsia="宋体" w:cs="Times New Roman"/>
                <w:b/>
                <w:bCs/>
                <w:color w:val="000000"/>
                <w:kern w:val="0"/>
                <w:sz w:val="16"/>
                <w:szCs w:val="16"/>
                <w:highlight w:val="none"/>
                <w:lang w:bidi="ar"/>
              </w:rPr>
              <w:t xml:space="preserve">Sex </w:t>
            </w:r>
          </w:p>
        </w:tc>
        <w:tc>
          <w:tcPr>
            <w:tcW w:w="885" w:type="dxa"/>
            <w:tcBorders>
              <w:top w:val="single" w:color="auto" w:sz="4" w:space="0"/>
              <w:left w:val="nil"/>
              <w:bottom w:val="single" w:color="auto" w:sz="4" w:space="0"/>
              <w:right w:val="nil"/>
            </w:tcBorders>
            <w:vAlign w:val="center"/>
          </w:tcPr>
          <w:p w14:paraId="0C6A5A8C">
            <w:pPr>
              <w:widowControl/>
              <w:jc w:val="center"/>
              <w:textAlignment w:val="center"/>
              <w:rPr>
                <w:rFonts w:ascii="Times New Roman" w:hAnsi="Times New Roman" w:eastAsia="宋体" w:cs="Times New Roman"/>
                <w:color w:val="000000"/>
                <w:kern w:val="0"/>
                <w:sz w:val="16"/>
                <w:szCs w:val="16"/>
                <w:highlight w:val="none"/>
                <w:lang w:bidi="ar"/>
              </w:rPr>
            </w:pPr>
            <w:r>
              <w:rPr>
                <w:rFonts w:ascii="Times New Roman" w:hAnsi="Times New Roman" w:eastAsia="宋体" w:cs="Times New Roman"/>
                <w:b/>
                <w:bCs/>
                <w:color w:val="000000"/>
                <w:kern w:val="0"/>
                <w:sz w:val="16"/>
                <w:szCs w:val="16"/>
                <w:highlight w:val="none"/>
                <w:lang w:bidi="ar"/>
              </w:rPr>
              <w:t>BMI (kg/m</w:t>
            </w:r>
            <w:r>
              <w:rPr>
                <w:rFonts w:ascii="Times New Roman" w:hAnsi="Times New Roman" w:eastAsia="宋体" w:cs="Times New Roman"/>
                <w:b/>
                <w:bCs/>
                <w:color w:val="000000"/>
                <w:kern w:val="0"/>
                <w:sz w:val="16"/>
                <w:szCs w:val="16"/>
                <w:highlight w:val="none"/>
                <w:vertAlign w:val="superscript"/>
                <w:lang w:bidi="ar"/>
              </w:rPr>
              <w:t>2</w:t>
            </w:r>
            <w:r>
              <w:rPr>
                <w:rFonts w:ascii="Times New Roman" w:hAnsi="Times New Roman" w:eastAsia="宋体" w:cs="Times New Roman"/>
                <w:b/>
                <w:bCs/>
                <w:color w:val="000000"/>
                <w:kern w:val="0"/>
                <w:sz w:val="16"/>
                <w:szCs w:val="16"/>
                <w:highlight w:val="none"/>
                <w:lang w:bidi="ar"/>
              </w:rPr>
              <w:t>)</w:t>
            </w:r>
          </w:p>
        </w:tc>
        <w:tc>
          <w:tcPr>
            <w:tcW w:w="1361" w:type="dxa"/>
            <w:tcBorders>
              <w:top w:val="single" w:color="auto" w:sz="4" w:space="0"/>
              <w:left w:val="nil"/>
              <w:bottom w:val="single" w:color="auto" w:sz="4" w:space="0"/>
              <w:right w:val="nil"/>
            </w:tcBorders>
            <w:vAlign w:val="center"/>
          </w:tcPr>
          <w:p w14:paraId="67205B17">
            <w:pPr>
              <w:widowControl/>
              <w:jc w:val="center"/>
              <w:textAlignment w:val="center"/>
              <w:rPr>
                <w:rFonts w:ascii="Times New Roman" w:hAnsi="Times New Roman" w:eastAsia="宋体" w:cs="Times New Roman"/>
                <w:color w:val="000000"/>
                <w:kern w:val="0"/>
                <w:sz w:val="16"/>
                <w:szCs w:val="16"/>
                <w:highlight w:val="none"/>
                <w:lang w:bidi="ar"/>
              </w:rPr>
            </w:pPr>
            <w:r>
              <w:rPr>
                <w:rFonts w:ascii="Times New Roman" w:hAnsi="Times New Roman" w:eastAsia="宋体" w:cs="Times New Roman"/>
                <w:b/>
                <w:bCs/>
                <w:color w:val="000000"/>
                <w:kern w:val="0"/>
                <w:sz w:val="16"/>
                <w:szCs w:val="16"/>
                <w:highlight w:val="none"/>
                <w:lang w:bidi="ar"/>
              </w:rPr>
              <w:t>HbA1c at onset of diabetes (%)</w:t>
            </w:r>
          </w:p>
        </w:tc>
        <w:tc>
          <w:tcPr>
            <w:tcW w:w="1244" w:type="dxa"/>
            <w:tcBorders>
              <w:top w:val="single" w:color="auto" w:sz="4" w:space="0"/>
              <w:left w:val="nil"/>
              <w:bottom w:val="single" w:color="auto" w:sz="4" w:space="0"/>
              <w:right w:val="nil"/>
            </w:tcBorders>
            <w:vAlign w:val="center"/>
          </w:tcPr>
          <w:p w14:paraId="5F535DF7">
            <w:pPr>
              <w:widowControl/>
              <w:jc w:val="center"/>
              <w:textAlignment w:val="center"/>
              <w:rPr>
                <w:rFonts w:ascii="Times New Roman" w:hAnsi="Times New Roman" w:eastAsia="宋体" w:cs="Times New Roman"/>
                <w:color w:val="000000"/>
                <w:kern w:val="0"/>
                <w:sz w:val="16"/>
                <w:szCs w:val="16"/>
                <w:highlight w:val="none"/>
                <w:lang w:bidi="ar"/>
              </w:rPr>
            </w:pPr>
            <w:r>
              <w:rPr>
                <w:rFonts w:ascii="Times New Roman" w:hAnsi="Times New Roman" w:eastAsia="宋体" w:cs="Times New Roman"/>
                <w:b/>
                <w:bCs/>
                <w:color w:val="000000"/>
                <w:kern w:val="0"/>
                <w:sz w:val="16"/>
                <w:szCs w:val="16"/>
                <w:highlight w:val="none"/>
                <w:lang w:bidi="ar"/>
              </w:rPr>
              <w:t>Islet autoimmune antibodies</w:t>
            </w:r>
          </w:p>
        </w:tc>
        <w:tc>
          <w:tcPr>
            <w:tcW w:w="1246" w:type="dxa"/>
            <w:tcBorders>
              <w:top w:val="single" w:color="auto" w:sz="4" w:space="0"/>
              <w:left w:val="nil"/>
              <w:bottom w:val="single" w:color="auto" w:sz="4" w:space="0"/>
              <w:right w:val="nil"/>
            </w:tcBorders>
            <w:vAlign w:val="center"/>
          </w:tcPr>
          <w:p w14:paraId="1C48BA0E">
            <w:pPr>
              <w:widowControl/>
              <w:jc w:val="center"/>
              <w:textAlignment w:val="center"/>
              <w:rPr>
                <w:rFonts w:ascii="Times New Roman" w:hAnsi="Times New Roman" w:eastAsia="宋体" w:cs="Times New Roman"/>
                <w:b/>
                <w:bCs/>
                <w:color w:val="000000"/>
                <w:kern w:val="0"/>
                <w:sz w:val="16"/>
                <w:szCs w:val="16"/>
                <w:highlight w:val="none"/>
                <w:lang w:bidi="ar"/>
              </w:rPr>
            </w:pPr>
            <w:r>
              <w:rPr>
                <w:rFonts w:ascii="Times New Roman" w:hAnsi="Times New Roman" w:eastAsia="宋体" w:cs="Times New Roman"/>
                <w:b/>
                <w:bCs/>
                <w:color w:val="000000"/>
                <w:kern w:val="0"/>
                <w:sz w:val="16"/>
                <w:szCs w:val="16"/>
                <w:highlight w:val="none"/>
                <w:lang w:bidi="ar"/>
              </w:rPr>
              <w:t>Fasting plasma glucose</w:t>
            </w:r>
          </w:p>
          <w:p w14:paraId="2D165F16">
            <w:pPr>
              <w:widowControl/>
              <w:jc w:val="center"/>
              <w:textAlignment w:val="center"/>
              <w:rPr>
                <w:rFonts w:ascii="Times New Roman" w:hAnsi="Times New Roman" w:eastAsia="宋体" w:cs="Times New Roman"/>
                <w:color w:val="000000"/>
                <w:kern w:val="0"/>
                <w:sz w:val="16"/>
                <w:szCs w:val="16"/>
                <w:highlight w:val="none"/>
                <w:lang w:bidi="ar"/>
              </w:rPr>
            </w:pPr>
            <w:r>
              <w:rPr>
                <w:rFonts w:ascii="Times New Roman" w:hAnsi="Times New Roman" w:eastAsia="宋体" w:cs="Times New Roman"/>
                <w:b/>
                <w:bCs/>
                <w:color w:val="000000"/>
                <w:kern w:val="0"/>
                <w:sz w:val="16"/>
                <w:szCs w:val="16"/>
                <w:highlight w:val="none"/>
                <w:lang w:bidi="ar"/>
              </w:rPr>
              <w:t>(mmol/L)</w:t>
            </w:r>
          </w:p>
        </w:tc>
        <w:tc>
          <w:tcPr>
            <w:tcW w:w="1146" w:type="dxa"/>
            <w:tcBorders>
              <w:top w:val="single" w:color="auto" w:sz="4" w:space="0"/>
              <w:left w:val="nil"/>
              <w:bottom w:val="single" w:color="auto" w:sz="4" w:space="0"/>
              <w:right w:val="nil"/>
            </w:tcBorders>
            <w:vAlign w:val="center"/>
          </w:tcPr>
          <w:p w14:paraId="4E4AAB14">
            <w:pPr>
              <w:widowControl/>
              <w:jc w:val="center"/>
              <w:textAlignment w:val="center"/>
              <w:rPr>
                <w:rFonts w:ascii="Times New Roman" w:hAnsi="Times New Roman" w:eastAsia="宋体" w:cs="Times New Roman"/>
                <w:b/>
                <w:bCs/>
                <w:color w:val="000000"/>
                <w:kern w:val="0"/>
                <w:sz w:val="16"/>
                <w:szCs w:val="16"/>
                <w:highlight w:val="none"/>
                <w:lang w:bidi="ar"/>
              </w:rPr>
            </w:pPr>
            <w:r>
              <w:rPr>
                <w:rFonts w:ascii="Times New Roman" w:hAnsi="Times New Roman" w:eastAsia="宋体" w:cs="Times New Roman"/>
                <w:b/>
                <w:bCs/>
                <w:color w:val="000000"/>
                <w:kern w:val="0"/>
                <w:sz w:val="16"/>
                <w:szCs w:val="16"/>
                <w:highlight w:val="none"/>
                <w:lang w:bidi="ar"/>
              </w:rPr>
              <w:t>Fasting insulin</w:t>
            </w:r>
          </w:p>
          <w:p w14:paraId="2192012C">
            <w:pPr>
              <w:widowControl/>
              <w:jc w:val="center"/>
              <w:textAlignment w:val="center"/>
              <w:rPr>
                <w:rFonts w:ascii="Times New Roman" w:hAnsi="Times New Roman" w:eastAsia="宋体" w:cs="Times New Roman"/>
                <w:color w:val="000000"/>
                <w:kern w:val="0"/>
                <w:sz w:val="16"/>
                <w:szCs w:val="16"/>
                <w:highlight w:val="none"/>
                <w:lang w:bidi="ar"/>
              </w:rPr>
            </w:pPr>
            <w:r>
              <w:rPr>
                <w:rFonts w:ascii="Times New Roman" w:hAnsi="Times New Roman" w:eastAsia="宋体" w:cs="Times New Roman"/>
                <w:b/>
                <w:bCs/>
                <w:color w:val="000000"/>
                <w:kern w:val="0"/>
                <w:sz w:val="16"/>
                <w:szCs w:val="16"/>
                <w:highlight w:val="none"/>
                <w:lang w:bidi="ar"/>
              </w:rPr>
              <w:t>(pmol/L)</w:t>
            </w:r>
          </w:p>
        </w:tc>
        <w:tc>
          <w:tcPr>
            <w:tcW w:w="1162" w:type="dxa"/>
            <w:tcBorders>
              <w:top w:val="single" w:color="auto" w:sz="4" w:space="0"/>
              <w:left w:val="nil"/>
              <w:bottom w:val="single" w:color="auto" w:sz="4" w:space="0"/>
              <w:right w:val="nil"/>
            </w:tcBorders>
            <w:vAlign w:val="center"/>
          </w:tcPr>
          <w:p w14:paraId="7943C5D4">
            <w:pPr>
              <w:widowControl/>
              <w:jc w:val="center"/>
              <w:textAlignment w:val="center"/>
              <w:rPr>
                <w:rFonts w:ascii="Times New Roman" w:hAnsi="Times New Roman" w:eastAsia="宋体" w:cs="Times New Roman"/>
                <w:b/>
                <w:bCs/>
                <w:color w:val="000000"/>
                <w:kern w:val="0"/>
                <w:sz w:val="16"/>
                <w:szCs w:val="16"/>
                <w:highlight w:val="none"/>
                <w:lang w:bidi="ar"/>
              </w:rPr>
            </w:pPr>
            <w:r>
              <w:rPr>
                <w:rFonts w:ascii="Times New Roman" w:hAnsi="Times New Roman" w:eastAsia="宋体" w:cs="Times New Roman"/>
                <w:b/>
                <w:bCs/>
                <w:color w:val="000000"/>
                <w:kern w:val="0"/>
                <w:sz w:val="16"/>
                <w:szCs w:val="16"/>
                <w:highlight w:val="none"/>
                <w:lang w:bidi="ar"/>
              </w:rPr>
              <w:t>Fasting C-peptide</w:t>
            </w:r>
          </w:p>
          <w:p w14:paraId="380955D8">
            <w:pPr>
              <w:widowControl/>
              <w:jc w:val="center"/>
              <w:textAlignment w:val="center"/>
              <w:rPr>
                <w:rFonts w:ascii="Times New Roman" w:hAnsi="Times New Roman" w:eastAsia="宋体" w:cs="Times New Roman"/>
                <w:color w:val="000000"/>
                <w:kern w:val="0"/>
                <w:sz w:val="16"/>
                <w:szCs w:val="16"/>
                <w:highlight w:val="none"/>
                <w:lang w:bidi="ar"/>
              </w:rPr>
            </w:pPr>
            <w:r>
              <w:rPr>
                <w:rFonts w:ascii="Times New Roman" w:hAnsi="Times New Roman" w:eastAsia="宋体" w:cs="Times New Roman"/>
                <w:b/>
                <w:bCs/>
                <w:color w:val="000000"/>
                <w:kern w:val="0"/>
                <w:sz w:val="16"/>
                <w:szCs w:val="16"/>
                <w:highlight w:val="none"/>
                <w:lang w:bidi="ar"/>
              </w:rPr>
              <w:t>(pmol/L)</w:t>
            </w:r>
          </w:p>
        </w:tc>
        <w:tc>
          <w:tcPr>
            <w:tcW w:w="1315" w:type="dxa"/>
            <w:tcBorders>
              <w:top w:val="single" w:color="auto" w:sz="4" w:space="0"/>
              <w:left w:val="nil"/>
              <w:bottom w:val="single" w:color="auto" w:sz="4" w:space="0"/>
              <w:right w:val="nil"/>
            </w:tcBorders>
            <w:vAlign w:val="center"/>
          </w:tcPr>
          <w:p w14:paraId="592F14D0">
            <w:pPr>
              <w:widowControl/>
              <w:jc w:val="center"/>
              <w:textAlignment w:val="center"/>
              <w:rPr>
                <w:rFonts w:ascii="Times New Roman" w:hAnsi="Times New Roman" w:eastAsia="宋体" w:cs="Times New Roman"/>
                <w:color w:val="000000"/>
                <w:kern w:val="0"/>
                <w:sz w:val="16"/>
                <w:szCs w:val="16"/>
                <w:highlight w:val="none"/>
                <w:lang w:bidi="ar"/>
              </w:rPr>
            </w:pPr>
            <w:r>
              <w:rPr>
                <w:rFonts w:ascii="Times New Roman" w:hAnsi="Times New Roman" w:eastAsia="宋体" w:cs="Times New Roman"/>
                <w:b/>
                <w:bCs/>
                <w:color w:val="000000"/>
                <w:kern w:val="0"/>
                <w:sz w:val="16"/>
                <w:szCs w:val="16"/>
                <w:highlight w:val="none"/>
                <w:lang w:bidi="ar"/>
              </w:rPr>
              <w:t>DKA at onset</w:t>
            </w:r>
          </w:p>
        </w:tc>
        <w:tc>
          <w:tcPr>
            <w:tcW w:w="1315" w:type="dxa"/>
            <w:tcBorders>
              <w:top w:val="single" w:color="auto" w:sz="4" w:space="0"/>
              <w:left w:val="nil"/>
              <w:bottom w:val="single" w:color="auto" w:sz="4" w:space="0"/>
              <w:right w:val="nil"/>
            </w:tcBorders>
            <w:vAlign w:val="center"/>
          </w:tcPr>
          <w:p w14:paraId="7E3E4521">
            <w:pPr>
              <w:widowControl/>
              <w:jc w:val="center"/>
              <w:textAlignment w:val="center"/>
              <w:rPr>
                <w:rFonts w:ascii="Times New Roman" w:hAnsi="Times New Roman" w:eastAsia="宋体" w:cs="Times New Roman"/>
                <w:b/>
                <w:bCs/>
                <w:color w:val="000000"/>
                <w:kern w:val="0"/>
                <w:sz w:val="16"/>
                <w:szCs w:val="16"/>
                <w:highlight w:val="none"/>
                <w:lang w:bidi="ar"/>
              </w:rPr>
            </w:pPr>
            <w:r>
              <w:rPr>
                <w:rFonts w:ascii="Times New Roman" w:hAnsi="Times New Roman" w:eastAsia="宋体" w:cs="Times New Roman"/>
                <w:b/>
                <w:bCs/>
                <w:color w:val="000000"/>
                <w:kern w:val="0"/>
                <w:sz w:val="16"/>
                <w:szCs w:val="16"/>
                <w:highlight w:val="none"/>
                <w:lang w:bidi="ar"/>
              </w:rPr>
              <w:t>Ref.</w:t>
            </w:r>
          </w:p>
        </w:tc>
      </w:tr>
      <w:tr w14:paraId="4EC01F96">
        <w:tblPrEx>
          <w:tblCellMar>
            <w:top w:w="0" w:type="dxa"/>
            <w:left w:w="108" w:type="dxa"/>
            <w:bottom w:w="0" w:type="dxa"/>
            <w:right w:w="108" w:type="dxa"/>
          </w:tblCellMar>
        </w:tblPrEx>
        <w:trPr>
          <w:trHeight w:val="280" w:hRule="atLeast"/>
        </w:trPr>
        <w:tc>
          <w:tcPr>
            <w:tcW w:w="746" w:type="dxa"/>
            <w:tcBorders>
              <w:top w:val="single" w:color="auto" w:sz="4" w:space="0"/>
              <w:left w:val="nil"/>
              <w:bottom w:val="nil"/>
              <w:right w:val="nil"/>
            </w:tcBorders>
            <w:vAlign w:val="center"/>
          </w:tcPr>
          <w:p w14:paraId="2A18A60E">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1</w:t>
            </w:r>
          </w:p>
        </w:tc>
        <w:tc>
          <w:tcPr>
            <w:tcW w:w="2378" w:type="dxa"/>
            <w:tcBorders>
              <w:top w:val="single" w:color="auto" w:sz="4" w:space="0"/>
              <w:left w:val="nil"/>
              <w:bottom w:val="nil"/>
              <w:right w:val="nil"/>
            </w:tcBorders>
            <w:vAlign w:val="center"/>
          </w:tcPr>
          <w:p w14:paraId="0EA726EE">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V707I+F884fs951X</w:t>
            </w:r>
          </w:p>
        </w:tc>
        <w:tc>
          <w:tcPr>
            <w:tcW w:w="791" w:type="dxa"/>
            <w:tcBorders>
              <w:top w:val="single" w:color="auto" w:sz="4" w:space="0"/>
              <w:left w:val="nil"/>
              <w:bottom w:val="nil"/>
              <w:right w:val="nil"/>
            </w:tcBorders>
            <w:vAlign w:val="center"/>
          </w:tcPr>
          <w:p w14:paraId="3D8D22A5">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7</w:t>
            </w:r>
          </w:p>
        </w:tc>
        <w:tc>
          <w:tcPr>
            <w:tcW w:w="746" w:type="dxa"/>
            <w:tcBorders>
              <w:top w:val="single" w:color="auto" w:sz="4" w:space="0"/>
              <w:left w:val="nil"/>
              <w:bottom w:val="nil"/>
              <w:right w:val="nil"/>
            </w:tcBorders>
            <w:vAlign w:val="center"/>
          </w:tcPr>
          <w:p w14:paraId="6A76F7E5">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w:t>
            </w:r>
          </w:p>
        </w:tc>
        <w:tc>
          <w:tcPr>
            <w:tcW w:w="885" w:type="dxa"/>
            <w:tcBorders>
              <w:top w:val="single" w:color="auto" w:sz="4" w:space="0"/>
              <w:left w:val="nil"/>
              <w:bottom w:val="nil"/>
              <w:right w:val="nil"/>
            </w:tcBorders>
            <w:vAlign w:val="center"/>
          </w:tcPr>
          <w:p w14:paraId="7110F1DE">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w:t>
            </w:r>
          </w:p>
        </w:tc>
        <w:tc>
          <w:tcPr>
            <w:tcW w:w="1361" w:type="dxa"/>
            <w:tcBorders>
              <w:top w:val="single" w:color="auto" w:sz="4" w:space="0"/>
              <w:left w:val="nil"/>
              <w:bottom w:val="nil"/>
              <w:right w:val="nil"/>
            </w:tcBorders>
            <w:vAlign w:val="center"/>
          </w:tcPr>
          <w:p w14:paraId="321BBE25">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w:t>
            </w:r>
          </w:p>
        </w:tc>
        <w:tc>
          <w:tcPr>
            <w:tcW w:w="1244" w:type="dxa"/>
            <w:tcBorders>
              <w:top w:val="single" w:color="auto" w:sz="4" w:space="0"/>
              <w:left w:val="nil"/>
              <w:bottom w:val="nil"/>
              <w:right w:val="nil"/>
            </w:tcBorders>
            <w:vAlign w:val="center"/>
          </w:tcPr>
          <w:p w14:paraId="6D5A6BE1">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w:t>
            </w:r>
          </w:p>
        </w:tc>
        <w:tc>
          <w:tcPr>
            <w:tcW w:w="1246" w:type="dxa"/>
            <w:tcBorders>
              <w:top w:val="single" w:color="auto" w:sz="4" w:space="0"/>
              <w:left w:val="nil"/>
              <w:bottom w:val="nil"/>
              <w:right w:val="nil"/>
            </w:tcBorders>
            <w:vAlign w:val="center"/>
          </w:tcPr>
          <w:p w14:paraId="40E979CB">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w:t>
            </w:r>
          </w:p>
        </w:tc>
        <w:tc>
          <w:tcPr>
            <w:tcW w:w="1146" w:type="dxa"/>
            <w:tcBorders>
              <w:top w:val="single" w:color="auto" w:sz="4" w:space="0"/>
              <w:left w:val="nil"/>
              <w:bottom w:val="nil"/>
              <w:right w:val="nil"/>
            </w:tcBorders>
            <w:vAlign w:val="center"/>
          </w:tcPr>
          <w:p w14:paraId="57F23FAE">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w:t>
            </w:r>
          </w:p>
        </w:tc>
        <w:tc>
          <w:tcPr>
            <w:tcW w:w="1162" w:type="dxa"/>
            <w:tcBorders>
              <w:top w:val="single" w:color="auto" w:sz="4" w:space="0"/>
              <w:left w:val="nil"/>
              <w:bottom w:val="nil"/>
              <w:right w:val="nil"/>
            </w:tcBorders>
            <w:vAlign w:val="center"/>
          </w:tcPr>
          <w:p w14:paraId="0381D560">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w:t>
            </w:r>
          </w:p>
        </w:tc>
        <w:tc>
          <w:tcPr>
            <w:tcW w:w="1315" w:type="dxa"/>
            <w:tcBorders>
              <w:top w:val="single" w:color="auto" w:sz="4" w:space="0"/>
              <w:left w:val="nil"/>
              <w:bottom w:val="nil"/>
              <w:right w:val="nil"/>
            </w:tcBorders>
            <w:vAlign w:val="center"/>
          </w:tcPr>
          <w:p w14:paraId="26E36B37">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w:t>
            </w:r>
          </w:p>
        </w:tc>
        <w:tc>
          <w:tcPr>
            <w:tcW w:w="1315" w:type="dxa"/>
            <w:vMerge w:val="restart"/>
            <w:tcBorders>
              <w:top w:val="single" w:color="auto" w:sz="4" w:space="0"/>
              <w:left w:val="nil"/>
              <w:right w:val="nil"/>
            </w:tcBorders>
            <w:vAlign w:val="center"/>
          </w:tcPr>
          <w:p w14:paraId="7D94DE51">
            <w:pPr>
              <w:widowControl/>
              <w:jc w:val="center"/>
              <w:textAlignment w:val="center"/>
              <w:rPr>
                <w:rFonts w:ascii="Times New Roman" w:hAnsi="Times New Roman" w:eastAsia="宋体" w:cs="Times New Roman"/>
                <w:color w:val="000000"/>
                <w:kern w:val="0"/>
                <w:sz w:val="16"/>
                <w:szCs w:val="16"/>
                <w:highlight w:val="none"/>
                <w:lang w:bidi="ar"/>
              </w:rPr>
            </w:pPr>
            <w:r>
              <w:rPr>
                <w:rFonts w:ascii="Times New Roman" w:hAnsi="Times New Roman" w:eastAsia="宋体" w:cs="Times New Roman"/>
                <w:color w:val="000000"/>
                <w:sz w:val="16"/>
                <w:szCs w:val="16"/>
                <w:highlight w:val="none"/>
              </w:rPr>
              <w:fldChar w:fldCharType="begin" w:fldLock="1"/>
            </w:r>
            <w:r>
              <w:rPr>
                <w:rFonts w:ascii="Times New Roman" w:hAnsi="Times New Roman" w:eastAsia="宋体" w:cs="Times New Roman"/>
                <w:color w:val="000000"/>
                <w:sz w:val="16"/>
                <w:szCs w:val="16"/>
                <w:highlight w:val="none"/>
              </w:rPr>
              <w:instrText xml:space="preserve">ADDIN CSL_CITATION {"citationItems":[{"id":"ITEM-1","itemData":{"DOI":"10.1093/hmg/ddn304","ISSN":"09646906","PMID":"18806274","abstract":"Most cases of juvenile-onset diabetes (JOD) are diagnosed as type 1 diabetes (T1D), for which genetic studies conducted in outbred Caucasian populations support the concept of multifactorial inheritance. However, this view may be partly challenged in particular population settings. In view of the suggestive evidence for a high prevalence of Wolfram syndrome (WFS) in Lebanon, the phenotypic variability associated with WFS1 mutations, and the high consanguinity rate in Lebanon, we aimed to evaluate the contribution of WFS1 mutations as monogenic determinants to JOD in Lebanon. We performed a family-based genetic study, with linkage analysis followed by systematic mutation screening of WFS1 exons in all JOD probands. The study population consisted of an unbiased recruitment of all juvenile-onset insulin-dependent diabetic patients from a specialized diabetes pediatric clinic in Beirut, Lebanon. Homozygous or compound heterozygous WFS1 mutations were found in 22 of the 399 JOD probands (5.5%), resulting in WFS (17 probands) or in non-syndromic non-autoimmune diabetes mellitus (DM, five probands). These accounted for 12.1% (21/174) of probands in consanguineous families, compared with 0.4% (1/225) in non-consanguineous families. Of the 38 patients identified with homozygous or compound heterozygous WFS1 mutations, 11 (29%) had non-syndromic DM, all of whom carried a particular WFS1 mutation, WFS1LIB, encoding a protein with an extended C-terminal domain. This mutation resulted in a delayed onset or absence of extrapancreatic features. These results underscore the major impact of population-specific factors, such as population-specific mutations and founder effects, and family structure in the genetic determinism of JOD. © The Author 2008. Published by Oxford University Press. All rights reserved.","author":[{"dropping-particle":"","family":"Zalloua","given":"Pierre A.","non-dropping-particle":"","parse-names":false,"suffix":""},{"dropping-particle":"","family":"Azar","given":"Sami T.","non-dropping-particle":"","parse-names":false,"suffix":""},{"dropping-particle":"","family":"Deelépine","given":"Marc","non-dropping-particle":"","parse-names":false,"suffix":""},{"dropping-particle":"","family":"Makhoul","given":"Nadine J.","non-dropping-particle":"","parse-names":false,"suffix":""},{"dropping-particle":"","family":"Blanc","given":"Hervé","non-dropping-particle":"","parse-names":false,"suffix":""},{"dropping-particle":"","family":"Sanyoura","given":"May","non-dropping-particle":"","parse-names":false,"suffix":""},{"dropping-particle":"","family":"Lavergne","given":"Anne","non-dropping-particle":"","parse-names":false,"suffix":""},{"dropping-particle":"","family":"Stankov","given":"Karmen","non-dropping-particle":"","parse-names":false,"suffix":""},{"dropping-particle":"","family":"Lemainque","given":"Arnaud","non-dropping-particle":"","parse-names":false,"suffix":""},{"dropping-particle":"","family":"Baz","given":"Patrick","non-dropping-particle":"","parse-names":false,"suffix":""},{"dropping-particle":"","family":"Julier","given":"Cécile","non-dropping-particle":"","parse-names":false,"suffix":""}],"container-title":"Human Molecular Genetics","id":"ITEM-1","issue":"24","issued":{"date-parts":[["2008"]]},"page":"4012-4021","title":"WFS1 mutations are frequent monogenic causes of juvenile-onset diabetes mellitus in Lebanon","type":"article-journal","volume":"17"},"uris":["http://www.mendeley.com/documents/?uuid=6d9b1a1c-f167-485f-b0eb-1bce1c11a3bd","http://www.mendeley.com/documents/?uuid=07d96d93-c901-478f-9f76-c77c6779b91a"]}],"mendeley":{"formattedCitation":"(1)","plainTextFormattedCitation":"(1)","previouslyFormattedCitation":"(14)"},"properties":{"noteIndex":0},"schema":"https://github.com/citation-style-language/schema/raw/master/csl-citation.json"}</w:instrText>
            </w:r>
            <w:r>
              <w:rPr>
                <w:rFonts w:ascii="Times New Roman" w:hAnsi="Times New Roman" w:eastAsia="宋体" w:cs="Times New Roman"/>
                <w:color w:val="000000"/>
                <w:sz w:val="16"/>
                <w:szCs w:val="16"/>
                <w:highlight w:val="none"/>
              </w:rPr>
              <w:fldChar w:fldCharType="separate"/>
            </w:r>
            <w:r>
              <w:rPr>
                <w:rFonts w:ascii="Times New Roman" w:hAnsi="Times New Roman" w:eastAsia="宋体" w:cs="Times New Roman"/>
                <w:color w:val="000000"/>
                <w:sz w:val="16"/>
                <w:szCs w:val="16"/>
                <w:highlight w:val="none"/>
              </w:rPr>
              <w:t>(1)</w:t>
            </w:r>
            <w:r>
              <w:rPr>
                <w:rFonts w:ascii="Times New Roman" w:hAnsi="Times New Roman" w:eastAsia="宋体" w:cs="Times New Roman"/>
                <w:color w:val="000000"/>
                <w:sz w:val="16"/>
                <w:szCs w:val="16"/>
                <w:highlight w:val="none"/>
              </w:rPr>
              <w:fldChar w:fldCharType="end"/>
            </w:r>
          </w:p>
          <w:p w14:paraId="5321B240">
            <w:pPr>
              <w:jc w:val="center"/>
              <w:textAlignment w:val="center"/>
              <w:rPr>
                <w:rFonts w:ascii="Times New Roman" w:hAnsi="Times New Roman" w:eastAsia="宋体" w:cs="Times New Roman"/>
                <w:color w:val="000000"/>
                <w:kern w:val="0"/>
                <w:sz w:val="16"/>
                <w:szCs w:val="16"/>
                <w:highlight w:val="none"/>
                <w:lang w:bidi="ar"/>
              </w:rPr>
            </w:pPr>
          </w:p>
        </w:tc>
      </w:tr>
      <w:tr w14:paraId="2FB11D3B">
        <w:tblPrEx>
          <w:tblCellMar>
            <w:top w:w="0" w:type="dxa"/>
            <w:left w:w="108" w:type="dxa"/>
            <w:bottom w:w="0" w:type="dxa"/>
            <w:right w:w="108" w:type="dxa"/>
          </w:tblCellMar>
        </w:tblPrEx>
        <w:trPr>
          <w:trHeight w:val="280" w:hRule="atLeast"/>
        </w:trPr>
        <w:tc>
          <w:tcPr>
            <w:tcW w:w="746" w:type="dxa"/>
            <w:tcBorders>
              <w:top w:val="nil"/>
              <w:left w:val="nil"/>
              <w:bottom w:val="nil"/>
              <w:right w:val="nil"/>
            </w:tcBorders>
            <w:vAlign w:val="center"/>
          </w:tcPr>
          <w:p w14:paraId="3B888B45">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2</w:t>
            </w:r>
          </w:p>
        </w:tc>
        <w:tc>
          <w:tcPr>
            <w:tcW w:w="2378" w:type="dxa"/>
            <w:tcBorders>
              <w:top w:val="nil"/>
              <w:left w:val="nil"/>
              <w:bottom w:val="nil"/>
              <w:right w:val="nil"/>
            </w:tcBorders>
            <w:vAlign w:val="center"/>
          </w:tcPr>
          <w:p w14:paraId="00539E60">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V707I+F884fs951X</w:t>
            </w:r>
          </w:p>
        </w:tc>
        <w:tc>
          <w:tcPr>
            <w:tcW w:w="791" w:type="dxa"/>
            <w:tcBorders>
              <w:top w:val="nil"/>
              <w:left w:val="nil"/>
              <w:bottom w:val="nil"/>
              <w:right w:val="nil"/>
            </w:tcBorders>
            <w:vAlign w:val="center"/>
          </w:tcPr>
          <w:p w14:paraId="22EF8738">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5</w:t>
            </w:r>
          </w:p>
        </w:tc>
        <w:tc>
          <w:tcPr>
            <w:tcW w:w="746" w:type="dxa"/>
            <w:tcBorders>
              <w:top w:val="nil"/>
              <w:left w:val="nil"/>
              <w:bottom w:val="nil"/>
              <w:right w:val="nil"/>
            </w:tcBorders>
            <w:vAlign w:val="center"/>
          </w:tcPr>
          <w:p w14:paraId="5A23279D">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w:t>
            </w:r>
          </w:p>
        </w:tc>
        <w:tc>
          <w:tcPr>
            <w:tcW w:w="885" w:type="dxa"/>
            <w:tcBorders>
              <w:top w:val="nil"/>
              <w:left w:val="nil"/>
              <w:bottom w:val="nil"/>
              <w:right w:val="nil"/>
            </w:tcBorders>
            <w:vAlign w:val="center"/>
          </w:tcPr>
          <w:p w14:paraId="11B3AA13">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w:t>
            </w:r>
          </w:p>
        </w:tc>
        <w:tc>
          <w:tcPr>
            <w:tcW w:w="1361" w:type="dxa"/>
            <w:tcBorders>
              <w:top w:val="nil"/>
              <w:left w:val="nil"/>
              <w:bottom w:val="nil"/>
              <w:right w:val="nil"/>
            </w:tcBorders>
            <w:vAlign w:val="center"/>
          </w:tcPr>
          <w:p w14:paraId="34904DEE">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w:t>
            </w:r>
          </w:p>
        </w:tc>
        <w:tc>
          <w:tcPr>
            <w:tcW w:w="1244" w:type="dxa"/>
            <w:tcBorders>
              <w:top w:val="nil"/>
              <w:left w:val="nil"/>
              <w:bottom w:val="nil"/>
              <w:right w:val="nil"/>
            </w:tcBorders>
            <w:vAlign w:val="center"/>
          </w:tcPr>
          <w:p w14:paraId="1F0A71B0">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w:t>
            </w:r>
          </w:p>
        </w:tc>
        <w:tc>
          <w:tcPr>
            <w:tcW w:w="1246" w:type="dxa"/>
            <w:tcBorders>
              <w:top w:val="nil"/>
              <w:left w:val="nil"/>
              <w:bottom w:val="nil"/>
              <w:right w:val="nil"/>
            </w:tcBorders>
            <w:vAlign w:val="center"/>
          </w:tcPr>
          <w:p w14:paraId="6EB838B0">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w:t>
            </w:r>
          </w:p>
        </w:tc>
        <w:tc>
          <w:tcPr>
            <w:tcW w:w="1146" w:type="dxa"/>
            <w:tcBorders>
              <w:top w:val="nil"/>
              <w:left w:val="nil"/>
              <w:bottom w:val="nil"/>
              <w:right w:val="nil"/>
            </w:tcBorders>
            <w:vAlign w:val="center"/>
          </w:tcPr>
          <w:p w14:paraId="2C63AA48">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w:t>
            </w:r>
          </w:p>
        </w:tc>
        <w:tc>
          <w:tcPr>
            <w:tcW w:w="1162" w:type="dxa"/>
            <w:tcBorders>
              <w:top w:val="nil"/>
              <w:left w:val="nil"/>
              <w:bottom w:val="nil"/>
              <w:right w:val="nil"/>
            </w:tcBorders>
            <w:vAlign w:val="center"/>
          </w:tcPr>
          <w:p w14:paraId="068846D4">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w:t>
            </w:r>
          </w:p>
        </w:tc>
        <w:tc>
          <w:tcPr>
            <w:tcW w:w="1315" w:type="dxa"/>
            <w:tcBorders>
              <w:top w:val="nil"/>
              <w:left w:val="nil"/>
              <w:bottom w:val="nil"/>
              <w:right w:val="nil"/>
            </w:tcBorders>
            <w:vAlign w:val="center"/>
          </w:tcPr>
          <w:p w14:paraId="3511EF1C">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w:t>
            </w:r>
          </w:p>
        </w:tc>
        <w:tc>
          <w:tcPr>
            <w:tcW w:w="1315" w:type="dxa"/>
            <w:vMerge w:val="continue"/>
            <w:tcBorders>
              <w:left w:val="nil"/>
              <w:right w:val="nil"/>
            </w:tcBorders>
            <w:vAlign w:val="center"/>
          </w:tcPr>
          <w:p w14:paraId="0C0ED294">
            <w:pPr>
              <w:jc w:val="center"/>
              <w:textAlignment w:val="center"/>
              <w:rPr>
                <w:rFonts w:ascii="Times New Roman" w:hAnsi="Times New Roman" w:eastAsia="宋体" w:cs="Times New Roman"/>
                <w:color w:val="000000"/>
                <w:kern w:val="0"/>
                <w:sz w:val="16"/>
                <w:szCs w:val="16"/>
                <w:highlight w:val="none"/>
                <w:lang w:bidi="ar"/>
              </w:rPr>
            </w:pPr>
          </w:p>
        </w:tc>
      </w:tr>
      <w:tr w14:paraId="14AF5EC3">
        <w:tblPrEx>
          <w:tblCellMar>
            <w:top w:w="0" w:type="dxa"/>
            <w:left w:w="108" w:type="dxa"/>
            <w:bottom w:w="0" w:type="dxa"/>
            <w:right w:w="108" w:type="dxa"/>
          </w:tblCellMar>
        </w:tblPrEx>
        <w:trPr>
          <w:trHeight w:val="280" w:hRule="atLeast"/>
        </w:trPr>
        <w:tc>
          <w:tcPr>
            <w:tcW w:w="746" w:type="dxa"/>
            <w:tcBorders>
              <w:top w:val="nil"/>
              <w:left w:val="nil"/>
              <w:bottom w:val="nil"/>
              <w:right w:val="nil"/>
            </w:tcBorders>
            <w:vAlign w:val="center"/>
          </w:tcPr>
          <w:p w14:paraId="38BB3361">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3</w:t>
            </w:r>
          </w:p>
        </w:tc>
        <w:tc>
          <w:tcPr>
            <w:tcW w:w="2378" w:type="dxa"/>
            <w:tcBorders>
              <w:top w:val="nil"/>
              <w:left w:val="nil"/>
              <w:bottom w:val="nil"/>
              <w:right w:val="nil"/>
            </w:tcBorders>
            <w:vAlign w:val="center"/>
          </w:tcPr>
          <w:p w14:paraId="00AEED01">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V707I+F884fs951X</w:t>
            </w:r>
          </w:p>
        </w:tc>
        <w:tc>
          <w:tcPr>
            <w:tcW w:w="791" w:type="dxa"/>
            <w:tcBorders>
              <w:top w:val="nil"/>
              <w:left w:val="nil"/>
              <w:bottom w:val="nil"/>
              <w:right w:val="nil"/>
            </w:tcBorders>
            <w:vAlign w:val="center"/>
          </w:tcPr>
          <w:p w14:paraId="51C6EDE5">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5</w:t>
            </w:r>
          </w:p>
        </w:tc>
        <w:tc>
          <w:tcPr>
            <w:tcW w:w="746" w:type="dxa"/>
            <w:tcBorders>
              <w:top w:val="nil"/>
              <w:left w:val="nil"/>
              <w:bottom w:val="nil"/>
              <w:right w:val="nil"/>
            </w:tcBorders>
            <w:vAlign w:val="center"/>
          </w:tcPr>
          <w:p w14:paraId="57A13C50">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w:t>
            </w:r>
          </w:p>
        </w:tc>
        <w:tc>
          <w:tcPr>
            <w:tcW w:w="885" w:type="dxa"/>
            <w:tcBorders>
              <w:top w:val="nil"/>
              <w:left w:val="nil"/>
              <w:bottom w:val="nil"/>
              <w:right w:val="nil"/>
            </w:tcBorders>
            <w:vAlign w:val="center"/>
          </w:tcPr>
          <w:p w14:paraId="5F93B15C">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w:t>
            </w:r>
          </w:p>
        </w:tc>
        <w:tc>
          <w:tcPr>
            <w:tcW w:w="1361" w:type="dxa"/>
            <w:tcBorders>
              <w:top w:val="nil"/>
              <w:left w:val="nil"/>
              <w:bottom w:val="nil"/>
              <w:right w:val="nil"/>
            </w:tcBorders>
            <w:vAlign w:val="center"/>
          </w:tcPr>
          <w:p w14:paraId="400810A1">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w:t>
            </w:r>
          </w:p>
        </w:tc>
        <w:tc>
          <w:tcPr>
            <w:tcW w:w="1244" w:type="dxa"/>
            <w:tcBorders>
              <w:top w:val="nil"/>
              <w:left w:val="nil"/>
              <w:bottom w:val="nil"/>
              <w:right w:val="nil"/>
            </w:tcBorders>
            <w:vAlign w:val="center"/>
          </w:tcPr>
          <w:p w14:paraId="1072D425">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w:t>
            </w:r>
          </w:p>
        </w:tc>
        <w:tc>
          <w:tcPr>
            <w:tcW w:w="1246" w:type="dxa"/>
            <w:tcBorders>
              <w:top w:val="nil"/>
              <w:left w:val="nil"/>
              <w:bottom w:val="nil"/>
              <w:right w:val="nil"/>
            </w:tcBorders>
            <w:vAlign w:val="center"/>
          </w:tcPr>
          <w:p w14:paraId="2041593F">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w:t>
            </w:r>
          </w:p>
        </w:tc>
        <w:tc>
          <w:tcPr>
            <w:tcW w:w="1146" w:type="dxa"/>
            <w:tcBorders>
              <w:top w:val="nil"/>
              <w:left w:val="nil"/>
              <w:bottom w:val="nil"/>
              <w:right w:val="nil"/>
            </w:tcBorders>
            <w:vAlign w:val="center"/>
          </w:tcPr>
          <w:p w14:paraId="06099C82">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w:t>
            </w:r>
          </w:p>
        </w:tc>
        <w:tc>
          <w:tcPr>
            <w:tcW w:w="1162" w:type="dxa"/>
            <w:tcBorders>
              <w:top w:val="nil"/>
              <w:left w:val="nil"/>
              <w:bottom w:val="nil"/>
              <w:right w:val="nil"/>
            </w:tcBorders>
            <w:vAlign w:val="center"/>
          </w:tcPr>
          <w:p w14:paraId="39C5D9CE">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w:t>
            </w:r>
          </w:p>
        </w:tc>
        <w:tc>
          <w:tcPr>
            <w:tcW w:w="1315" w:type="dxa"/>
            <w:tcBorders>
              <w:top w:val="nil"/>
              <w:left w:val="nil"/>
              <w:bottom w:val="nil"/>
              <w:right w:val="nil"/>
            </w:tcBorders>
            <w:vAlign w:val="center"/>
          </w:tcPr>
          <w:p w14:paraId="76417E9D">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w:t>
            </w:r>
          </w:p>
        </w:tc>
        <w:tc>
          <w:tcPr>
            <w:tcW w:w="1315" w:type="dxa"/>
            <w:vMerge w:val="continue"/>
            <w:tcBorders>
              <w:left w:val="nil"/>
              <w:right w:val="nil"/>
            </w:tcBorders>
            <w:vAlign w:val="center"/>
          </w:tcPr>
          <w:p w14:paraId="49A33184">
            <w:pPr>
              <w:jc w:val="center"/>
              <w:textAlignment w:val="center"/>
              <w:rPr>
                <w:rFonts w:ascii="Times New Roman" w:hAnsi="Times New Roman" w:eastAsia="宋体" w:cs="Times New Roman"/>
                <w:color w:val="000000"/>
                <w:kern w:val="0"/>
                <w:sz w:val="16"/>
                <w:szCs w:val="16"/>
                <w:highlight w:val="none"/>
                <w:lang w:bidi="ar"/>
              </w:rPr>
            </w:pPr>
          </w:p>
        </w:tc>
      </w:tr>
      <w:tr w14:paraId="11EB9DF5">
        <w:tblPrEx>
          <w:tblCellMar>
            <w:top w:w="0" w:type="dxa"/>
            <w:left w:w="108" w:type="dxa"/>
            <w:bottom w:w="0" w:type="dxa"/>
            <w:right w:w="108" w:type="dxa"/>
          </w:tblCellMar>
        </w:tblPrEx>
        <w:trPr>
          <w:trHeight w:val="280" w:hRule="atLeast"/>
        </w:trPr>
        <w:tc>
          <w:tcPr>
            <w:tcW w:w="746" w:type="dxa"/>
            <w:tcBorders>
              <w:top w:val="nil"/>
              <w:left w:val="nil"/>
              <w:bottom w:val="nil"/>
              <w:right w:val="nil"/>
            </w:tcBorders>
            <w:vAlign w:val="center"/>
          </w:tcPr>
          <w:p w14:paraId="26D30F18">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4</w:t>
            </w:r>
          </w:p>
        </w:tc>
        <w:tc>
          <w:tcPr>
            <w:tcW w:w="2378" w:type="dxa"/>
            <w:tcBorders>
              <w:top w:val="nil"/>
              <w:left w:val="nil"/>
              <w:bottom w:val="nil"/>
              <w:right w:val="nil"/>
            </w:tcBorders>
            <w:vAlign w:val="center"/>
          </w:tcPr>
          <w:p w14:paraId="09F6E4AA">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V707I+F884fs951X</w:t>
            </w:r>
          </w:p>
        </w:tc>
        <w:tc>
          <w:tcPr>
            <w:tcW w:w="791" w:type="dxa"/>
            <w:tcBorders>
              <w:top w:val="nil"/>
              <w:left w:val="nil"/>
              <w:bottom w:val="nil"/>
              <w:right w:val="nil"/>
            </w:tcBorders>
            <w:vAlign w:val="center"/>
          </w:tcPr>
          <w:p w14:paraId="5FAEF22C">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3</w:t>
            </w:r>
          </w:p>
        </w:tc>
        <w:tc>
          <w:tcPr>
            <w:tcW w:w="746" w:type="dxa"/>
            <w:tcBorders>
              <w:top w:val="nil"/>
              <w:left w:val="nil"/>
              <w:bottom w:val="nil"/>
              <w:right w:val="nil"/>
            </w:tcBorders>
            <w:vAlign w:val="center"/>
          </w:tcPr>
          <w:p w14:paraId="558D6676">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w:t>
            </w:r>
          </w:p>
        </w:tc>
        <w:tc>
          <w:tcPr>
            <w:tcW w:w="885" w:type="dxa"/>
            <w:tcBorders>
              <w:top w:val="nil"/>
              <w:left w:val="nil"/>
              <w:bottom w:val="nil"/>
              <w:right w:val="nil"/>
            </w:tcBorders>
            <w:vAlign w:val="center"/>
          </w:tcPr>
          <w:p w14:paraId="2CA0ACF6">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w:t>
            </w:r>
          </w:p>
        </w:tc>
        <w:tc>
          <w:tcPr>
            <w:tcW w:w="1361" w:type="dxa"/>
            <w:tcBorders>
              <w:top w:val="nil"/>
              <w:left w:val="nil"/>
              <w:bottom w:val="nil"/>
              <w:right w:val="nil"/>
            </w:tcBorders>
            <w:vAlign w:val="center"/>
          </w:tcPr>
          <w:p w14:paraId="2B182904">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w:t>
            </w:r>
          </w:p>
        </w:tc>
        <w:tc>
          <w:tcPr>
            <w:tcW w:w="1244" w:type="dxa"/>
            <w:tcBorders>
              <w:top w:val="nil"/>
              <w:left w:val="nil"/>
              <w:bottom w:val="nil"/>
              <w:right w:val="nil"/>
            </w:tcBorders>
            <w:vAlign w:val="center"/>
          </w:tcPr>
          <w:p w14:paraId="58EA5B83">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w:t>
            </w:r>
          </w:p>
        </w:tc>
        <w:tc>
          <w:tcPr>
            <w:tcW w:w="1246" w:type="dxa"/>
            <w:tcBorders>
              <w:top w:val="nil"/>
              <w:left w:val="nil"/>
              <w:bottom w:val="nil"/>
              <w:right w:val="nil"/>
            </w:tcBorders>
            <w:vAlign w:val="center"/>
          </w:tcPr>
          <w:p w14:paraId="31C5A15C">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w:t>
            </w:r>
          </w:p>
        </w:tc>
        <w:tc>
          <w:tcPr>
            <w:tcW w:w="1146" w:type="dxa"/>
            <w:tcBorders>
              <w:top w:val="nil"/>
              <w:left w:val="nil"/>
              <w:bottom w:val="nil"/>
              <w:right w:val="nil"/>
            </w:tcBorders>
            <w:vAlign w:val="center"/>
          </w:tcPr>
          <w:p w14:paraId="05CC0810">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w:t>
            </w:r>
          </w:p>
        </w:tc>
        <w:tc>
          <w:tcPr>
            <w:tcW w:w="1162" w:type="dxa"/>
            <w:tcBorders>
              <w:top w:val="nil"/>
              <w:left w:val="nil"/>
              <w:bottom w:val="nil"/>
              <w:right w:val="nil"/>
            </w:tcBorders>
            <w:vAlign w:val="center"/>
          </w:tcPr>
          <w:p w14:paraId="7F5E05C8">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w:t>
            </w:r>
          </w:p>
        </w:tc>
        <w:tc>
          <w:tcPr>
            <w:tcW w:w="1315" w:type="dxa"/>
            <w:tcBorders>
              <w:top w:val="nil"/>
              <w:left w:val="nil"/>
              <w:bottom w:val="nil"/>
              <w:right w:val="nil"/>
            </w:tcBorders>
            <w:vAlign w:val="center"/>
          </w:tcPr>
          <w:p w14:paraId="5510BDCB">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w:t>
            </w:r>
          </w:p>
        </w:tc>
        <w:tc>
          <w:tcPr>
            <w:tcW w:w="1315" w:type="dxa"/>
            <w:vMerge w:val="continue"/>
            <w:tcBorders>
              <w:left w:val="nil"/>
              <w:right w:val="nil"/>
            </w:tcBorders>
            <w:vAlign w:val="center"/>
          </w:tcPr>
          <w:p w14:paraId="7E4E0390">
            <w:pPr>
              <w:jc w:val="center"/>
              <w:textAlignment w:val="center"/>
              <w:rPr>
                <w:rFonts w:ascii="Times New Roman" w:hAnsi="Times New Roman" w:eastAsia="宋体" w:cs="Times New Roman"/>
                <w:color w:val="000000"/>
                <w:kern w:val="0"/>
                <w:sz w:val="16"/>
                <w:szCs w:val="16"/>
                <w:highlight w:val="none"/>
                <w:lang w:bidi="ar"/>
              </w:rPr>
            </w:pPr>
          </w:p>
        </w:tc>
      </w:tr>
      <w:tr w14:paraId="7A06097C">
        <w:tblPrEx>
          <w:tblCellMar>
            <w:top w:w="0" w:type="dxa"/>
            <w:left w:w="108" w:type="dxa"/>
            <w:bottom w:w="0" w:type="dxa"/>
            <w:right w:w="108" w:type="dxa"/>
          </w:tblCellMar>
        </w:tblPrEx>
        <w:trPr>
          <w:trHeight w:val="280" w:hRule="atLeast"/>
        </w:trPr>
        <w:tc>
          <w:tcPr>
            <w:tcW w:w="746" w:type="dxa"/>
            <w:tcBorders>
              <w:top w:val="nil"/>
              <w:left w:val="nil"/>
              <w:bottom w:val="nil"/>
              <w:right w:val="nil"/>
            </w:tcBorders>
            <w:vAlign w:val="center"/>
          </w:tcPr>
          <w:p w14:paraId="17177030">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5</w:t>
            </w:r>
          </w:p>
        </w:tc>
        <w:tc>
          <w:tcPr>
            <w:tcW w:w="2378" w:type="dxa"/>
            <w:tcBorders>
              <w:top w:val="nil"/>
              <w:left w:val="nil"/>
              <w:bottom w:val="nil"/>
              <w:right w:val="nil"/>
            </w:tcBorders>
            <w:vAlign w:val="center"/>
          </w:tcPr>
          <w:p w14:paraId="79378D0B">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V707I+F884fs951X</w:t>
            </w:r>
          </w:p>
        </w:tc>
        <w:tc>
          <w:tcPr>
            <w:tcW w:w="791" w:type="dxa"/>
            <w:tcBorders>
              <w:top w:val="nil"/>
              <w:left w:val="nil"/>
              <w:bottom w:val="nil"/>
              <w:right w:val="nil"/>
            </w:tcBorders>
            <w:vAlign w:val="center"/>
          </w:tcPr>
          <w:p w14:paraId="632AD442">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7</w:t>
            </w:r>
          </w:p>
        </w:tc>
        <w:tc>
          <w:tcPr>
            <w:tcW w:w="746" w:type="dxa"/>
            <w:tcBorders>
              <w:top w:val="nil"/>
              <w:left w:val="nil"/>
              <w:bottom w:val="nil"/>
              <w:right w:val="nil"/>
            </w:tcBorders>
            <w:vAlign w:val="center"/>
          </w:tcPr>
          <w:p w14:paraId="7D1DCC27">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w:t>
            </w:r>
          </w:p>
        </w:tc>
        <w:tc>
          <w:tcPr>
            <w:tcW w:w="885" w:type="dxa"/>
            <w:tcBorders>
              <w:top w:val="nil"/>
              <w:left w:val="nil"/>
              <w:bottom w:val="nil"/>
              <w:right w:val="nil"/>
            </w:tcBorders>
            <w:vAlign w:val="center"/>
          </w:tcPr>
          <w:p w14:paraId="7B2DEEBF">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w:t>
            </w:r>
          </w:p>
        </w:tc>
        <w:tc>
          <w:tcPr>
            <w:tcW w:w="1361" w:type="dxa"/>
            <w:tcBorders>
              <w:top w:val="nil"/>
              <w:left w:val="nil"/>
              <w:bottom w:val="nil"/>
              <w:right w:val="nil"/>
            </w:tcBorders>
            <w:vAlign w:val="center"/>
          </w:tcPr>
          <w:p w14:paraId="2C2D1BE2">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w:t>
            </w:r>
          </w:p>
        </w:tc>
        <w:tc>
          <w:tcPr>
            <w:tcW w:w="1244" w:type="dxa"/>
            <w:tcBorders>
              <w:top w:val="nil"/>
              <w:left w:val="nil"/>
              <w:bottom w:val="nil"/>
              <w:right w:val="nil"/>
            </w:tcBorders>
            <w:vAlign w:val="center"/>
          </w:tcPr>
          <w:p w14:paraId="599388BD">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w:t>
            </w:r>
          </w:p>
        </w:tc>
        <w:tc>
          <w:tcPr>
            <w:tcW w:w="1246" w:type="dxa"/>
            <w:tcBorders>
              <w:top w:val="nil"/>
              <w:left w:val="nil"/>
              <w:bottom w:val="nil"/>
              <w:right w:val="nil"/>
            </w:tcBorders>
            <w:vAlign w:val="center"/>
          </w:tcPr>
          <w:p w14:paraId="0BF19A1F">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w:t>
            </w:r>
          </w:p>
        </w:tc>
        <w:tc>
          <w:tcPr>
            <w:tcW w:w="1146" w:type="dxa"/>
            <w:tcBorders>
              <w:top w:val="nil"/>
              <w:left w:val="nil"/>
              <w:bottom w:val="nil"/>
              <w:right w:val="nil"/>
            </w:tcBorders>
            <w:vAlign w:val="center"/>
          </w:tcPr>
          <w:p w14:paraId="4EB25A79">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w:t>
            </w:r>
          </w:p>
        </w:tc>
        <w:tc>
          <w:tcPr>
            <w:tcW w:w="1162" w:type="dxa"/>
            <w:tcBorders>
              <w:top w:val="nil"/>
              <w:left w:val="nil"/>
              <w:bottom w:val="nil"/>
              <w:right w:val="nil"/>
            </w:tcBorders>
            <w:vAlign w:val="center"/>
          </w:tcPr>
          <w:p w14:paraId="2B45AB2D">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w:t>
            </w:r>
          </w:p>
        </w:tc>
        <w:tc>
          <w:tcPr>
            <w:tcW w:w="1315" w:type="dxa"/>
            <w:tcBorders>
              <w:top w:val="nil"/>
              <w:left w:val="nil"/>
              <w:bottom w:val="nil"/>
              <w:right w:val="nil"/>
            </w:tcBorders>
            <w:vAlign w:val="center"/>
          </w:tcPr>
          <w:p w14:paraId="2AC4A14F">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w:t>
            </w:r>
          </w:p>
        </w:tc>
        <w:tc>
          <w:tcPr>
            <w:tcW w:w="1315" w:type="dxa"/>
            <w:vMerge w:val="continue"/>
            <w:tcBorders>
              <w:left w:val="nil"/>
              <w:right w:val="nil"/>
            </w:tcBorders>
            <w:vAlign w:val="center"/>
          </w:tcPr>
          <w:p w14:paraId="546D23DF">
            <w:pPr>
              <w:jc w:val="center"/>
              <w:textAlignment w:val="center"/>
              <w:rPr>
                <w:rFonts w:ascii="Times New Roman" w:hAnsi="Times New Roman" w:eastAsia="宋体" w:cs="Times New Roman"/>
                <w:color w:val="000000"/>
                <w:kern w:val="0"/>
                <w:sz w:val="16"/>
                <w:szCs w:val="16"/>
                <w:highlight w:val="none"/>
                <w:lang w:bidi="ar"/>
              </w:rPr>
            </w:pPr>
          </w:p>
        </w:tc>
      </w:tr>
      <w:tr w14:paraId="7169DC92">
        <w:tblPrEx>
          <w:tblCellMar>
            <w:top w:w="0" w:type="dxa"/>
            <w:left w:w="108" w:type="dxa"/>
            <w:bottom w:w="0" w:type="dxa"/>
            <w:right w:w="108" w:type="dxa"/>
          </w:tblCellMar>
        </w:tblPrEx>
        <w:trPr>
          <w:trHeight w:val="280" w:hRule="atLeast"/>
        </w:trPr>
        <w:tc>
          <w:tcPr>
            <w:tcW w:w="746" w:type="dxa"/>
            <w:tcBorders>
              <w:top w:val="nil"/>
              <w:left w:val="nil"/>
              <w:bottom w:val="nil"/>
              <w:right w:val="nil"/>
            </w:tcBorders>
            <w:vAlign w:val="center"/>
          </w:tcPr>
          <w:p w14:paraId="54A6D454">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6</w:t>
            </w:r>
          </w:p>
        </w:tc>
        <w:tc>
          <w:tcPr>
            <w:tcW w:w="2378" w:type="dxa"/>
            <w:tcBorders>
              <w:top w:val="nil"/>
              <w:left w:val="nil"/>
              <w:bottom w:val="nil"/>
              <w:right w:val="nil"/>
            </w:tcBorders>
            <w:vAlign w:val="center"/>
          </w:tcPr>
          <w:p w14:paraId="1F2C8524">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V707I+F884fs951X</w:t>
            </w:r>
          </w:p>
        </w:tc>
        <w:tc>
          <w:tcPr>
            <w:tcW w:w="791" w:type="dxa"/>
            <w:tcBorders>
              <w:top w:val="nil"/>
              <w:left w:val="nil"/>
              <w:bottom w:val="nil"/>
              <w:right w:val="nil"/>
            </w:tcBorders>
            <w:vAlign w:val="center"/>
          </w:tcPr>
          <w:p w14:paraId="09FC7BC4">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5</w:t>
            </w:r>
          </w:p>
        </w:tc>
        <w:tc>
          <w:tcPr>
            <w:tcW w:w="746" w:type="dxa"/>
            <w:tcBorders>
              <w:top w:val="nil"/>
              <w:left w:val="nil"/>
              <w:bottom w:val="nil"/>
              <w:right w:val="nil"/>
            </w:tcBorders>
            <w:vAlign w:val="center"/>
          </w:tcPr>
          <w:p w14:paraId="3624BED5">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w:t>
            </w:r>
          </w:p>
        </w:tc>
        <w:tc>
          <w:tcPr>
            <w:tcW w:w="885" w:type="dxa"/>
            <w:tcBorders>
              <w:top w:val="nil"/>
              <w:left w:val="nil"/>
              <w:bottom w:val="nil"/>
              <w:right w:val="nil"/>
            </w:tcBorders>
            <w:vAlign w:val="center"/>
          </w:tcPr>
          <w:p w14:paraId="3AB9C6CC">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w:t>
            </w:r>
          </w:p>
        </w:tc>
        <w:tc>
          <w:tcPr>
            <w:tcW w:w="1361" w:type="dxa"/>
            <w:tcBorders>
              <w:top w:val="nil"/>
              <w:left w:val="nil"/>
              <w:bottom w:val="nil"/>
              <w:right w:val="nil"/>
            </w:tcBorders>
            <w:vAlign w:val="center"/>
          </w:tcPr>
          <w:p w14:paraId="040C5CA6">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w:t>
            </w:r>
          </w:p>
        </w:tc>
        <w:tc>
          <w:tcPr>
            <w:tcW w:w="1244" w:type="dxa"/>
            <w:tcBorders>
              <w:top w:val="nil"/>
              <w:left w:val="nil"/>
              <w:bottom w:val="nil"/>
              <w:right w:val="nil"/>
            </w:tcBorders>
            <w:vAlign w:val="center"/>
          </w:tcPr>
          <w:p w14:paraId="694B0C4B">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w:t>
            </w:r>
          </w:p>
        </w:tc>
        <w:tc>
          <w:tcPr>
            <w:tcW w:w="1246" w:type="dxa"/>
            <w:tcBorders>
              <w:top w:val="nil"/>
              <w:left w:val="nil"/>
              <w:bottom w:val="nil"/>
              <w:right w:val="nil"/>
            </w:tcBorders>
            <w:vAlign w:val="center"/>
          </w:tcPr>
          <w:p w14:paraId="7F2377BA">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w:t>
            </w:r>
          </w:p>
        </w:tc>
        <w:tc>
          <w:tcPr>
            <w:tcW w:w="1146" w:type="dxa"/>
            <w:tcBorders>
              <w:top w:val="nil"/>
              <w:left w:val="nil"/>
              <w:bottom w:val="nil"/>
              <w:right w:val="nil"/>
            </w:tcBorders>
            <w:vAlign w:val="center"/>
          </w:tcPr>
          <w:p w14:paraId="0EB51CA6">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w:t>
            </w:r>
          </w:p>
        </w:tc>
        <w:tc>
          <w:tcPr>
            <w:tcW w:w="1162" w:type="dxa"/>
            <w:tcBorders>
              <w:top w:val="nil"/>
              <w:left w:val="nil"/>
              <w:bottom w:val="nil"/>
              <w:right w:val="nil"/>
            </w:tcBorders>
            <w:vAlign w:val="center"/>
          </w:tcPr>
          <w:p w14:paraId="5518CC5E">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w:t>
            </w:r>
          </w:p>
        </w:tc>
        <w:tc>
          <w:tcPr>
            <w:tcW w:w="1315" w:type="dxa"/>
            <w:tcBorders>
              <w:top w:val="nil"/>
              <w:left w:val="nil"/>
              <w:bottom w:val="nil"/>
              <w:right w:val="nil"/>
            </w:tcBorders>
            <w:vAlign w:val="center"/>
          </w:tcPr>
          <w:p w14:paraId="3365179A">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w:t>
            </w:r>
          </w:p>
        </w:tc>
        <w:tc>
          <w:tcPr>
            <w:tcW w:w="1315" w:type="dxa"/>
            <w:vMerge w:val="continue"/>
            <w:tcBorders>
              <w:left w:val="nil"/>
              <w:right w:val="nil"/>
            </w:tcBorders>
            <w:vAlign w:val="center"/>
          </w:tcPr>
          <w:p w14:paraId="48474689">
            <w:pPr>
              <w:jc w:val="center"/>
              <w:textAlignment w:val="center"/>
              <w:rPr>
                <w:rFonts w:ascii="Times New Roman" w:hAnsi="Times New Roman" w:eastAsia="宋体" w:cs="Times New Roman"/>
                <w:color w:val="000000"/>
                <w:kern w:val="0"/>
                <w:sz w:val="16"/>
                <w:szCs w:val="16"/>
                <w:highlight w:val="none"/>
                <w:lang w:bidi="ar"/>
              </w:rPr>
            </w:pPr>
          </w:p>
        </w:tc>
      </w:tr>
      <w:tr w14:paraId="6EE4AAD5">
        <w:tblPrEx>
          <w:tblCellMar>
            <w:top w:w="0" w:type="dxa"/>
            <w:left w:w="108" w:type="dxa"/>
            <w:bottom w:w="0" w:type="dxa"/>
            <w:right w:w="108" w:type="dxa"/>
          </w:tblCellMar>
        </w:tblPrEx>
        <w:trPr>
          <w:trHeight w:val="280" w:hRule="atLeast"/>
        </w:trPr>
        <w:tc>
          <w:tcPr>
            <w:tcW w:w="746" w:type="dxa"/>
            <w:tcBorders>
              <w:top w:val="nil"/>
              <w:left w:val="nil"/>
              <w:bottom w:val="nil"/>
              <w:right w:val="nil"/>
            </w:tcBorders>
            <w:vAlign w:val="center"/>
          </w:tcPr>
          <w:p w14:paraId="053FAEF9">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7</w:t>
            </w:r>
          </w:p>
        </w:tc>
        <w:tc>
          <w:tcPr>
            <w:tcW w:w="2378" w:type="dxa"/>
            <w:tcBorders>
              <w:top w:val="nil"/>
              <w:left w:val="nil"/>
              <w:bottom w:val="nil"/>
              <w:right w:val="nil"/>
            </w:tcBorders>
            <w:vAlign w:val="center"/>
          </w:tcPr>
          <w:p w14:paraId="77284984">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V707I+F884fs951X</w:t>
            </w:r>
          </w:p>
        </w:tc>
        <w:tc>
          <w:tcPr>
            <w:tcW w:w="791" w:type="dxa"/>
            <w:tcBorders>
              <w:top w:val="nil"/>
              <w:left w:val="nil"/>
              <w:bottom w:val="nil"/>
              <w:right w:val="nil"/>
            </w:tcBorders>
            <w:vAlign w:val="center"/>
          </w:tcPr>
          <w:p w14:paraId="5F993C98">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8</w:t>
            </w:r>
          </w:p>
        </w:tc>
        <w:tc>
          <w:tcPr>
            <w:tcW w:w="746" w:type="dxa"/>
            <w:tcBorders>
              <w:top w:val="nil"/>
              <w:left w:val="nil"/>
              <w:bottom w:val="nil"/>
              <w:right w:val="nil"/>
            </w:tcBorders>
            <w:vAlign w:val="center"/>
          </w:tcPr>
          <w:p w14:paraId="14B685F0">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w:t>
            </w:r>
          </w:p>
        </w:tc>
        <w:tc>
          <w:tcPr>
            <w:tcW w:w="885" w:type="dxa"/>
            <w:tcBorders>
              <w:top w:val="nil"/>
              <w:left w:val="nil"/>
              <w:bottom w:val="nil"/>
              <w:right w:val="nil"/>
            </w:tcBorders>
            <w:vAlign w:val="center"/>
          </w:tcPr>
          <w:p w14:paraId="393CFF30">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w:t>
            </w:r>
          </w:p>
        </w:tc>
        <w:tc>
          <w:tcPr>
            <w:tcW w:w="1361" w:type="dxa"/>
            <w:tcBorders>
              <w:top w:val="nil"/>
              <w:left w:val="nil"/>
              <w:bottom w:val="nil"/>
              <w:right w:val="nil"/>
            </w:tcBorders>
            <w:vAlign w:val="center"/>
          </w:tcPr>
          <w:p w14:paraId="74169459">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w:t>
            </w:r>
          </w:p>
        </w:tc>
        <w:tc>
          <w:tcPr>
            <w:tcW w:w="1244" w:type="dxa"/>
            <w:tcBorders>
              <w:top w:val="nil"/>
              <w:left w:val="nil"/>
              <w:bottom w:val="nil"/>
              <w:right w:val="nil"/>
            </w:tcBorders>
            <w:vAlign w:val="center"/>
          </w:tcPr>
          <w:p w14:paraId="21461837">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w:t>
            </w:r>
          </w:p>
        </w:tc>
        <w:tc>
          <w:tcPr>
            <w:tcW w:w="1246" w:type="dxa"/>
            <w:tcBorders>
              <w:top w:val="nil"/>
              <w:left w:val="nil"/>
              <w:bottom w:val="nil"/>
              <w:right w:val="nil"/>
            </w:tcBorders>
            <w:vAlign w:val="center"/>
          </w:tcPr>
          <w:p w14:paraId="191BAF74">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w:t>
            </w:r>
          </w:p>
        </w:tc>
        <w:tc>
          <w:tcPr>
            <w:tcW w:w="1146" w:type="dxa"/>
            <w:tcBorders>
              <w:top w:val="nil"/>
              <w:left w:val="nil"/>
              <w:bottom w:val="nil"/>
              <w:right w:val="nil"/>
            </w:tcBorders>
            <w:vAlign w:val="center"/>
          </w:tcPr>
          <w:p w14:paraId="5626B4D4">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w:t>
            </w:r>
          </w:p>
        </w:tc>
        <w:tc>
          <w:tcPr>
            <w:tcW w:w="1162" w:type="dxa"/>
            <w:tcBorders>
              <w:top w:val="nil"/>
              <w:left w:val="nil"/>
              <w:bottom w:val="nil"/>
              <w:right w:val="nil"/>
            </w:tcBorders>
            <w:vAlign w:val="center"/>
          </w:tcPr>
          <w:p w14:paraId="25F411FE">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w:t>
            </w:r>
          </w:p>
        </w:tc>
        <w:tc>
          <w:tcPr>
            <w:tcW w:w="1315" w:type="dxa"/>
            <w:tcBorders>
              <w:top w:val="nil"/>
              <w:left w:val="nil"/>
              <w:bottom w:val="nil"/>
              <w:right w:val="nil"/>
            </w:tcBorders>
            <w:vAlign w:val="center"/>
          </w:tcPr>
          <w:p w14:paraId="1F63031C">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w:t>
            </w:r>
          </w:p>
        </w:tc>
        <w:tc>
          <w:tcPr>
            <w:tcW w:w="1315" w:type="dxa"/>
            <w:vMerge w:val="continue"/>
            <w:tcBorders>
              <w:left w:val="nil"/>
              <w:right w:val="nil"/>
            </w:tcBorders>
            <w:vAlign w:val="center"/>
          </w:tcPr>
          <w:p w14:paraId="347B07BD">
            <w:pPr>
              <w:jc w:val="center"/>
              <w:textAlignment w:val="center"/>
              <w:rPr>
                <w:rFonts w:ascii="Times New Roman" w:hAnsi="Times New Roman" w:eastAsia="宋体" w:cs="Times New Roman"/>
                <w:color w:val="000000"/>
                <w:kern w:val="0"/>
                <w:sz w:val="16"/>
                <w:szCs w:val="16"/>
                <w:highlight w:val="none"/>
                <w:lang w:bidi="ar"/>
              </w:rPr>
            </w:pPr>
          </w:p>
        </w:tc>
      </w:tr>
      <w:tr w14:paraId="55A8F326">
        <w:tblPrEx>
          <w:tblCellMar>
            <w:top w:w="0" w:type="dxa"/>
            <w:left w:w="108" w:type="dxa"/>
            <w:bottom w:w="0" w:type="dxa"/>
            <w:right w:w="108" w:type="dxa"/>
          </w:tblCellMar>
        </w:tblPrEx>
        <w:trPr>
          <w:trHeight w:val="280" w:hRule="atLeast"/>
        </w:trPr>
        <w:tc>
          <w:tcPr>
            <w:tcW w:w="746" w:type="dxa"/>
            <w:tcBorders>
              <w:top w:val="nil"/>
              <w:left w:val="nil"/>
              <w:bottom w:val="nil"/>
              <w:right w:val="nil"/>
            </w:tcBorders>
            <w:vAlign w:val="center"/>
          </w:tcPr>
          <w:p w14:paraId="557AB107">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8</w:t>
            </w:r>
          </w:p>
        </w:tc>
        <w:tc>
          <w:tcPr>
            <w:tcW w:w="2378" w:type="dxa"/>
            <w:tcBorders>
              <w:top w:val="nil"/>
              <w:left w:val="nil"/>
              <w:bottom w:val="nil"/>
              <w:right w:val="nil"/>
            </w:tcBorders>
            <w:vAlign w:val="center"/>
          </w:tcPr>
          <w:p w14:paraId="5EE638ED">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V707I+F884fs951X</w:t>
            </w:r>
          </w:p>
        </w:tc>
        <w:tc>
          <w:tcPr>
            <w:tcW w:w="791" w:type="dxa"/>
            <w:tcBorders>
              <w:top w:val="nil"/>
              <w:left w:val="nil"/>
              <w:bottom w:val="nil"/>
              <w:right w:val="nil"/>
            </w:tcBorders>
            <w:vAlign w:val="center"/>
          </w:tcPr>
          <w:p w14:paraId="4122BEB4">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4</w:t>
            </w:r>
          </w:p>
        </w:tc>
        <w:tc>
          <w:tcPr>
            <w:tcW w:w="746" w:type="dxa"/>
            <w:tcBorders>
              <w:top w:val="nil"/>
              <w:left w:val="nil"/>
              <w:bottom w:val="nil"/>
              <w:right w:val="nil"/>
            </w:tcBorders>
            <w:vAlign w:val="center"/>
          </w:tcPr>
          <w:p w14:paraId="6CFADABA">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w:t>
            </w:r>
          </w:p>
        </w:tc>
        <w:tc>
          <w:tcPr>
            <w:tcW w:w="885" w:type="dxa"/>
            <w:tcBorders>
              <w:top w:val="nil"/>
              <w:left w:val="nil"/>
              <w:bottom w:val="nil"/>
              <w:right w:val="nil"/>
            </w:tcBorders>
            <w:vAlign w:val="center"/>
          </w:tcPr>
          <w:p w14:paraId="6EA5FB84">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w:t>
            </w:r>
          </w:p>
        </w:tc>
        <w:tc>
          <w:tcPr>
            <w:tcW w:w="1361" w:type="dxa"/>
            <w:tcBorders>
              <w:top w:val="nil"/>
              <w:left w:val="nil"/>
              <w:bottom w:val="nil"/>
              <w:right w:val="nil"/>
            </w:tcBorders>
            <w:vAlign w:val="center"/>
          </w:tcPr>
          <w:p w14:paraId="70AEF129">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w:t>
            </w:r>
          </w:p>
        </w:tc>
        <w:tc>
          <w:tcPr>
            <w:tcW w:w="1244" w:type="dxa"/>
            <w:tcBorders>
              <w:top w:val="nil"/>
              <w:left w:val="nil"/>
              <w:bottom w:val="nil"/>
              <w:right w:val="nil"/>
            </w:tcBorders>
            <w:vAlign w:val="center"/>
          </w:tcPr>
          <w:p w14:paraId="026695A1">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w:t>
            </w:r>
          </w:p>
        </w:tc>
        <w:tc>
          <w:tcPr>
            <w:tcW w:w="1246" w:type="dxa"/>
            <w:tcBorders>
              <w:top w:val="nil"/>
              <w:left w:val="nil"/>
              <w:bottom w:val="nil"/>
              <w:right w:val="nil"/>
            </w:tcBorders>
            <w:vAlign w:val="center"/>
          </w:tcPr>
          <w:p w14:paraId="3486EBF9">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w:t>
            </w:r>
          </w:p>
        </w:tc>
        <w:tc>
          <w:tcPr>
            <w:tcW w:w="1146" w:type="dxa"/>
            <w:tcBorders>
              <w:top w:val="nil"/>
              <w:left w:val="nil"/>
              <w:bottom w:val="nil"/>
              <w:right w:val="nil"/>
            </w:tcBorders>
            <w:vAlign w:val="center"/>
          </w:tcPr>
          <w:p w14:paraId="371788ED">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w:t>
            </w:r>
          </w:p>
        </w:tc>
        <w:tc>
          <w:tcPr>
            <w:tcW w:w="1162" w:type="dxa"/>
            <w:tcBorders>
              <w:top w:val="nil"/>
              <w:left w:val="nil"/>
              <w:bottom w:val="nil"/>
              <w:right w:val="nil"/>
            </w:tcBorders>
            <w:vAlign w:val="center"/>
          </w:tcPr>
          <w:p w14:paraId="1CECB1EF">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w:t>
            </w:r>
          </w:p>
        </w:tc>
        <w:tc>
          <w:tcPr>
            <w:tcW w:w="1315" w:type="dxa"/>
            <w:tcBorders>
              <w:top w:val="nil"/>
              <w:left w:val="nil"/>
              <w:bottom w:val="nil"/>
              <w:right w:val="nil"/>
            </w:tcBorders>
            <w:vAlign w:val="center"/>
          </w:tcPr>
          <w:p w14:paraId="3F72DC64">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w:t>
            </w:r>
          </w:p>
        </w:tc>
        <w:tc>
          <w:tcPr>
            <w:tcW w:w="1315" w:type="dxa"/>
            <w:vMerge w:val="continue"/>
            <w:tcBorders>
              <w:left w:val="nil"/>
              <w:right w:val="nil"/>
            </w:tcBorders>
            <w:vAlign w:val="center"/>
          </w:tcPr>
          <w:p w14:paraId="347DB581">
            <w:pPr>
              <w:jc w:val="center"/>
              <w:textAlignment w:val="center"/>
              <w:rPr>
                <w:rFonts w:ascii="Times New Roman" w:hAnsi="Times New Roman" w:eastAsia="宋体" w:cs="Times New Roman"/>
                <w:color w:val="000000"/>
                <w:kern w:val="0"/>
                <w:sz w:val="16"/>
                <w:szCs w:val="16"/>
                <w:highlight w:val="none"/>
                <w:lang w:bidi="ar"/>
              </w:rPr>
            </w:pPr>
          </w:p>
        </w:tc>
      </w:tr>
      <w:tr w14:paraId="466535AE">
        <w:tblPrEx>
          <w:tblCellMar>
            <w:top w:w="0" w:type="dxa"/>
            <w:left w:w="108" w:type="dxa"/>
            <w:bottom w:w="0" w:type="dxa"/>
            <w:right w:w="108" w:type="dxa"/>
          </w:tblCellMar>
        </w:tblPrEx>
        <w:trPr>
          <w:trHeight w:val="280" w:hRule="atLeast"/>
        </w:trPr>
        <w:tc>
          <w:tcPr>
            <w:tcW w:w="746" w:type="dxa"/>
            <w:tcBorders>
              <w:top w:val="nil"/>
              <w:left w:val="nil"/>
              <w:bottom w:val="nil"/>
              <w:right w:val="nil"/>
            </w:tcBorders>
            <w:vAlign w:val="center"/>
          </w:tcPr>
          <w:p w14:paraId="4D84D81D">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9</w:t>
            </w:r>
          </w:p>
        </w:tc>
        <w:tc>
          <w:tcPr>
            <w:tcW w:w="2378" w:type="dxa"/>
            <w:tcBorders>
              <w:top w:val="nil"/>
              <w:left w:val="nil"/>
              <w:bottom w:val="nil"/>
              <w:right w:val="nil"/>
            </w:tcBorders>
            <w:vAlign w:val="center"/>
          </w:tcPr>
          <w:p w14:paraId="7C63AC2B">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V707I+F884fs951X</w:t>
            </w:r>
          </w:p>
        </w:tc>
        <w:tc>
          <w:tcPr>
            <w:tcW w:w="791" w:type="dxa"/>
            <w:tcBorders>
              <w:top w:val="nil"/>
              <w:left w:val="nil"/>
              <w:bottom w:val="nil"/>
              <w:right w:val="nil"/>
            </w:tcBorders>
            <w:vAlign w:val="center"/>
          </w:tcPr>
          <w:p w14:paraId="16D0F372">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7</w:t>
            </w:r>
          </w:p>
        </w:tc>
        <w:tc>
          <w:tcPr>
            <w:tcW w:w="746" w:type="dxa"/>
            <w:tcBorders>
              <w:top w:val="nil"/>
              <w:left w:val="nil"/>
              <w:bottom w:val="nil"/>
              <w:right w:val="nil"/>
            </w:tcBorders>
            <w:vAlign w:val="center"/>
          </w:tcPr>
          <w:p w14:paraId="69181FC6">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w:t>
            </w:r>
          </w:p>
        </w:tc>
        <w:tc>
          <w:tcPr>
            <w:tcW w:w="885" w:type="dxa"/>
            <w:tcBorders>
              <w:top w:val="nil"/>
              <w:left w:val="nil"/>
              <w:bottom w:val="nil"/>
              <w:right w:val="nil"/>
            </w:tcBorders>
            <w:vAlign w:val="center"/>
          </w:tcPr>
          <w:p w14:paraId="5D87D415">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w:t>
            </w:r>
          </w:p>
        </w:tc>
        <w:tc>
          <w:tcPr>
            <w:tcW w:w="1361" w:type="dxa"/>
            <w:tcBorders>
              <w:top w:val="nil"/>
              <w:left w:val="nil"/>
              <w:bottom w:val="nil"/>
              <w:right w:val="nil"/>
            </w:tcBorders>
            <w:vAlign w:val="center"/>
          </w:tcPr>
          <w:p w14:paraId="3EE00BB6">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w:t>
            </w:r>
          </w:p>
        </w:tc>
        <w:tc>
          <w:tcPr>
            <w:tcW w:w="1244" w:type="dxa"/>
            <w:tcBorders>
              <w:top w:val="nil"/>
              <w:left w:val="nil"/>
              <w:bottom w:val="nil"/>
              <w:right w:val="nil"/>
            </w:tcBorders>
            <w:vAlign w:val="center"/>
          </w:tcPr>
          <w:p w14:paraId="342E160A">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w:t>
            </w:r>
          </w:p>
        </w:tc>
        <w:tc>
          <w:tcPr>
            <w:tcW w:w="1246" w:type="dxa"/>
            <w:tcBorders>
              <w:top w:val="nil"/>
              <w:left w:val="nil"/>
              <w:bottom w:val="nil"/>
              <w:right w:val="nil"/>
            </w:tcBorders>
            <w:vAlign w:val="center"/>
          </w:tcPr>
          <w:p w14:paraId="67105E10">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w:t>
            </w:r>
          </w:p>
        </w:tc>
        <w:tc>
          <w:tcPr>
            <w:tcW w:w="1146" w:type="dxa"/>
            <w:tcBorders>
              <w:top w:val="nil"/>
              <w:left w:val="nil"/>
              <w:bottom w:val="nil"/>
              <w:right w:val="nil"/>
            </w:tcBorders>
            <w:vAlign w:val="center"/>
          </w:tcPr>
          <w:p w14:paraId="79F5833F">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w:t>
            </w:r>
          </w:p>
        </w:tc>
        <w:tc>
          <w:tcPr>
            <w:tcW w:w="1162" w:type="dxa"/>
            <w:tcBorders>
              <w:top w:val="nil"/>
              <w:left w:val="nil"/>
              <w:bottom w:val="nil"/>
              <w:right w:val="nil"/>
            </w:tcBorders>
            <w:vAlign w:val="center"/>
          </w:tcPr>
          <w:p w14:paraId="5AB8F641">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w:t>
            </w:r>
          </w:p>
        </w:tc>
        <w:tc>
          <w:tcPr>
            <w:tcW w:w="1315" w:type="dxa"/>
            <w:tcBorders>
              <w:top w:val="nil"/>
              <w:left w:val="nil"/>
              <w:bottom w:val="nil"/>
              <w:right w:val="nil"/>
            </w:tcBorders>
            <w:vAlign w:val="center"/>
          </w:tcPr>
          <w:p w14:paraId="04CC0AE3">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w:t>
            </w:r>
          </w:p>
        </w:tc>
        <w:tc>
          <w:tcPr>
            <w:tcW w:w="1315" w:type="dxa"/>
            <w:vMerge w:val="continue"/>
            <w:tcBorders>
              <w:left w:val="nil"/>
              <w:right w:val="nil"/>
            </w:tcBorders>
            <w:vAlign w:val="center"/>
          </w:tcPr>
          <w:p w14:paraId="22CA4FD4">
            <w:pPr>
              <w:jc w:val="center"/>
              <w:textAlignment w:val="center"/>
              <w:rPr>
                <w:rFonts w:ascii="Times New Roman" w:hAnsi="Times New Roman" w:eastAsia="宋体" w:cs="Times New Roman"/>
                <w:color w:val="000000"/>
                <w:kern w:val="0"/>
                <w:sz w:val="16"/>
                <w:szCs w:val="16"/>
                <w:highlight w:val="none"/>
                <w:lang w:bidi="ar"/>
              </w:rPr>
            </w:pPr>
          </w:p>
        </w:tc>
      </w:tr>
      <w:tr w14:paraId="5D402AA4">
        <w:tblPrEx>
          <w:tblCellMar>
            <w:top w:w="0" w:type="dxa"/>
            <w:left w:w="108" w:type="dxa"/>
            <w:bottom w:w="0" w:type="dxa"/>
            <w:right w:w="108" w:type="dxa"/>
          </w:tblCellMar>
        </w:tblPrEx>
        <w:trPr>
          <w:trHeight w:val="280" w:hRule="atLeast"/>
        </w:trPr>
        <w:tc>
          <w:tcPr>
            <w:tcW w:w="746" w:type="dxa"/>
            <w:tcBorders>
              <w:top w:val="nil"/>
              <w:left w:val="nil"/>
              <w:bottom w:val="nil"/>
              <w:right w:val="nil"/>
            </w:tcBorders>
            <w:vAlign w:val="center"/>
          </w:tcPr>
          <w:p w14:paraId="33C940DC">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10</w:t>
            </w:r>
          </w:p>
        </w:tc>
        <w:tc>
          <w:tcPr>
            <w:tcW w:w="2378" w:type="dxa"/>
            <w:tcBorders>
              <w:top w:val="nil"/>
              <w:left w:val="nil"/>
              <w:bottom w:val="nil"/>
              <w:right w:val="nil"/>
            </w:tcBorders>
            <w:vAlign w:val="center"/>
          </w:tcPr>
          <w:p w14:paraId="4AC9F9EF">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V707I+F884fs951X/F646fs708X</w:t>
            </w:r>
          </w:p>
        </w:tc>
        <w:tc>
          <w:tcPr>
            <w:tcW w:w="791" w:type="dxa"/>
            <w:tcBorders>
              <w:top w:val="nil"/>
              <w:left w:val="nil"/>
              <w:bottom w:val="nil"/>
              <w:right w:val="nil"/>
            </w:tcBorders>
            <w:vAlign w:val="center"/>
          </w:tcPr>
          <w:p w14:paraId="418620A3">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6</w:t>
            </w:r>
          </w:p>
        </w:tc>
        <w:tc>
          <w:tcPr>
            <w:tcW w:w="746" w:type="dxa"/>
            <w:tcBorders>
              <w:top w:val="nil"/>
              <w:left w:val="nil"/>
              <w:bottom w:val="nil"/>
              <w:right w:val="nil"/>
            </w:tcBorders>
            <w:vAlign w:val="center"/>
          </w:tcPr>
          <w:p w14:paraId="519EECBF">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w:t>
            </w:r>
          </w:p>
        </w:tc>
        <w:tc>
          <w:tcPr>
            <w:tcW w:w="885" w:type="dxa"/>
            <w:tcBorders>
              <w:top w:val="nil"/>
              <w:left w:val="nil"/>
              <w:bottom w:val="nil"/>
              <w:right w:val="nil"/>
            </w:tcBorders>
            <w:vAlign w:val="center"/>
          </w:tcPr>
          <w:p w14:paraId="58ED4BEE">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w:t>
            </w:r>
          </w:p>
        </w:tc>
        <w:tc>
          <w:tcPr>
            <w:tcW w:w="1361" w:type="dxa"/>
            <w:tcBorders>
              <w:top w:val="nil"/>
              <w:left w:val="nil"/>
              <w:bottom w:val="nil"/>
              <w:right w:val="nil"/>
            </w:tcBorders>
            <w:vAlign w:val="center"/>
          </w:tcPr>
          <w:p w14:paraId="2286BC8F">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w:t>
            </w:r>
          </w:p>
        </w:tc>
        <w:tc>
          <w:tcPr>
            <w:tcW w:w="1244" w:type="dxa"/>
            <w:tcBorders>
              <w:top w:val="nil"/>
              <w:left w:val="nil"/>
              <w:bottom w:val="nil"/>
              <w:right w:val="nil"/>
            </w:tcBorders>
            <w:vAlign w:val="center"/>
          </w:tcPr>
          <w:p w14:paraId="25FC7E49">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w:t>
            </w:r>
          </w:p>
        </w:tc>
        <w:tc>
          <w:tcPr>
            <w:tcW w:w="1246" w:type="dxa"/>
            <w:tcBorders>
              <w:top w:val="nil"/>
              <w:left w:val="nil"/>
              <w:bottom w:val="nil"/>
              <w:right w:val="nil"/>
            </w:tcBorders>
            <w:vAlign w:val="center"/>
          </w:tcPr>
          <w:p w14:paraId="6285832B">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w:t>
            </w:r>
          </w:p>
        </w:tc>
        <w:tc>
          <w:tcPr>
            <w:tcW w:w="1146" w:type="dxa"/>
            <w:tcBorders>
              <w:top w:val="nil"/>
              <w:left w:val="nil"/>
              <w:bottom w:val="nil"/>
              <w:right w:val="nil"/>
            </w:tcBorders>
            <w:vAlign w:val="center"/>
          </w:tcPr>
          <w:p w14:paraId="370601DB">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w:t>
            </w:r>
          </w:p>
        </w:tc>
        <w:tc>
          <w:tcPr>
            <w:tcW w:w="1162" w:type="dxa"/>
            <w:tcBorders>
              <w:top w:val="nil"/>
              <w:left w:val="nil"/>
              <w:bottom w:val="nil"/>
              <w:right w:val="nil"/>
            </w:tcBorders>
            <w:vAlign w:val="center"/>
          </w:tcPr>
          <w:p w14:paraId="7C820459">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w:t>
            </w:r>
          </w:p>
        </w:tc>
        <w:tc>
          <w:tcPr>
            <w:tcW w:w="1315" w:type="dxa"/>
            <w:tcBorders>
              <w:top w:val="nil"/>
              <w:left w:val="nil"/>
              <w:bottom w:val="nil"/>
              <w:right w:val="nil"/>
            </w:tcBorders>
            <w:vAlign w:val="center"/>
          </w:tcPr>
          <w:p w14:paraId="22EDC9B6">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w:t>
            </w:r>
          </w:p>
        </w:tc>
        <w:tc>
          <w:tcPr>
            <w:tcW w:w="1315" w:type="dxa"/>
            <w:vMerge w:val="continue"/>
            <w:tcBorders>
              <w:left w:val="nil"/>
              <w:bottom w:val="nil"/>
              <w:right w:val="nil"/>
            </w:tcBorders>
            <w:vAlign w:val="center"/>
          </w:tcPr>
          <w:p w14:paraId="17601CDE">
            <w:pPr>
              <w:widowControl/>
              <w:jc w:val="center"/>
              <w:textAlignment w:val="center"/>
              <w:rPr>
                <w:rFonts w:ascii="Times New Roman" w:hAnsi="Times New Roman" w:eastAsia="宋体" w:cs="Times New Roman"/>
                <w:color w:val="000000"/>
                <w:kern w:val="0"/>
                <w:sz w:val="16"/>
                <w:szCs w:val="16"/>
                <w:highlight w:val="none"/>
                <w:lang w:bidi="ar"/>
              </w:rPr>
            </w:pPr>
          </w:p>
        </w:tc>
      </w:tr>
      <w:tr w14:paraId="032903FC">
        <w:tblPrEx>
          <w:tblCellMar>
            <w:top w:w="0" w:type="dxa"/>
            <w:left w:w="108" w:type="dxa"/>
            <w:bottom w:w="0" w:type="dxa"/>
            <w:right w:w="108" w:type="dxa"/>
          </w:tblCellMar>
        </w:tblPrEx>
        <w:trPr>
          <w:trHeight w:val="280" w:hRule="atLeast"/>
        </w:trPr>
        <w:tc>
          <w:tcPr>
            <w:tcW w:w="746" w:type="dxa"/>
            <w:tcBorders>
              <w:top w:val="nil"/>
              <w:left w:val="nil"/>
              <w:bottom w:val="nil"/>
              <w:right w:val="nil"/>
            </w:tcBorders>
            <w:vAlign w:val="center"/>
          </w:tcPr>
          <w:p w14:paraId="01B0C60D">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11</w:t>
            </w:r>
          </w:p>
        </w:tc>
        <w:tc>
          <w:tcPr>
            <w:tcW w:w="2378" w:type="dxa"/>
            <w:tcBorders>
              <w:top w:val="nil"/>
              <w:left w:val="nil"/>
              <w:bottom w:val="nil"/>
              <w:right w:val="nil"/>
            </w:tcBorders>
            <w:vAlign w:val="center"/>
          </w:tcPr>
          <w:p w14:paraId="75AA867C">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p.W314R</w:t>
            </w:r>
          </w:p>
        </w:tc>
        <w:tc>
          <w:tcPr>
            <w:tcW w:w="791" w:type="dxa"/>
            <w:tcBorders>
              <w:top w:val="nil"/>
              <w:left w:val="nil"/>
              <w:bottom w:val="nil"/>
              <w:right w:val="nil"/>
            </w:tcBorders>
            <w:vAlign w:val="center"/>
          </w:tcPr>
          <w:p w14:paraId="29F631DF">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51</w:t>
            </w:r>
          </w:p>
        </w:tc>
        <w:tc>
          <w:tcPr>
            <w:tcW w:w="746" w:type="dxa"/>
            <w:tcBorders>
              <w:top w:val="nil"/>
              <w:left w:val="nil"/>
              <w:bottom w:val="nil"/>
              <w:right w:val="nil"/>
            </w:tcBorders>
            <w:vAlign w:val="center"/>
          </w:tcPr>
          <w:p w14:paraId="64E3F4ED">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F</w:t>
            </w:r>
          </w:p>
        </w:tc>
        <w:tc>
          <w:tcPr>
            <w:tcW w:w="885" w:type="dxa"/>
            <w:tcBorders>
              <w:top w:val="nil"/>
              <w:left w:val="nil"/>
              <w:bottom w:val="nil"/>
              <w:right w:val="nil"/>
            </w:tcBorders>
            <w:vAlign w:val="center"/>
          </w:tcPr>
          <w:p w14:paraId="18381BCA">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23</w:t>
            </w:r>
          </w:p>
        </w:tc>
        <w:tc>
          <w:tcPr>
            <w:tcW w:w="1361" w:type="dxa"/>
            <w:tcBorders>
              <w:top w:val="nil"/>
              <w:left w:val="nil"/>
              <w:bottom w:val="nil"/>
              <w:right w:val="nil"/>
            </w:tcBorders>
            <w:vAlign w:val="center"/>
          </w:tcPr>
          <w:p w14:paraId="3B8ED93E">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w:t>
            </w:r>
          </w:p>
        </w:tc>
        <w:tc>
          <w:tcPr>
            <w:tcW w:w="1244" w:type="dxa"/>
            <w:tcBorders>
              <w:top w:val="nil"/>
              <w:left w:val="nil"/>
              <w:bottom w:val="nil"/>
              <w:right w:val="nil"/>
            </w:tcBorders>
            <w:vAlign w:val="center"/>
          </w:tcPr>
          <w:p w14:paraId="7230F696">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Negative</w:t>
            </w:r>
          </w:p>
        </w:tc>
        <w:tc>
          <w:tcPr>
            <w:tcW w:w="1246" w:type="dxa"/>
            <w:tcBorders>
              <w:top w:val="nil"/>
              <w:left w:val="nil"/>
              <w:bottom w:val="nil"/>
              <w:right w:val="nil"/>
            </w:tcBorders>
            <w:vAlign w:val="center"/>
          </w:tcPr>
          <w:p w14:paraId="5B70DB3E">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 xml:space="preserve">7.0 </w:t>
            </w:r>
          </w:p>
        </w:tc>
        <w:tc>
          <w:tcPr>
            <w:tcW w:w="1146" w:type="dxa"/>
            <w:tcBorders>
              <w:top w:val="nil"/>
              <w:left w:val="nil"/>
              <w:bottom w:val="nil"/>
              <w:right w:val="nil"/>
            </w:tcBorders>
            <w:vAlign w:val="center"/>
          </w:tcPr>
          <w:p w14:paraId="1397B204">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41.67</w:t>
            </w:r>
          </w:p>
        </w:tc>
        <w:tc>
          <w:tcPr>
            <w:tcW w:w="1162" w:type="dxa"/>
            <w:tcBorders>
              <w:top w:val="nil"/>
              <w:left w:val="nil"/>
              <w:bottom w:val="nil"/>
              <w:right w:val="nil"/>
            </w:tcBorders>
            <w:vAlign w:val="center"/>
          </w:tcPr>
          <w:p w14:paraId="3D950AC9">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640</w:t>
            </w:r>
          </w:p>
        </w:tc>
        <w:tc>
          <w:tcPr>
            <w:tcW w:w="1315" w:type="dxa"/>
            <w:tcBorders>
              <w:top w:val="nil"/>
              <w:left w:val="nil"/>
              <w:bottom w:val="nil"/>
              <w:right w:val="nil"/>
            </w:tcBorders>
            <w:vAlign w:val="center"/>
          </w:tcPr>
          <w:p w14:paraId="19CB97DD">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No</w:t>
            </w:r>
          </w:p>
        </w:tc>
        <w:tc>
          <w:tcPr>
            <w:tcW w:w="1315" w:type="dxa"/>
            <w:tcBorders>
              <w:top w:val="nil"/>
              <w:left w:val="nil"/>
              <w:bottom w:val="nil"/>
              <w:right w:val="nil"/>
            </w:tcBorders>
            <w:vAlign w:val="center"/>
          </w:tcPr>
          <w:p w14:paraId="328DC0C5">
            <w:pPr>
              <w:widowControl/>
              <w:jc w:val="center"/>
              <w:textAlignment w:val="center"/>
              <w:rPr>
                <w:rFonts w:ascii="Times New Roman" w:hAnsi="Times New Roman" w:eastAsia="宋体" w:cs="Times New Roman"/>
                <w:color w:val="000000"/>
                <w:kern w:val="0"/>
                <w:sz w:val="16"/>
                <w:szCs w:val="16"/>
                <w:highlight w:val="none"/>
                <w:lang w:bidi="ar"/>
              </w:rPr>
            </w:pPr>
            <w:r>
              <w:rPr>
                <w:rFonts w:ascii="Times New Roman" w:hAnsi="Times New Roman" w:eastAsia="宋体" w:cs="Times New Roman"/>
                <w:color w:val="000000"/>
                <w:sz w:val="16"/>
                <w:szCs w:val="16"/>
                <w:highlight w:val="none"/>
              </w:rPr>
              <w:fldChar w:fldCharType="begin" w:fldLock="1"/>
            </w:r>
            <w:r>
              <w:rPr>
                <w:rFonts w:ascii="Times New Roman" w:hAnsi="Times New Roman" w:eastAsia="宋体" w:cs="Times New Roman"/>
                <w:color w:val="000000"/>
                <w:sz w:val="16"/>
                <w:szCs w:val="16"/>
                <w:highlight w:val="none"/>
              </w:rPr>
              <w:instrText xml:space="preserve">ADDIN CSL_CITATION {"citationItems":[{"id":"ITEM-1","itemData":{"DOI":"10.2337/db13-0571","ISSN":"00121797","PMID":"23903355","abstract":"We used an unbiased genome-wide approach to identify exonic variants segregating with diabetes in a multigenerational Finnish family. At least eight members of this family presented with diabetes with age of diagnosis ranging from 18 to 51 years and a pattern suggesting autosomal dominant inheritance. We sequenced the exomes of four affected members of this family and performed follow-up genotyping of additional affected and unaffected family members. We uncovered a novel nonsynonymous variant (p.Trp314Arg) in the Wolfram syndrome 1 (WFS1) gene that segregates completely with the diabetic phenotype. Multipoint parametric linkage analysis with 13 members of this family identified a single linkage signal with maximum logarithm of odds score 3.01 at 4p16.2-p16.1, corresponding to a region harboring the WFS1 locus. Functional studies demonstrate a role for this variant in endoplasmic reticulum stress, which is consistent with the β-cell failure phenotype seen in mutation carriers. This represents the first compelling report of a mutation in WFS1 associated with dominantly inherited nonsyndromic adult-onset diabetes. © 2013 by the American Diabetes Association.","author":[{"dropping-particle":"","family":"Bonnycastle","given":"Lori L.","non-dropping-particle":"","parse-names":false,"suffix":""},{"dropping-particle":"","family":"Chines","given":"Peter S.","non-dropping-particle":"","parse-names":false,"suffix":""},{"dropping-particle":"","family":"Hara","given":"Takashi","non-dropping-particle":"","parse-names":false,"suffix":""},{"dropping-particle":"","family":"Huyghe","given":"Jeroen R.","non-dropping-particle":"","parse-names":false,"suffix":""},{"dropping-particle":"","family":"Swift","given":"Amy J.","non-dropping-particle":"","parse-names":false,"suffix":""},{"dropping-particle":"","family":"Heikinheimo","given":"Pirkko","non-dropping-particle":"","parse-names":false,"suffix":""},{"dropping-particle":"","family":"Mahadevan","given":"Jana","non-dropping-particle":"","parse-names":false,"suffix":""},{"dropping-particle":"","family":"Peltonen","given":"Sirkku","non-dropping-particle":"","parse-names":false,"suffix":""},{"dropping-particle":"","family":"Huopio","given":"Hanna","non-dropping-particle":"","parse-names":false,"suffix":""},{"dropping-particle":"","family":"Nuutila","given":"Pirjo","non-dropping-particle":"","parse-names":false,"suffix":""},{"dropping-particle":"","family":"Narisu","given":"Narisu","non-dropping-particle":"","parse-names":false,"suffix":""},{"dropping-particle":"","family":"Goldfeder","given":"Rachel L.","non-dropping-particle":"","parse-names":false,"suffix":""},{"dropping-particle":"","family":"Stitzel","given":"Michael L.","non-dropping-particle":"","parse-names":false,"suffix":""},{"dropping-particle":"","family":"Lu","given":"Simin","non-dropping-particle":"","parse-names":false,"suffix":""},{"dropping-particle":"","family":"Boehnke","given":"Michael","non-dropping-particle":"","parse-names":false,"suffix":""},{"dropping-particle":"","family":"Urano","given":"Fumihiko","non-dropping-particle":"","parse-names":false,"suffix":""},{"dropping-particle":"","family":"Collins","given":"Francis S.","non-dropping-particle":"","parse-names":false,"suffix":""},{"dropping-particle":"","family":"Laakso","given":"Markku","non-dropping-particle":"","parse-names":false,"suffix":""}],"container-title":"Diabetes","id":"ITEM-1","issue":"11","issued":{"date-parts":[["2013"]]},"page":"3943-3950","title":"Autosomal dominant diabetes arising from a wolfram syndrome 1 mutation","type":"article-journal","volume":"62"},"uris":["http://www.mendeley.com/documents/?uuid=543fbf8d-de02-48ef-8d8d-3116a68a5797","http://www.mendeley.com/documents/?uuid=ccd963c8-e528-4193-9725-3cf9a95c2f3c"]}],"mendeley":{"formattedCitation":"(2)","plainTextFormattedCitation":"(2)","previouslyFormattedCitation":"(15)"},"properties":{"noteIndex":0},"schema":"https://github.com/citation-style-language/schema/raw/master/csl-citation.json"}</w:instrText>
            </w:r>
            <w:r>
              <w:rPr>
                <w:rFonts w:ascii="Times New Roman" w:hAnsi="Times New Roman" w:eastAsia="宋体" w:cs="Times New Roman"/>
                <w:color w:val="000000"/>
                <w:sz w:val="16"/>
                <w:szCs w:val="16"/>
                <w:highlight w:val="none"/>
              </w:rPr>
              <w:fldChar w:fldCharType="separate"/>
            </w:r>
            <w:r>
              <w:rPr>
                <w:rFonts w:ascii="Times New Roman" w:hAnsi="Times New Roman" w:eastAsia="宋体" w:cs="Times New Roman"/>
                <w:color w:val="000000"/>
                <w:sz w:val="16"/>
                <w:szCs w:val="16"/>
                <w:highlight w:val="none"/>
              </w:rPr>
              <w:t>(2)</w:t>
            </w:r>
            <w:r>
              <w:rPr>
                <w:rFonts w:ascii="Times New Roman" w:hAnsi="Times New Roman" w:eastAsia="宋体" w:cs="Times New Roman"/>
                <w:color w:val="000000"/>
                <w:sz w:val="16"/>
                <w:szCs w:val="16"/>
                <w:highlight w:val="none"/>
              </w:rPr>
              <w:fldChar w:fldCharType="end"/>
            </w:r>
          </w:p>
        </w:tc>
      </w:tr>
      <w:tr w14:paraId="783C769C">
        <w:tblPrEx>
          <w:tblCellMar>
            <w:top w:w="0" w:type="dxa"/>
            <w:left w:w="108" w:type="dxa"/>
            <w:bottom w:w="0" w:type="dxa"/>
            <w:right w:w="108" w:type="dxa"/>
          </w:tblCellMar>
        </w:tblPrEx>
        <w:trPr>
          <w:trHeight w:val="280" w:hRule="atLeast"/>
        </w:trPr>
        <w:tc>
          <w:tcPr>
            <w:tcW w:w="746" w:type="dxa"/>
            <w:tcBorders>
              <w:top w:val="nil"/>
              <w:left w:val="nil"/>
              <w:bottom w:val="nil"/>
              <w:right w:val="nil"/>
            </w:tcBorders>
            <w:vAlign w:val="center"/>
          </w:tcPr>
          <w:p w14:paraId="578A99C9">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12</w:t>
            </w:r>
          </w:p>
        </w:tc>
        <w:tc>
          <w:tcPr>
            <w:tcW w:w="2378" w:type="dxa"/>
            <w:tcBorders>
              <w:top w:val="nil"/>
              <w:left w:val="nil"/>
              <w:bottom w:val="nil"/>
              <w:right w:val="nil"/>
            </w:tcBorders>
            <w:vAlign w:val="center"/>
          </w:tcPr>
          <w:p w14:paraId="7B3A998C">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p.W314R</w:t>
            </w:r>
          </w:p>
        </w:tc>
        <w:tc>
          <w:tcPr>
            <w:tcW w:w="791" w:type="dxa"/>
            <w:tcBorders>
              <w:top w:val="nil"/>
              <w:left w:val="nil"/>
              <w:bottom w:val="nil"/>
              <w:right w:val="nil"/>
            </w:tcBorders>
            <w:vAlign w:val="center"/>
          </w:tcPr>
          <w:p w14:paraId="1221856D">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w:t>
            </w:r>
          </w:p>
        </w:tc>
        <w:tc>
          <w:tcPr>
            <w:tcW w:w="746" w:type="dxa"/>
            <w:tcBorders>
              <w:top w:val="nil"/>
              <w:left w:val="nil"/>
              <w:bottom w:val="nil"/>
              <w:right w:val="nil"/>
            </w:tcBorders>
            <w:vAlign w:val="center"/>
          </w:tcPr>
          <w:p w14:paraId="2B0859ED">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M</w:t>
            </w:r>
          </w:p>
        </w:tc>
        <w:tc>
          <w:tcPr>
            <w:tcW w:w="885" w:type="dxa"/>
            <w:tcBorders>
              <w:top w:val="nil"/>
              <w:left w:val="nil"/>
              <w:bottom w:val="nil"/>
              <w:right w:val="nil"/>
            </w:tcBorders>
            <w:vAlign w:val="center"/>
          </w:tcPr>
          <w:p w14:paraId="7A6E9CD4">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21.5</w:t>
            </w:r>
          </w:p>
        </w:tc>
        <w:tc>
          <w:tcPr>
            <w:tcW w:w="1361" w:type="dxa"/>
            <w:tcBorders>
              <w:top w:val="nil"/>
              <w:left w:val="nil"/>
              <w:bottom w:val="nil"/>
              <w:right w:val="nil"/>
            </w:tcBorders>
            <w:vAlign w:val="center"/>
          </w:tcPr>
          <w:p w14:paraId="00837904">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w:t>
            </w:r>
          </w:p>
        </w:tc>
        <w:tc>
          <w:tcPr>
            <w:tcW w:w="1244" w:type="dxa"/>
            <w:tcBorders>
              <w:top w:val="nil"/>
              <w:left w:val="nil"/>
              <w:bottom w:val="nil"/>
              <w:right w:val="nil"/>
            </w:tcBorders>
            <w:vAlign w:val="center"/>
          </w:tcPr>
          <w:p w14:paraId="4EC635A4">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Negative</w:t>
            </w:r>
          </w:p>
        </w:tc>
        <w:tc>
          <w:tcPr>
            <w:tcW w:w="1246" w:type="dxa"/>
            <w:tcBorders>
              <w:top w:val="nil"/>
              <w:left w:val="nil"/>
              <w:bottom w:val="nil"/>
              <w:right w:val="nil"/>
            </w:tcBorders>
            <w:vAlign w:val="center"/>
          </w:tcPr>
          <w:p w14:paraId="2504AE58">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 xml:space="preserve">6.0 </w:t>
            </w:r>
          </w:p>
        </w:tc>
        <w:tc>
          <w:tcPr>
            <w:tcW w:w="1146" w:type="dxa"/>
            <w:tcBorders>
              <w:top w:val="nil"/>
              <w:left w:val="nil"/>
              <w:bottom w:val="nil"/>
              <w:right w:val="nil"/>
            </w:tcBorders>
            <w:vAlign w:val="center"/>
          </w:tcPr>
          <w:p w14:paraId="3FA13C23">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83.34</w:t>
            </w:r>
          </w:p>
        </w:tc>
        <w:tc>
          <w:tcPr>
            <w:tcW w:w="1162" w:type="dxa"/>
            <w:tcBorders>
              <w:top w:val="nil"/>
              <w:left w:val="nil"/>
              <w:bottom w:val="nil"/>
              <w:right w:val="nil"/>
            </w:tcBorders>
            <w:vAlign w:val="center"/>
          </w:tcPr>
          <w:p w14:paraId="278CE036">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760</w:t>
            </w:r>
          </w:p>
        </w:tc>
        <w:tc>
          <w:tcPr>
            <w:tcW w:w="1315" w:type="dxa"/>
            <w:tcBorders>
              <w:top w:val="nil"/>
              <w:left w:val="nil"/>
              <w:bottom w:val="nil"/>
              <w:right w:val="nil"/>
            </w:tcBorders>
            <w:vAlign w:val="center"/>
          </w:tcPr>
          <w:p w14:paraId="628234C2">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No</w:t>
            </w:r>
          </w:p>
        </w:tc>
        <w:tc>
          <w:tcPr>
            <w:tcW w:w="1315" w:type="dxa"/>
            <w:tcBorders>
              <w:top w:val="nil"/>
              <w:left w:val="nil"/>
              <w:bottom w:val="nil"/>
              <w:right w:val="nil"/>
            </w:tcBorders>
            <w:vAlign w:val="center"/>
          </w:tcPr>
          <w:p w14:paraId="382ED8B5">
            <w:pPr>
              <w:widowControl/>
              <w:jc w:val="center"/>
              <w:textAlignment w:val="center"/>
              <w:rPr>
                <w:rFonts w:ascii="Times New Roman" w:hAnsi="Times New Roman" w:eastAsia="宋体" w:cs="Times New Roman"/>
                <w:color w:val="000000"/>
                <w:kern w:val="0"/>
                <w:sz w:val="16"/>
                <w:szCs w:val="16"/>
                <w:highlight w:val="none"/>
                <w:lang w:bidi="ar"/>
              </w:rPr>
            </w:pPr>
          </w:p>
        </w:tc>
      </w:tr>
      <w:tr w14:paraId="700151C2">
        <w:tblPrEx>
          <w:tblCellMar>
            <w:top w:w="0" w:type="dxa"/>
            <w:left w:w="108" w:type="dxa"/>
            <w:bottom w:w="0" w:type="dxa"/>
            <w:right w:w="108" w:type="dxa"/>
          </w:tblCellMar>
        </w:tblPrEx>
        <w:trPr>
          <w:trHeight w:val="280" w:hRule="atLeast"/>
        </w:trPr>
        <w:tc>
          <w:tcPr>
            <w:tcW w:w="746" w:type="dxa"/>
            <w:tcBorders>
              <w:top w:val="nil"/>
              <w:left w:val="nil"/>
              <w:bottom w:val="nil"/>
              <w:right w:val="nil"/>
            </w:tcBorders>
            <w:vAlign w:val="center"/>
          </w:tcPr>
          <w:p w14:paraId="429F3D3A">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13</w:t>
            </w:r>
          </w:p>
        </w:tc>
        <w:tc>
          <w:tcPr>
            <w:tcW w:w="2378" w:type="dxa"/>
            <w:tcBorders>
              <w:top w:val="nil"/>
              <w:left w:val="nil"/>
              <w:bottom w:val="nil"/>
              <w:right w:val="nil"/>
            </w:tcBorders>
            <w:vAlign w:val="center"/>
          </w:tcPr>
          <w:p w14:paraId="71FCABF7">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p.R558C</w:t>
            </w:r>
          </w:p>
        </w:tc>
        <w:tc>
          <w:tcPr>
            <w:tcW w:w="791" w:type="dxa"/>
            <w:tcBorders>
              <w:top w:val="nil"/>
              <w:left w:val="nil"/>
              <w:bottom w:val="nil"/>
              <w:right w:val="nil"/>
            </w:tcBorders>
            <w:vAlign w:val="center"/>
          </w:tcPr>
          <w:p w14:paraId="055E1107">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14</w:t>
            </w:r>
          </w:p>
        </w:tc>
        <w:tc>
          <w:tcPr>
            <w:tcW w:w="746" w:type="dxa"/>
            <w:tcBorders>
              <w:top w:val="nil"/>
              <w:left w:val="nil"/>
              <w:bottom w:val="nil"/>
              <w:right w:val="nil"/>
            </w:tcBorders>
            <w:vAlign w:val="center"/>
          </w:tcPr>
          <w:p w14:paraId="04BFFB69">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w:t>
            </w:r>
          </w:p>
        </w:tc>
        <w:tc>
          <w:tcPr>
            <w:tcW w:w="885" w:type="dxa"/>
            <w:tcBorders>
              <w:top w:val="nil"/>
              <w:left w:val="nil"/>
              <w:bottom w:val="nil"/>
              <w:right w:val="nil"/>
            </w:tcBorders>
            <w:vAlign w:val="center"/>
          </w:tcPr>
          <w:p w14:paraId="541C91A8">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w:t>
            </w:r>
          </w:p>
        </w:tc>
        <w:tc>
          <w:tcPr>
            <w:tcW w:w="1361" w:type="dxa"/>
            <w:tcBorders>
              <w:top w:val="nil"/>
              <w:left w:val="nil"/>
              <w:bottom w:val="nil"/>
              <w:right w:val="nil"/>
            </w:tcBorders>
            <w:vAlign w:val="center"/>
          </w:tcPr>
          <w:p w14:paraId="670CC1CE">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w:t>
            </w:r>
          </w:p>
        </w:tc>
        <w:tc>
          <w:tcPr>
            <w:tcW w:w="1244" w:type="dxa"/>
            <w:tcBorders>
              <w:top w:val="nil"/>
              <w:left w:val="nil"/>
              <w:bottom w:val="nil"/>
              <w:right w:val="nil"/>
            </w:tcBorders>
            <w:vAlign w:val="center"/>
          </w:tcPr>
          <w:p w14:paraId="6F73EBA0">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Negative</w:t>
            </w:r>
          </w:p>
        </w:tc>
        <w:tc>
          <w:tcPr>
            <w:tcW w:w="1246" w:type="dxa"/>
            <w:tcBorders>
              <w:top w:val="nil"/>
              <w:left w:val="nil"/>
              <w:bottom w:val="nil"/>
              <w:right w:val="nil"/>
            </w:tcBorders>
            <w:vAlign w:val="center"/>
          </w:tcPr>
          <w:p w14:paraId="4D2359A0">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&gt;10</w:t>
            </w:r>
          </w:p>
        </w:tc>
        <w:tc>
          <w:tcPr>
            <w:tcW w:w="1146" w:type="dxa"/>
            <w:tcBorders>
              <w:top w:val="nil"/>
              <w:left w:val="nil"/>
              <w:bottom w:val="nil"/>
              <w:right w:val="nil"/>
            </w:tcBorders>
            <w:vAlign w:val="center"/>
          </w:tcPr>
          <w:p w14:paraId="60323CBE">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w:t>
            </w:r>
          </w:p>
        </w:tc>
        <w:tc>
          <w:tcPr>
            <w:tcW w:w="1162" w:type="dxa"/>
            <w:tcBorders>
              <w:top w:val="nil"/>
              <w:left w:val="nil"/>
              <w:bottom w:val="nil"/>
              <w:right w:val="nil"/>
            </w:tcBorders>
            <w:vAlign w:val="center"/>
          </w:tcPr>
          <w:p w14:paraId="02513B44">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w:t>
            </w:r>
          </w:p>
        </w:tc>
        <w:tc>
          <w:tcPr>
            <w:tcW w:w="1315" w:type="dxa"/>
            <w:tcBorders>
              <w:top w:val="nil"/>
              <w:left w:val="nil"/>
              <w:bottom w:val="nil"/>
              <w:right w:val="nil"/>
            </w:tcBorders>
            <w:vAlign w:val="center"/>
          </w:tcPr>
          <w:p w14:paraId="015B44F2">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No</w:t>
            </w:r>
          </w:p>
        </w:tc>
        <w:tc>
          <w:tcPr>
            <w:tcW w:w="1315" w:type="dxa"/>
            <w:tcBorders>
              <w:top w:val="nil"/>
              <w:left w:val="nil"/>
              <w:bottom w:val="nil"/>
              <w:right w:val="nil"/>
            </w:tcBorders>
            <w:vAlign w:val="center"/>
          </w:tcPr>
          <w:p w14:paraId="2570B5F5">
            <w:pPr>
              <w:widowControl/>
              <w:jc w:val="center"/>
              <w:textAlignment w:val="center"/>
              <w:rPr>
                <w:rFonts w:ascii="Times New Roman" w:hAnsi="Times New Roman" w:eastAsia="宋体" w:cs="Times New Roman"/>
                <w:color w:val="000000"/>
                <w:kern w:val="0"/>
                <w:sz w:val="16"/>
                <w:szCs w:val="16"/>
                <w:highlight w:val="none"/>
                <w:lang w:bidi="ar"/>
              </w:rPr>
            </w:pPr>
            <w:r>
              <w:rPr>
                <w:rFonts w:ascii="Times New Roman" w:hAnsi="Times New Roman" w:eastAsia="宋体" w:cs="Times New Roman"/>
                <w:color w:val="000000"/>
                <w:sz w:val="16"/>
                <w:szCs w:val="16"/>
                <w:highlight w:val="none"/>
              </w:rPr>
              <w:fldChar w:fldCharType="begin" w:fldLock="1"/>
            </w:r>
            <w:r>
              <w:rPr>
                <w:rFonts w:ascii="Times New Roman" w:hAnsi="Times New Roman" w:eastAsia="宋体" w:cs="Times New Roman"/>
                <w:color w:val="000000"/>
                <w:sz w:val="16"/>
                <w:szCs w:val="16"/>
                <w:highlight w:val="none"/>
              </w:rPr>
              <w:instrText xml:space="preserve">ADDIN CSL_CITATION {"citationItems":[{"id":"ITEM-1","itemData":{"DOI":"10.1007/s00125-018-4690-3","ISSN":"14320428","PMID":"30014265","abstract":"Aims/hypothesis: Wolfram syndrome is a rare, autosomal recessive syndrome characterised by juvenile-onset diabetes and optic atrophy and is caused by bi-allelic mutations in the WFS1 gene. In a recent sequencing study, an individual with juvenile-onset diabetes was observed to be homozygous for a rare missense variant (c.1672C&gt;T, p.R558C) in the WFS1 gene. The aim of this study was to perform the genetic characterisation of this variant and to determine whether it is causal for young-onset diabetes and Wolfram syndrome. Methods: We analysed the allele frequency of the missense variant in multiple variant databases. We genotyped the variant in 475 individuals with type 1 diabetes and 2237 control individuals of Ashkenazi Jewish ancestry and analysed the phenotypes of homozygotes. We also investigated the association of this variant with risk for type 2 diabetes using genotype and sequence data for type 2 diabetes cases and controls. Results: The missense variant demonstrated an allele frequency of 1.4% in individuals of Ashkenazi Jewish ancestry, 60-fold higher than in other populations. Genotyping of this variant in 475 individuals diagnosed with type 1 diabetes identified eight homozygotes compared with none in 2237 control individuals (genotype relative risk 135.3, p = 3.4 × 10−15). The age at diagnosis of diabetes for these eight individuals (17.8 ± 8.3 years) was several times greater than for typical Wolfram syndrome (5 ± 4 years). Further, optic atrophy was observed in only one of the eight individuals, while another individual had the Wolfram syndrome-relevant phenotype of neurogenic bladder. Analysis of sequence and genotype data in two case–control cohorts of Ashkenazi ancestry demonstrated that this variant is also associated with an increased risk of type 2 diabetes in heterozygotes (OR 1.81, p = 0.004). Conclusions/interpretation: We have identified a low-frequency coding variant in the WFS1 gene that is enriched in Ashkenazi Jewish individuals and causes a mild form of Wolfram syndrome characterised by young-onset diabetes and reduced penetrance for optic atrophy. This variant should be considered for genetic testing in individuals of Ashkenazi ancestry diagnosed with young-onset non-autoimmune diabetes and should be included in Ashkenazi carrier screening panels.","author":[{"dropping-particle":"","family":"Bansal","given":"Vikas","non-dropping-particle":"","parse-names":false,"suffix":""},{"dropping-particle":"","family":"Boehm","given":"Bernhard O.","non-dropping-particle":"","parse-names":false,"suffix":""},{"dropping-particle":"","family":"Darvasi","given":"Ariel","non-dropping-particle":"","parse-names":false,"suffix":""}],"container-title":"Diabetologia","id":"ITEM-1","issue":"10","issued":{"date-parts":[["2018"]]},"page":"2180-2188","publisher":"Diabetologia","title":"Identification of a missense variant in the WFS1 gene that causes a mild form of Wolfram syndrome and is associated with risk for type 2 diabetes in Ashkenazi Jewish individuals","type":"article-journal","volume":"61"},"uris":["http://www.mendeley.com/documents/?uuid=a661b63a-3fa8-4ba4-806b-add0c740f3bc","http://www.mendeley.com/documents/?uuid=1c1f87d6-5447-42b7-8074-1fb64148e1b8"]}],"mendeley":{"formattedCitation":"(3)","plainTextFormattedCitation":"(3)","previouslyFormattedCitation":"(16)"},"properties":{"noteIndex":0},"schema":"https://github.com/citation-style-language/schema/raw/master/csl-citation.json"}</w:instrText>
            </w:r>
            <w:r>
              <w:rPr>
                <w:rFonts w:ascii="Times New Roman" w:hAnsi="Times New Roman" w:eastAsia="宋体" w:cs="Times New Roman"/>
                <w:color w:val="000000"/>
                <w:sz w:val="16"/>
                <w:szCs w:val="16"/>
                <w:highlight w:val="none"/>
              </w:rPr>
              <w:fldChar w:fldCharType="separate"/>
            </w:r>
            <w:r>
              <w:rPr>
                <w:rFonts w:ascii="Times New Roman" w:hAnsi="Times New Roman" w:eastAsia="宋体" w:cs="Times New Roman"/>
                <w:color w:val="000000"/>
                <w:sz w:val="16"/>
                <w:szCs w:val="16"/>
                <w:highlight w:val="none"/>
              </w:rPr>
              <w:t>(3)</w:t>
            </w:r>
            <w:r>
              <w:rPr>
                <w:rFonts w:ascii="Times New Roman" w:hAnsi="Times New Roman" w:eastAsia="宋体" w:cs="Times New Roman"/>
                <w:color w:val="000000"/>
                <w:sz w:val="16"/>
                <w:szCs w:val="16"/>
                <w:highlight w:val="none"/>
              </w:rPr>
              <w:fldChar w:fldCharType="end"/>
            </w:r>
          </w:p>
        </w:tc>
      </w:tr>
      <w:tr w14:paraId="7F24478D">
        <w:tblPrEx>
          <w:tblCellMar>
            <w:top w:w="0" w:type="dxa"/>
            <w:left w:w="108" w:type="dxa"/>
            <w:bottom w:w="0" w:type="dxa"/>
            <w:right w:w="108" w:type="dxa"/>
          </w:tblCellMar>
        </w:tblPrEx>
        <w:trPr>
          <w:trHeight w:val="280" w:hRule="atLeast"/>
        </w:trPr>
        <w:tc>
          <w:tcPr>
            <w:tcW w:w="746" w:type="dxa"/>
            <w:tcBorders>
              <w:top w:val="nil"/>
              <w:left w:val="nil"/>
              <w:bottom w:val="nil"/>
              <w:right w:val="nil"/>
            </w:tcBorders>
            <w:vAlign w:val="center"/>
          </w:tcPr>
          <w:p w14:paraId="7DAA83C2">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14</w:t>
            </w:r>
          </w:p>
        </w:tc>
        <w:tc>
          <w:tcPr>
            <w:tcW w:w="2378" w:type="dxa"/>
            <w:tcBorders>
              <w:top w:val="nil"/>
              <w:left w:val="nil"/>
              <w:bottom w:val="nil"/>
              <w:right w:val="nil"/>
            </w:tcBorders>
            <w:vAlign w:val="center"/>
          </w:tcPr>
          <w:p w14:paraId="118DB0E0">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p.Q366fs/p.L459R</w:t>
            </w:r>
          </w:p>
        </w:tc>
        <w:tc>
          <w:tcPr>
            <w:tcW w:w="791" w:type="dxa"/>
            <w:tcBorders>
              <w:top w:val="nil"/>
              <w:left w:val="nil"/>
              <w:bottom w:val="nil"/>
              <w:right w:val="nil"/>
            </w:tcBorders>
            <w:vAlign w:val="center"/>
          </w:tcPr>
          <w:p w14:paraId="03C73D8C">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9</w:t>
            </w:r>
          </w:p>
        </w:tc>
        <w:tc>
          <w:tcPr>
            <w:tcW w:w="746" w:type="dxa"/>
            <w:tcBorders>
              <w:top w:val="nil"/>
              <w:left w:val="nil"/>
              <w:bottom w:val="nil"/>
              <w:right w:val="nil"/>
            </w:tcBorders>
            <w:vAlign w:val="center"/>
          </w:tcPr>
          <w:p w14:paraId="0D90D1DE">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w:t>
            </w:r>
          </w:p>
        </w:tc>
        <w:tc>
          <w:tcPr>
            <w:tcW w:w="885" w:type="dxa"/>
            <w:tcBorders>
              <w:top w:val="nil"/>
              <w:left w:val="nil"/>
              <w:bottom w:val="nil"/>
              <w:right w:val="nil"/>
            </w:tcBorders>
            <w:vAlign w:val="center"/>
          </w:tcPr>
          <w:p w14:paraId="07CFF95C">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w:t>
            </w:r>
          </w:p>
        </w:tc>
        <w:tc>
          <w:tcPr>
            <w:tcW w:w="1361" w:type="dxa"/>
            <w:tcBorders>
              <w:top w:val="nil"/>
              <w:left w:val="nil"/>
              <w:bottom w:val="nil"/>
              <w:right w:val="nil"/>
            </w:tcBorders>
            <w:vAlign w:val="center"/>
          </w:tcPr>
          <w:p w14:paraId="509DEB61">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15.6</w:t>
            </w:r>
          </w:p>
        </w:tc>
        <w:tc>
          <w:tcPr>
            <w:tcW w:w="1244" w:type="dxa"/>
            <w:tcBorders>
              <w:top w:val="nil"/>
              <w:left w:val="nil"/>
              <w:bottom w:val="nil"/>
              <w:right w:val="nil"/>
            </w:tcBorders>
            <w:vAlign w:val="center"/>
          </w:tcPr>
          <w:p w14:paraId="555BC17A">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Negative</w:t>
            </w:r>
          </w:p>
        </w:tc>
        <w:tc>
          <w:tcPr>
            <w:tcW w:w="1246" w:type="dxa"/>
            <w:tcBorders>
              <w:top w:val="nil"/>
              <w:left w:val="nil"/>
              <w:bottom w:val="nil"/>
              <w:right w:val="nil"/>
            </w:tcBorders>
            <w:vAlign w:val="center"/>
          </w:tcPr>
          <w:p w14:paraId="3C1A4BF9">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w:t>
            </w:r>
          </w:p>
        </w:tc>
        <w:tc>
          <w:tcPr>
            <w:tcW w:w="1146" w:type="dxa"/>
            <w:tcBorders>
              <w:top w:val="nil"/>
              <w:left w:val="nil"/>
              <w:bottom w:val="nil"/>
              <w:right w:val="nil"/>
            </w:tcBorders>
            <w:vAlign w:val="center"/>
          </w:tcPr>
          <w:p w14:paraId="57E16373">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w:t>
            </w:r>
          </w:p>
        </w:tc>
        <w:tc>
          <w:tcPr>
            <w:tcW w:w="1162" w:type="dxa"/>
            <w:tcBorders>
              <w:top w:val="nil"/>
              <w:left w:val="nil"/>
              <w:bottom w:val="nil"/>
              <w:right w:val="nil"/>
            </w:tcBorders>
            <w:vAlign w:val="center"/>
          </w:tcPr>
          <w:p w14:paraId="7CB1245E">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170.16</w:t>
            </w:r>
          </w:p>
        </w:tc>
        <w:tc>
          <w:tcPr>
            <w:tcW w:w="1315" w:type="dxa"/>
            <w:tcBorders>
              <w:top w:val="nil"/>
              <w:left w:val="nil"/>
              <w:bottom w:val="nil"/>
              <w:right w:val="nil"/>
            </w:tcBorders>
            <w:vAlign w:val="center"/>
          </w:tcPr>
          <w:p w14:paraId="32CD1213">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w:t>
            </w:r>
          </w:p>
        </w:tc>
        <w:tc>
          <w:tcPr>
            <w:tcW w:w="1315" w:type="dxa"/>
            <w:vMerge w:val="restart"/>
            <w:tcBorders>
              <w:top w:val="nil"/>
              <w:left w:val="nil"/>
              <w:right w:val="nil"/>
            </w:tcBorders>
            <w:vAlign w:val="center"/>
          </w:tcPr>
          <w:p w14:paraId="003B3A59">
            <w:pPr>
              <w:widowControl/>
              <w:jc w:val="center"/>
              <w:textAlignment w:val="center"/>
              <w:rPr>
                <w:rFonts w:ascii="Times New Roman" w:hAnsi="Times New Roman" w:eastAsia="宋体" w:cs="Times New Roman"/>
                <w:color w:val="000000"/>
                <w:kern w:val="0"/>
                <w:sz w:val="16"/>
                <w:szCs w:val="16"/>
                <w:highlight w:val="none"/>
                <w:lang w:bidi="ar"/>
              </w:rPr>
            </w:pPr>
            <w:r>
              <w:rPr>
                <w:rFonts w:ascii="Times New Roman" w:hAnsi="Times New Roman" w:eastAsia="宋体" w:cs="Times New Roman"/>
                <w:color w:val="000000"/>
                <w:sz w:val="16"/>
                <w:szCs w:val="16"/>
                <w:highlight w:val="none"/>
              </w:rPr>
              <w:fldChar w:fldCharType="begin" w:fldLock="1"/>
            </w:r>
            <w:r>
              <w:rPr>
                <w:rFonts w:ascii="Times New Roman" w:hAnsi="Times New Roman" w:eastAsia="宋体" w:cs="Times New Roman"/>
                <w:color w:val="000000"/>
                <w:sz w:val="16"/>
                <w:szCs w:val="16"/>
                <w:highlight w:val="none"/>
              </w:rPr>
              <w:instrText xml:space="preserve">ADDIN CSL_CITATION {"citationItems":[{"id":"ITEM-1","itemData":{"DOI":"10.2337/db19-0510","ISBN":"1939-327X","abstract":"It is estimated that </w:instrText>
            </w:r>
            <w:r>
              <w:rPr>
                <w:rFonts w:ascii="Cambria Math" w:hAnsi="Cambria Math" w:eastAsia="宋体" w:cs="Cambria Math"/>
                <w:color w:val="000000"/>
                <w:sz w:val="16"/>
                <w:szCs w:val="16"/>
                <w:highlight w:val="none"/>
              </w:rPr>
              <w:instrText xml:space="preserve">∼</w:instrText>
            </w:r>
            <w:r>
              <w:rPr>
                <w:rFonts w:ascii="Times New Roman" w:hAnsi="Times New Roman" w:eastAsia="宋体" w:cs="Times New Roman"/>
                <w:color w:val="000000"/>
                <w:sz w:val="16"/>
                <w:szCs w:val="16"/>
                <w:highlight w:val="none"/>
              </w:rPr>
              <w:instrText xml:space="preserve">1% of European ancestry patients clinically diagnosed with type 1 diabetes (T1D) actually have monogenic forms of the disease. Because of the much lower incidence of true T1D in East Asians, we hypothesized that the percentage would be much higher. To test this, we sequenced the exome of 82 Chinese Han patients clinically diagnosed with T1D but negative for three autoantibodies. Analysis focused on established or proposed monogenic diabetes genes. We found credible mutations in 18 of the 82 autoantibody-negative patients (22%). All mutations had consensus pathogenicity support by five algorithms. As in Europeans, the most common gene was HNF1A (MODY3), in 6 of 18 cases. Surprisingly, almost as frequent were diallelic mutations in WFS1, known to cause Wolfram syndrome but also described in nonsyndromic cases. Fasting C-peptide varied widely and was not predictive. Given the 27.4% autoantibody negativity in Chinese and 22% mutation rate, we estimate that </w:instrText>
            </w:r>
            <w:r>
              <w:rPr>
                <w:rFonts w:ascii="Cambria Math" w:hAnsi="Cambria Math" w:eastAsia="宋体" w:cs="Cambria Math"/>
                <w:color w:val="000000"/>
                <w:sz w:val="16"/>
                <w:szCs w:val="16"/>
                <w:highlight w:val="none"/>
              </w:rPr>
              <w:instrText xml:space="preserve">∼</w:instrText>
            </w:r>
            <w:r>
              <w:rPr>
                <w:rFonts w:ascii="Times New Roman" w:hAnsi="Times New Roman" w:eastAsia="宋体" w:cs="Times New Roman"/>
                <w:color w:val="000000"/>
                <w:sz w:val="16"/>
                <w:szCs w:val="16"/>
                <w:highlight w:val="none"/>
              </w:rPr>
              <w:instrText xml:space="preserve">6% of Chinese with a clinical T1D diagnosis have monogenic diabetes. Our findings support universal sequencing of autoantibody-negative cases as standard of care in East Asian patients with a clinical T1D diagnosis. Nonsyndromic diabetes with WSF1 mutations is not rare in Chinese. Its response to alternative treatments should be investigated. CI  - © 2019 by the American Diabetes Association.","author":[{"dropping-particle":"","family":"Li","given":"Meihang","non-dropping-particle":"","parse-names":false,"suffix":""},{"dropping-particle":"","family":"Wang","given":"Sihua","non-dropping-particle":"","parse-names":false,"suffix":""},{"dropping-particle":"","family":"Xu","given":"Kuanfeng","non-dropping-particle":"","parse-names":false,"suffix":""},{"dropping-particle":"","family":"Chen","given":"Yang","non-dropping-particle":"","parse-names":false,"suffix":""},{"dropping-particle":"","family":"Fu","given":"Qi","non-dropping-particle":"","parse-names":false,"suffix":""},{"dropping-particle":"","family":"Gu","given":"Yong","non-dropping-particle":"","parse-names":false,"suffix":""},{"dropping-particle":"","family":"Shi","given":"Yun","non-dropping-particle":"","parse-names":false,"suffix":""},{"dropping-particle":"","family":"Zhang","given":"Mei","non-dropping-particle":"","parse-names":false,"suffix":""},{"dropping-particle":"","family":"Sun","given":"Min","non-dropping-particle":"","parse-names":false,"suffix":""},{"dropping-particle":"","family":"Chen","given":"Heng","non-dropping-particle":"","parse-names":false,"suffix":""},{"dropping-particle":"","family":"Han","given":"Xiuqun","non-dropping-particle":"","parse-names":false,"suffix":""},{"dropping-particle":"","family":"Li","given":"Yangxi","non-dropping-particle":"","parse-names":false,"suffix":""},{"dropping-particle":"","family":"Tang","given":"Zhoukai","non-dropping-particle":"","parse-names":false,"suffix":""},{"dropping-particle":"","family":"Cai","given":"Lejing","non-dropping-particle":"","parse-names":false,"suffix":""},{"dropping-particle":"","family":"Li","given":"Zhiqiang","non-dropping-particle":"","parse-names":false,"suffix":""},{"dropping-particle":"","family":"Shi","given":"Yongyong","non-dropping-particle":"","parse-names":false,"suffix":""},{"dropping-particle":"","family":"Yang","given":"Tao","non-dropping-particle":"","parse-names":false,"suffix":""},{"dropping-particle":"","family":"Polychronakos","given":"Constantin","non-dropping-particle":"","parse-names":false,"suffix":""}],"container-title":"Diabetes","id":"ITEM-1","issue":"1","issued":{"date-parts":[["2020"]]},"language":"eng","page":"121-126","publisher-place":"Department of Endocrinology, The First Affiliated Hospital of Nanjing Medical University, Nanjing, China.","title":"High Prevalence of a Monogenic Cause in Han Chinese Diagnosed With Type 1 Diabetes, Partly Driven by Nonsyndromic Recessive WFS1 Mutations.","type":"article","volume":"69"},"uris":["http://www.mendeley.com/documents/?uuid=1d80f8b2-2c53-4a40-bb70-4e3c0c27cdfe","http://www.mendeley.com/documents/?uuid=9335a1a6-b52b-4a03-8978-d0d7eae54aca"]}],"mendeley":{"formattedCitation":"(4)","plainTextFormattedCitation":"(4)","previouslyFormattedCitation":"(25)"},"properties":{"noteIndex":0},"schema":"https://github.com/citation-style-language/schema/raw/master/csl-citation.json"}</w:instrText>
            </w:r>
            <w:r>
              <w:rPr>
                <w:rFonts w:ascii="Times New Roman" w:hAnsi="Times New Roman" w:eastAsia="宋体" w:cs="Times New Roman"/>
                <w:color w:val="000000"/>
                <w:sz w:val="16"/>
                <w:szCs w:val="16"/>
                <w:highlight w:val="none"/>
              </w:rPr>
              <w:fldChar w:fldCharType="separate"/>
            </w:r>
            <w:r>
              <w:rPr>
                <w:rFonts w:ascii="Times New Roman" w:hAnsi="Times New Roman" w:eastAsia="宋体" w:cs="Times New Roman"/>
                <w:color w:val="000000"/>
                <w:sz w:val="16"/>
                <w:szCs w:val="16"/>
                <w:highlight w:val="none"/>
              </w:rPr>
              <w:t>(4)</w:t>
            </w:r>
            <w:r>
              <w:rPr>
                <w:rFonts w:ascii="Times New Roman" w:hAnsi="Times New Roman" w:eastAsia="宋体" w:cs="Times New Roman"/>
                <w:color w:val="000000"/>
                <w:sz w:val="16"/>
                <w:szCs w:val="16"/>
                <w:highlight w:val="none"/>
              </w:rPr>
              <w:fldChar w:fldCharType="end"/>
            </w:r>
          </w:p>
          <w:p w14:paraId="7B3A1AD5">
            <w:pPr>
              <w:jc w:val="center"/>
              <w:textAlignment w:val="center"/>
              <w:rPr>
                <w:rFonts w:ascii="Times New Roman" w:hAnsi="Times New Roman" w:eastAsia="宋体" w:cs="Times New Roman"/>
                <w:color w:val="000000"/>
                <w:kern w:val="0"/>
                <w:sz w:val="16"/>
                <w:szCs w:val="16"/>
                <w:highlight w:val="none"/>
                <w:lang w:bidi="ar"/>
              </w:rPr>
            </w:pPr>
          </w:p>
        </w:tc>
      </w:tr>
      <w:tr w14:paraId="65A37F5D">
        <w:tblPrEx>
          <w:tblCellMar>
            <w:top w:w="0" w:type="dxa"/>
            <w:left w:w="108" w:type="dxa"/>
            <w:bottom w:w="0" w:type="dxa"/>
            <w:right w:w="108" w:type="dxa"/>
          </w:tblCellMar>
        </w:tblPrEx>
        <w:trPr>
          <w:trHeight w:val="280" w:hRule="atLeast"/>
        </w:trPr>
        <w:tc>
          <w:tcPr>
            <w:tcW w:w="746" w:type="dxa"/>
            <w:tcBorders>
              <w:top w:val="nil"/>
              <w:left w:val="nil"/>
              <w:bottom w:val="nil"/>
              <w:right w:val="nil"/>
            </w:tcBorders>
            <w:vAlign w:val="center"/>
          </w:tcPr>
          <w:p w14:paraId="2DD9E349">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15</w:t>
            </w:r>
          </w:p>
        </w:tc>
        <w:tc>
          <w:tcPr>
            <w:tcW w:w="2378" w:type="dxa"/>
            <w:tcBorders>
              <w:top w:val="nil"/>
              <w:left w:val="nil"/>
              <w:bottom w:val="nil"/>
              <w:right w:val="nil"/>
            </w:tcBorders>
            <w:vAlign w:val="center"/>
          </w:tcPr>
          <w:p w14:paraId="1AF13320">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p.E158K/p.F329I</w:t>
            </w:r>
          </w:p>
        </w:tc>
        <w:tc>
          <w:tcPr>
            <w:tcW w:w="791" w:type="dxa"/>
            <w:tcBorders>
              <w:top w:val="nil"/>
              <w:left w:val="nil"/>
              <w:bottom w:val="nil"/>
              <w:right w:val="nil"/>
            </w:tcBorders>
            <w:vAlign w:val="center"/>
          </w:tcPr>
          <w:p w14:paraId="324310AB">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18</w:t>
            </w:r>
          </w:p>
        </w:tc>
        <w:tc>
          <w:tcPr>
            <w:tcW w:w="746" w:type="dxa"/>
            <w:tcBorders>
              <w:top w:val="nil"/>
              <w:left w:val="nil"/>
              <w:bottom w:val="nil"/>
              <w:right w:val="nil"/>
            </w:tcBorders>
            <w:vAlign w:val="center"/>
          </w:tcPr>
          <w:p w14:paraId="51E332E2">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w:t>
            </w:r>
          </w:p>
        </w:tc>
        <w:tc>
          <w:tcPr>
            <w:tcW w:w="885" w:type="dxa"/>
            <w:tcBorders>
              <w:top w:val="nil"/>
              <w:left w:val="nil"/>
              <w:bottom w:val="nil"/>
              <w:right w:val="nil"/>
            </w:tcBorders>
            <w:vAlign w:val="center"/>
          </w:tcPr>
          <w:p w14:paraId="1423DBE0">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w:t>
            </w:r>
          </w:p>
        </w:tc>
        <w:tc>
          <w:tcPr>
            <w:tcW w:w="1361" w:type="dxa"/>
            <w:tcBorders>
              <w:top w:val="nil"/>
              <w:left w:val="nil"/>
              <w:bottom w:val="nil"/>
              <w:right w:val="nil"/>
            </w:tcBorders>
            <w:vAlign w:val="center"/>
          </w:tcPr>
          <w:p w14:paraId="3EB6D6B3">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w:t>
            </w:r>
          </w:p>
        </w:tc>
        <w:tc>
          <w:tcPr>
            <w:tcW w:w="1244" w:type="dxa"/>
            <w:tcBorders>
              <w:top w:val="nil"/>
              <w:left w:val="nil"/>
              <w:bottom w:val="nil"/>
              <w:right w:val="nil"/>
            </w:tcBorders>
            <w:vAlign w:val="center"/>
          </w:tcPr>
          <w:p w14:paraId="07575EF5">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Negative</w:t>
            </w:r>
          </w:p>
        </w:tc>
        <w:tc>
          <w:tcPr>
            <w:tcW w:w="1246" w:type="dxa"/>
            <w:tcBorders>
              <w:top w:val="nil"/>
              <w:left w:val="nil"/>
              <w:bottom w:val="nil"/>
              <w:right w:val="nil"/>
            </w:tcBorders>
            <w:vAlign w:val="center"/>
          </w:tcPr>
          <w:p w14:paraId="3DE28CE2">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w:t>
            </w:r>
          </w:p>
        </w:tc>
        <w:tc>
          <w:tcPr>
            <w:tcW w:w="1146" w:type="dxa"/>
            <w:tcBorders>
              <w:top w:val="nil"/>
              <w:left w:val="nil"/>
              <w:bottom w:val="nil"/>
              <w:right w:val="nil"/>
            </w:tcBorders>
            <w:vAlign w:val="center"/>
          </w:tcPr>
          <w:p w14:paraId="37439690">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w:t>
            </w:r>
          </w:p>
        </w:tc>
        <w:tc>
          <w:tcPr>
            <w:tcW w:w="1162" w:type="dxa"/>
            <w:tcBorders>
              <w:top w:val="nil"/>
              <w:left w:val="nil"/>
              <w:bottom w:val="nil"/>
              <w:right w:val="nil"/>
            </w:tcBorders>
            <w:vAlign w:val="center"/>
          </w:tcPr>
          <w:p w14:paraId="36F3F1B2">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111.7</w:t>
            </w:r>
          </w:p>
        </w:tc>
        <w:tc>
          <w:tcPr>
            <w:tcW w:w="1315" w:type="dxa"/>
            <w:tcBorders>
              <w:top w:val="nil"/>
              <w:left w:val="nil"/>
              <w:bottom w:val="nil"/>
              <w:right w:val="nil"/>
            </w:tcBorders>
            <w:vAlign w:val="center"/>
          </w:tcPr>
          <w:p w14:paraId="478C1C45">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w:t>
            </w:r>
          </w:p>
        </w:tc>
        <w:tc>
          <w:tcPr>
            <w:tcW w:w="1315" w:type="dxa"/>
            <w:vMerge w:val="continue"/>
            <w:tcBorders>
              <w:left w:val="nil"/>
              <w:right w:val="nil"/>
            </w:tcBorders>
            <w:vAlign w:val="center"/>
          </w:tcPr>
          <w:p w14:paraId="65255E67">
            <w:pPr>
              <w:jc w:val="center"/>
              <w:textAlignment w:val="center"/>
              <w:rPr>
                <w:rFonts w:ascii="Times New Roman" w:hAnsi="Times New Roman" w:eastAsia="宋体" w:cs="Times New Roman"/>
                <w:color w:val="000000"/>
                <w:kern w:val="0"/>
                <w:sz w:val="16"/>
                <w:szCs w:val="16"/>
                <w:highlight w:val="none"/>
                <w:lang w:bidi="ar"/>
              </w:rPr>
            </w:pPr>
          </w:p>
        </w:tc>
      </w:tr>
      <w:tr w14:paraId="6957F751">
        <w:tblPrEx>
          <w:tblCellMar>
            <w:top w:w="0" w:type="dxa"/>
            <w:left w:w="108" w:type="dxa"/>
            <w:bottom w:w="0" w:type="dxa"/>
            <w:right w:w="108" w:type="dxa"/>
          </w:tblCellMar>
        </w:tblPrEx>
        <w:trPr>
          <w:trHeight w:val="280" w:hRule="atLeast"/>
        </w:trPr>
        <w:tc>
          <w:tcPr>
            <w:tcW w:w="746" w:type="dxa"/>
            <w:tcBorders>
              <w:top w:val="nil"/>
              <w:left w:val="nil"/>
              <w:bottom w:val="nil"/>
              <w:right w:val="nil"/>
            </w:tcBorders>
            <w:vAlign w:val="center"/>
          </w:tcPr>
          <w:p w14:paraId="4C5A0CD8">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16</w:t>
            </w:r>
          </w:p>
        </w:tc>
        <w:tc>
          <w:tcPr>
            <w:tcW w:w="2378" w:type="dxa"/>
            <w:tcBorders>
              <w:top w:val="nil"/>
              <w:left w:val="nil"/>
              <w:bottom w:val="nil"/>
              <w:right w:val="nil"/>
            </w:tcBorders>
            <w:vAlign w:val="center"/>
          </w:tcPr>
          <w:p w14:paraId="35AB9030">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p.E158K/p.F329I</w:t>
            </w:r>
          </w:p>
        </w:tc>
        <w:tc>
          <w:tcPr>
            <w:tcW w:w="791" w:type="dxa"/>
            <w:tcBorders>
              <w:top w:val="nil"/>
              <w:left w:val="nil"/>
              <w:bottom w:val="nil"/>
              <w:right w:val="nil"/>
            </w:tcBorders>
            <w:vAlign w:val="center"/>
          </w:tcPr>
          <w:p w14:paraId="11C7537D">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22</w:t>
            </w:r>
          </w:p>
        </w:tc>
        <w:tc>
          <w:tcPr>
            <w:tcW w:w="746" w:type="dxa"/>
            <w:tcBorders>
              <w:top w:val="nil"/>
              <w:left w:val="nil"/>
              <w:bottom w:val="nil"/>
              <w:right w:val="nil"/>
            </w:tcBorders>
            <w:vAlign w:val="center"/>
          </w:tcPr>
          <w:p w14:paraId="26DA91EB">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w:t>
            </w:r>
          </w:p>
        </w:tc>
        <w:tc>
          <w:tcPr>
            <w:tcW w:w="885" w:type="dxa"/>
            <w:tcBorders>
              <w:top w:val="nil"/>
              <w:left w:val="nil"/>
              <w:bottom w:val="nil"/>
              <w:right w:val="nil"/>
            </w:tcBorders>
            <w:vAlign w:val="center"/>
          </w:tcPr>
          <w:p w14:paraId="2A1C9DFE">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w:t>
            </w:r>
          </w:p>
        </w:tc>
        <w:tc>
          <w:tcPr>
            <w:tcW w:w="1361" w:type="dxa"/>
            <w:tcBorders>
              <w:top w:val="nil"/>
              <w:left w:val="nil"/>
              <w:bottom w:val="nil"/>
              <w:right w:val="nil"/>
            </w:tcBorders>
            <w:vAlign w:val="center"/>
          </w:tcPr>
          <w:p w14:paraId="26E5E6E7">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w:t>
            </w:r>
          </w:p>
        </w:tc>
        <w:tc>
          <w:tcPr>
            <w:tcW w:w="1244" w:type="dxa"/>
            <w:tcBorders>
              <w:top w:val="nil"/>
              <w:left w:val="nil"/>
              <w:bottom w:val="nil"/>
              <w:right w:val="nil"/>
            </w:tcBorders>
            <w:vAlign w:val="center"/>
          </w:tcPr>
          <w:p w14:paraId="5CD7E649">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Negative</w:t>
            </w:r>
          </w:p>
        </w:tc>
        <w:tc>
          <w:tcPr>
            <w:tcW w:w="1246" w:type="dxa"/>
            <w:tcBorders>
              <w:top w:val="nil"/>
              <w:left w:val="nil"/>
              <w:bottom w:val="nil"/>
              <w:right w:val="nil"/>
            </w:tcBorders>
            <w:vAlign w:val="center"/>
          </w:tcPr>
          <w:p w14:paraId="61AA6B77">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w:t>
            </w:r>
          </w:p>
        </w:tc>
        <w:tc>
          <w:tcPr>
            <w:tcW w:w="1146" w:type="dxa"/>
            <w:tcBorders>
              <w:top w:val="nil"/>
              <w:left w:val="nil"/>
              <w:bottom w:val="nil"/>
              <w:right w:val="nil"/>
            </w:tcBorders>
            <w:vAlign w:val="center"/>
          </w:tcPr>
          <w:p w14:paraId="61E9921D">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w:t>
            </w:r>
          </w:p>
        </w:tc>
        <w:tc>
          <w:tcPr>
            <w:tcW w:w="1162" w:type="dxa"/>
            <w:tcBorders>
              <w:top w:val="nil"/>
              <w:left w:val="nil"/>
              <w:bottom w:val="nil"/>
              <w:right w:val="nil"/>
            </w:tcBorders>
            <w:vAlign w:val="center"/>
          </w:tcPr>
          <w:p w14:paraId="5897533A">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w:t>
            </w:r>
          </w:p>
        </w:tc>
        <w:tc>
          <w:tcPr>
            <w:tcW w:w="1315" w:type="dxa"/>
            <w:tcBorders>
              <w:top w:val="nil"/>
              <w:left w:val="nil"/>
              <w:bottom w:val="nil"/>
              <w:right w:val="nil"/>
            </w:tcBorders>
            <w:vAlign w:val="center"/>
          </w:tcPr>
          <w:p w14:paraId="4060B91A">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w:t>
            </w:r>
          </w:p>
        </w:tc>
        <w:tc>
          <w:tcPr>
            <w:tcW w:w="1315" w:type="dxa"/>
            <w:vMerge w:val="continue"/>
            <w:tcBorders>
              <w:left w:val="nil"/>
              <w:right w:val="nil"/>
            </w:tcBorders>
            <w:vAlign w:val="center"/>
          </w:tcPr>
          <w:p w14:paraId="59A9FCE6">
            <w:pPr>
              <w:jc w:val="center"/>
              <w:textAlignment w:val="center"/>
              <w:rPr>
                <w:rFonts w:ascii="Times New Roman" w:hAnsi="Times New Roman" w:eastAsia="宋体" w:cs="Times New Roman"/>
                <w:color w:val="000000"/>
                <w:kern w:val="0"/>
                <w:sz w:val="16"/>
                <w:szCs w:val="16"/>
                <w:highlight w:val="none"/>
                <w:lang w:bidi="ar"/>
              </w:rPr>
            </w:pPr>
          </w:p>
        </w:tc>
      </w:tr>
      <w:tr w14:paraId="5559B4B9">
        <w:tblPrEx>
          <w:tblCellMar>
            <w:top w:w="0" w:type="dxa"/>
            <w:left w:w="108" w:type="dxa"/>
            <w:bottom w:w="0" w:type="dxa"/>
            <w:right w:w="108" w:type="dxa"/>
          </w:tblCellMar>
        </w:tblPrEx>
        <w:trPr>
          <w:trHeight w:val="280" w:hRule="atLeast"/>
        </w:trPr>
        <w:tc>
          <w:tcPr>
            <w:tcW w:w="746" w:type="dxa"/>
            <w:tcBorders>
              <w:top w:val="nil"/>
              <w:left w:val="nil"/>
              <w:bottom w:val="nil"/>
              <w:right w:val="nil"/>
            </w:tcBorders>
            <w:vAlign w:val="center"/>
          </w:tcPr>
          <w:p w14:paraId="6EB7D09D">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17</w:t>
            </w:r>
          </w:p>
        </w:tc>
        <w:tc>
          <w:tcPr>
            <w:tcW w:w="2378" w:type="dxa"/>
            <w:tcBorders>
              <w:top w:val="nil"/>
              <w:left w:val="nil"/>
              <w:bottom w:val="nil"/>
              <w:right w:val="nil"/>
            </w:tcBorders>
            <w:vAlign w:val="center"/>
          </w:tcPr>
          <w:p w14:paraId="1CCB1059">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p.S631F</w:t>
            </w:r>
          </w:p>
        </w:tc>
        <w:tc>
          <w:tcPr>
            <w:tcW w:w="791" w:type="dxa"/>
            <w:tcBorders>
              <w:top w:val="nil"/>
              <w:left w:val="nil"/>
              <w:bottom w:val="nil"/>
              <w:right w:val="nil"/>
            </w:tcBorders>
            <w:vAlign w:val="center"/>
          </w:tcPr>
          <w:p w14:paraId="353EDCCE">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5</w:t>
            </w:r>
          </w:p>
        </w:tc>
        <w:tc>
          <w:tcPr>
            <w:tcW w:w="746" w:type="dxa"/>
            <w:tcBorders>
              <w:top w:val="nil"/>
              <w:left w:val="nil"/>
              <w:bottom w:val="nil"/>
              <w:right w:val="nil"/>
            </w:tcBorders>
            <w:vAlign w:val="center"/>
          </w:tcPr>
          <w:p w14:paraId="47A9A6B3">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w:t>
            </w:r>
          </w:p>
        </w:tc>
        <w:tc>
          <w:tcPr>
            <w:tcW w:w="885" w:type="dxa"/>
            <w:tcBorders>
              <w:top w:val="nil"/>
              <w:left w:val="nil"/>
              <w:bottom w:val="nil"/>
              <w:right w:val="nil"/>
            </w:tcBorders>
            <w:vAlign w:val="center"/>
          </w:tcPr>
          <w:p w14:paraId="526CEF07">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w:t>
            </w:r>
          </w:p>
        </w:tc>
        <w:tc>
          <w:tcPr>
            <w:tcW w:w="1361" w:type="dxa"/>
            <w:tcBorders>
              <w:top w:val="nil"/>
              <w:left w:val="nil"/>
              <w:bottom w:val="nil"/>
              <w:right w:val="nil"/>
            </w:tcBorders>
            <w:vAlign w:val="center"/>
          </w:tcPr>
          <w:p w14:paraId="381ABCC1">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w:t>
            </w:r>
          </w:p>
        </w:tc>
        <w:tc>
          <w:tcPr>
            <w:tcW w:w="1244" w:type="dxa"/>
            <w:tcBorders>
              <w:top w:val="nil"/>
              <w:left w:val="nil"/>
              <w:bottom w:val="nil"/>
              <w:right w:val="nil"/>
            </w:tcBorders>
            <w:vAlign w:val="center"/>
          </w:tcPr>
          <w:p w14:paraId="74C81073">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Negative</w:t>
            </w:r>
          </w:p>
        </w:tc>
        <w:tc>
          <w:tcPr>
            <w:tcW w:w="1246" w:type="dxa"/>
            <w:tcBorders>
              <w:top w:val="nil"/>
              <w:left w:val="nil"/>
              <w:bottom w:val="nil"/>
              <w:right w:val="nil"/>
            </w:tcBorders>
            <w:vAlign w:val="center"/>
          </w:tcPr>
          <w:p w14:paraId="3A2C11E6">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w:t>
            </w:r>
          </w:p>
        </w:tc>
        <w:tc>
          <w:tcPr>
            <w:tcW w:w="1146" w:type="dxa"/>
            <w:tcBorders>
              <w:top w:val="nil"/>
              <w:left w:val="nil"/>
              <w:bottom w:val="nil"/>
              <w:right w:val="nil"/>
            </w:tcBorders>
            <w:vAlign w:val="center"/>
          </w:tcPr>
          <w:p w14:paraId="47B783CA">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w:t>
            </w:r>
          </w:p>
        </w:tc>
        <w:tc>
          <w:tcPr>
            <w:tcW w:w="1162" w:type="dxa"/>
            <w:tcBorders>
              <w:top w:val="nil"/>
              <w:left w:val="nil"/>
              <w:bottom w:val="nil"/>
              <w:right w:val="nil"/>
            </w:tcBorders>
            <w:vAlign w:val="center"/>
          </w:tcPr>
          <w:p w14:paraId="6647B10D">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69.93</w:t>
            </w:r>
          </w:p>
        </w:tc>
        <w:tc>
          <w:tcPr>
            <w:tcW w:w="1315" w:type="dxa"/>
            <w:tcBorders>
              <w:top w:val="nil"/>
              <w:left w:val="nil"/>
              <w:bottom w:val="nil"/>
              <w:right w:val="nil"/>
            </w:tcBorders>
            <w:vAlign w:val="center"/>
          </w:tcPr>
          <w:p w14:paraId="6760234D">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w:t>
            </w:r>
          </w:p>
        </w:tc>
        <w:tc>
          <w:tcPr>
            <w:tcW w:w="1315" w:type="dxa"/>
            <w:vMerge w:val="continue"/>
            <w:tcBorders>
              <w:left w:val="nil"/>
              <w:bottom w:val="nil"/>
              <w:right w:val="nil"/>
            </w:tcBorders>
            <w:vAlign w:val="center"/>
          </w:tcPr>
          <w:p w14:paraId="6E372A2B">
            <w:pPr>
              <w:widowControl/>
              <w:jc w:val="center"/>
              <w:textAlignment w:val="center"/>
              <w:rPr>
                <w:rFonts w:ascii="Times New Roman" w:hAnsi="Times New Roman" w:eastAsia="宋体" w:cs="Times New Roman"/>
                <w:color w:val="000000"/>
                <w:kern w:val="0"/>
                <w:sz w:val="16"/>
                <w:szCs w:val="16"/>
                <w:highlight w:val="none"/>
                <w:lang w:bidi="ar"/>
              </w:rPr>
            </w:pPr>
          </w:p>
        </w:tc>
      </w:tr>
      <w:tr w14:paraId="022E7BF3">
        <w:tblPrEx>
          <w:tblCellMar>
            <w:top w:w="0" w:type="dxa"/>
            <w:left w:w="108" w:type="dxa"/>
            <w:bottom w:w="0" w:type="dxa"/>
            <w:right w:w="108" w:type="dxa"/>
          </w:tblCellMar>
        </w:tblPrEx>
        <w:trPr>
          <w:trHeight w:val="280" w:hRule="atLeast"/>
        </w:trPr>
        <w:tc>
          <w:tcPr>
            <w:tcW w:w="746" w:type="dxa"/>
            <w:tcBorders>
              <w:top w:val="nil"/>
              <w:left w:val="nil"/>
              <w:bottom w:val="nil"/>
              <w:right w:val="nil"/>
            </w:tcBorders>
            <w:vAlign w:val="center"/>
          </w:tcPr>
          <w:p w14:paraId="6D76F5D8">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18</w:t>
            </w:r>
          </w:p>
        </w:tc>
        <w:tc>
          <w:tcPr>
            <w:tcW w:w="2378" w:type="dxa"/>
            <w:tcBorders>
              <w:top w:val="nil"/>
              <w:left w:val="nil"/>
              <w:bottom w:val="nil"/>
              <w:right w:val="nil"/>
            </w:tcBorders>
            <w:vAlign w:val="center"/>
          </w:tcPr>
          <w:p w14:paraId="07C25B1B">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p.V415del/p.I845S</w:t>
            </w:r>
          </w:p>
        </w:tc>
        <w:tc>
          <w:tcPr>
            <w:tcW w:w="791" w:type="dxa"/>
            <w:tcBorders>
              <w:top w:val="nil"/>
              <w:left w:val="nil"/>
              <w:bottom w:val="nil"/>
              <w:right w:val="nil"/>
            </w:tcBorders>
            <w:vAlign w:val="center"/>
          </w:tcPr>
          <w:p w14:paraId="462DC332">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5.7</w:t>
            </w:r>
          </w:p>
        </w:tc>
        <w:tc>
          <w:tcPr>
            <w:tcW w:w="746" w:type="dxa"/>
            <w:tcBorders>
              <w:top w:val="nil"/>
              <w:left w:val="nil"/>
              <w:bottom w:val="nil"/>
              <w:right w:val="nil"/>
            </w:tcBorders>
            <w:vAlign w:val="center"/>
          </w:tcPr>
          <w:p w14:paraId="64A62B54">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M</w:t>
            </w:r>
          </w:p>
        </w:tc>
        <w:tc>
          <w:tcPr>
            <w:tcW w:w="885" w:type="dxa"/>
            <w:tcBorders>
              <w:top w:val="nil"/>
              <w:left w:val="nil"/>
              <w:bottom w:val="nil"/>
              <w:right w:val="nil"/>
            </w:tcBorders>
            <w:vAlign w:val="center"/>
          </w:tcPr>
          <w:p w14:paraId="55D9315F">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17.8</w:t>
            </w:r>
          </w:p>
        </w:tc>
        <w:tc>
          <w:tcPr>
            <w:tcW w:w="1361" w:type="dxa"/>
            <w:tcBorders>
              <w:top w:val="nil"/>
              <w:left w:val="nil"/>
              <w:bottom w:val="nil"/>
              <w:right w:val="nil"/>
            </w:tcBorders>
            <w:vAlign w:val="center"/>
          </w:tcPr>
          <w:p w14:paraId="0847ED05">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6.3</w:t>
            </w:r>
          </w:p>
        </w:tc>
        <w:tc>
          <w:tcPr>
            <w:tcW w:w="1244" w:type="dxa"/>
            <w:tcBorders>
              <w:top w:val="nil"/>
              <w:left w:val="nil"/>
              <w:bottom w:val="nil"/>
              <w:right w:val="nil"/>
            </w:tcBorders>
            <w:vAlign w:val="center"/>
          </w:tcPr>
          <w:p w14:paraId="4A5C94AF">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Negative</w:t>
            </w:r>
          </w:p>
        </w:tc>
        <w:tc>
          <w:tcPr>
            <w:tcW w:w="1246" w:type="dxa"/>
            <w:tcBorders>
              <w:top w:val="nil"/>
              <w:left w:val="nil"/>
              <w:bottom w:val="nil"/>
              <w:right w:val="nil"/>
            </w:tcBorders>
            <w:vAlign w:val="center"/>
          </w:tcPr>
          <w:p w14:paraId="5CC0DC6F">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 xml:space="preserve">6.7 </w:t>
            </w:r>
          </w:p>
        </w:tc>
        <w:tc>
          <w:tcPr>
            <w:tcW w:w="1146" w:type="dxa"/>
            <w:tcBorders>
              <w:top w:val="nil"/>
              <w:left w:val="nil"/>
              <w:bottom w:val="nil"/>
              <w:right w:val="nil"/>
            </w:tcBorders>
            <w:vAlign w:val="center"/>
          </w:tcPr>
          <w:p w14:paraId="6DD56683">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42.36</w:t>
            </w:r>
          </w:p>
        </w:tc>
        <w:tc>
          <w:tcPr>
            <w:tcW w:w="1162" w:type="dxa"/>
            <w:tcBorders>
              <w:top w:val="nil"/>
              <w:left w:val="nil"/>
              <w:bottom w:val="nil"/>
              <w:right w:val="nil"/>
            </w:tcBorders>
            <w:vAlign w:val="center"/>
          </w:tcPr>
          <w:p w14:paraId="2ECAA7C7">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sz w:val="16"/>
                <w:szCs w:val="16"/>
                <w:highlight w:val="none"/>
              </w:rPr>
              <w:t>757</w:t>
            </w:r>
          </w:p>
        </w:tc>
        <w:tc>
          <w:tcPr>
            <w:tcW w:w="1315" w:type="dxa"/>
            <w:tcBorders>
              <w:top w:val="nil"/>
              <w:left w:val="nil"/>
              <w:bottom w:val="nil"/>
              <w:right w:val="nil"/>
            </w:tcBorders>
            <w:vAlign w:val="center"/>
          </w:tcPr>
          <w:p w14:paraId="2F933E42">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No</w:t>
            </w:r>
          </w:p>
        </w:tc>
        <w:tc>
          <w:tcPr>
            <w:tcW w:w="1315" w:type="dxa"/>
            <w:vMerge w:val="restart"/>
            <w:tcBorders>
              <w:top w:val="nil"/>
              <w:left w:val="nil"/>
              <w:right w:val="nil"/>
            </w:tcBorders>
            <w:vAlign w:val="center"/>
          </w:tcPr>
          <w:p w14:paraId="3EC82FF6">
            <w:pPr>
              <w:widowControl/>
              <w:jc w:val="center"/>
              <w:textAlignment w:val="center"/>
              <w:rPr>
                <w:rFonts w:ascii="Times New Roman" w:hAnsi="Times New Roman" w:eastAsia="宋体" w:cs="Times New Roman"/>
                <w:color w:val="000000"/>
                <w:kern w:val="0"/>
                <w:sz w:val="16"/>
                <w:szCs w:val="16"/>
                <w:highlight w:val="none"/>
                <w:lang w:bidi="ar"/>
              </w:rPr>
            </w:pPr>
            <w:r>
              <w:rPr>
                <w:rFonts w:ascii="Times New Roman" w:hAnsi="Times New Roman" w:eastAsia="宋体" w:cs="Times New Roman"/>
                <w:color w:val="000000"/>
                <w:sz w:val="16"/>
                <w:szCs w:val="16"/>
                <w:highlight w:val="none"/>
              </w:rPr>
              <w:fldChar w:fldCharType="begin" w:fldLock="1"/>
            </w:r>
            <w:r>
              <w:rPr>
                <w:rFonts w:ascii="Times New Roman" w:hAnsi="Times New Roman" w:eastAsia="宋体" w:cs="Times New Roman"/>
                <w:color w:val="000000"/>
                <w:sz w:val="16"/>
                <w:szCs w:val="16"/>
                <w:highlight w:val="none"/>
              </w:rPr>
              <w:instrText xml:space="preserve">ADDIN CSL_CITATION {"citationItems":[{"id":"ITEM-1","itemData":{"DOI":"10.1530/EJE-21-0097","ISSN":"1479683X","PMID":"34792487","abstract":"Objective: Recessive WFS1 mutations are known to cause Wolfram syndrome, a very rare systemic disorder. However, they were also found in non-syndromic diabetes in Han Chinese misdiagnosed with type 1 diabetes (T1D), a molecular cause that appears to be considerably more common than the fully expressed syndrome. We aimed to better define the incidence and clinical features of non-syndromic diabetes due to recessive WFS1 mutation. Design: We analyzed the genotype and phenotype of 320 consecutive incident Chinese pediatric diabetic patients diagnosed from 2016 to 2019 to search for non-syndromic diabetic cases due to recessive WFS1 mutation. Methods: A cohort of 105 pancreatic autoantibody-negative patients were recruited for exome sequencing. All patients tested positive for pathogenic diallelic WFS1 mutations were examined for phenotypic features (fundoscopy, audiogram, and urine density). Results: We found three cases of non-syndromic diabetes due to recessive WFS1 mutations (incidence = 0.94% (95% CI: 0.25-2.7%)). All three cases only had mild diabetes when diagnosed. All patients had well-conserved fasting C-peptide when diagnosed but one of them progressed to T1D-like insulin deficiency. In addition, we found a fourth case with previously undetected features of Wolfram syndrome. Conclusions: Non-syndromic diabetes due to WFS1 mutation may be common among Chinese pediatric patients with diabetes. It is important to differentiate it from other maturity-onset diabetes in the young subtypes with similar phenotype by molecular diagnosis because of different prognosis and, potentially, therapy.","author":[{"dropping-particle":"","family":"Zhu","given":"Mingqiang","non-dropping-particle":"","parse-names":false,"suffix":""},{"dropping-particle":"","family":"Li","given":"Yangxi","non-dropping-particle":"","parse-names":false,"suffix":""},{"dropping-particle":"","family":"Dong","given":"Guanping","non-dropping-particle":"","parse-names":false,"suffix":""},{"dropping-particle":"","family":"Chen","given":"Xuefeng","non-dropping-particle":"","parse-names":false,"suffix":""},{"dropping-particle":"","family":"Huang","given":"Ke","non-dropping-particle":"","parse-names":false,"suffix":""},{"dropping-particle":"","family":"Wu","given":"Wei","non-dropping-particle":"","parse-names":false,"suffix":""},{"dropping-particle":"","family":"Dai","given":"Yangli","non-dropping-particle":"","parse-names":false,"suffix":""},{"dropping-particle":"","family":"Zhang","given":"Li","non-dropping-particle":"","parse-names":false,"suffix":""},{"dropping-particle":"","family":"Lin","given":"Hu","non-dropping-particle":"","parse-names":false,"suffix":""},{"dropping-particle":"","family":"Wang","given":"Sihua","non-dropping-particle":"","parse-names":false,"suffix":""},{"dropping-particle":"","family":"Polychronakos","given":"Constantin","non-dropping-particle":"","parse-names":false,"suffix":""},{"dropping-particle":"","family":"Fu","given":"Junfen","non-dropping-particle":"","parse-names":false,"suffix":""}],"container-title":"European journal of endocrinology","id":"ITEM-1","issue":"2","issued":{"date-parts":[["2021"]]},"page":"163-170","title":"Prevalence and phenotypic features of diabetes due to recessive, non-syndromic WFS1 mutations","type":"article-journal","volume":"186"},"uris":["http://www.mendeley.com/documents/?uuid=533b6d84-f777-41eb-bae5-9a0efd9e3787","http://www.mendeley.com/documents/?uuid=e56cc921-df38-43e2-8604-90f8e03ded59"]}],"mendeley":{"formattedCitation":"(5)","plainTextFormattedCitation":"(5)","previouslyFormattedCitation":"(18)"},"properties":{"noteIndex":0},"schema":"https://github.com/citation-style-language/schema/raw/master/csl-citation.json"}</w:instrText>
            </w:r>
            <w:r>
              <w:rPr>
                <w:rFonts w:ascii="Times New Roman" w:hAnsi="Times New Roman" w:eastAsia="宋体" w:cs="Times New Roman"/>
                <w:color w:val="000000"/>
                <w:sz w:val="16"/>
                <w:szCs w:val="16"/>
                <w:highlight w:val="none"/>
              </w:rPr>
              <w:fldChar w:fldCharType="separate"/>
            </w:r>
            <w:r>
              <w:rPr>
                <w:rFonts w:ascii="Times New Roman" w:hAnsi="Times New Roman" w:eastAsia="宋体" w:cs="Times New Roman"/>
                <w:color w:val="000000"/>
                <w:sz w:val="16"/>
                <w:szCs w:val="16"/>
                <w:highlight w:val="none"/>
              </w:rPr>
              <w:t>(5)</w:t>
            </w:r>
            <w:r>
              <w:rPr>
                <w:rFonts w:ascii="Times New Roman" w:hAnsi="Times New Roman" w:eastAsia="宋体" w:cs="Times New Roman"/>
                <w:color w:val="000000"/>
                <w:sz w:val="16"/>
                <w:szCs w:val="16"/>
                <w:highlight w:val="none"/>
              </w:rPr>
              <w:fldChar w:fldCharType="end"/>
            </w:r>
          </w:p>
          <w:p w14:paraId="20E4BCDF">
            <w:pPr>
              <w:widowControl/>
              <w:jc w:val="center"/>
              <w:textAlignment w:val="center"/>
              <w:rPr>
                <w:rFonts w:ascii="Times New Roman" w:hAnsi="Times New Roman" w:eastAsia="宋体" w:cs="Times New Roman"/>
                <w:color w:val="000000"/>
                <w:kern w:val="0"/>
                <w:sz w:val="16"/>
                <w:szCs w:val="16"/>
                <w:highlight w:val="none"/>
                <w:lang w:bidi="ar"/>
              </w:rPr>
            </w:pPr>
          </w:p>
        </w:tc>
      </w:tr>
      <w:tr w14:paraId="490BED31">
        <w:tblPrEx>
          <w:tblCellMar>
            <w:top w:w="0" w:type="dxa"/>
            <w:left w:w="108" w:type="dxa"/>
            <w:bottom w:w="0" w:type="dxa"/>
            <w:right w:w="108" w:type="dxa"/>
          </w:tblCellMar>
        </w:tblPrEx>
        <w:trPr>
          <w:trHeight w:val="280" w:hRule="atLeast"/>
        </w:trPr>
        <w:tc>
          <w:tcPr>
            <w:tcW w:w="746" w:type="dxa"/>
            <w:tcBorders>
              <w:top w:val="nil"/>
              <w:left w:val="nil"/>
              <w:bottom w:val="nil"/>
              <w:right w:val="nil"/>
            </w:tcBorders>
            <w:vAlign w:val="center"/>
          </w:tcPr>
          <w:p w14:paraId="4C55D0F3">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19</w:t>
            </w:r>
          </w:p>
        </w:tc>
        <w:tc>
          <w:tcPr>
            <w:tcW w:w="2378" w:type="dxa"/>
            <w:tcBorders>
              <w:top w:val="nil"/>
              <w:left w:val="nil"/>
              <w:bottom w:val="nil"/>
              <w:right w:val="nil"/>
            </w:tcBorders>
            <w:vAlign w:val="center"/>
          </w:tcPr>
          <w:p w14:paraId="133DD28C">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p.Trp666Ter/p.P882Sfs*69</w:t>
            </w:r>
          </w:p>
        </w:tc>
        <w:tc>
          <w:tcPr>
            <w:tcW w:w="791" w:type="dxa"/>
            <w:tcBorders>
              <w:top w:val="nil"/>
              <w:left w:val="nil"/>
              <w:bottom w:val="nil"/>
              <w:right w:val="nil"/>
            </w:tcBorders>
            <w:vAlign w:val="center"/>
          </w:tcPr>
          <w:p w14:paraId="45C30E4A">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3.3</w:t>
            </w:r>
          </w:p>
        </w:tc>
        <w:tc>
          <w:tcPr>
            <w:tcW w:w="746" w:type="dxa"/>
            <w:tcBorders>
              <w:top w:val="nil"/>
              <w:left w:val="nil"/>
              <w:bottom w:val="nil"/>
              <w:right w:val="nil"/>
            </w:tcBorders>
            <w:vAlign w:val="center"/>
          </w:tcPr>
          <w:p w14:paraId="67080705">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M</w:t>
            </w:r>
          </w:p>
        </w:tc>
        <w:tc>
          <w:tcPr>
            <w:tcW w:w="885" w:type="dxa"/>
            <w:tcBorders>
              <w:top w:val="nil"/>
              <w:left w:val="nil"/>
              <w:bottom w:val="nil"/>
              <w:right w:val="nil"/>
            </w:tcBorders>
            <w:vAlign w:val="center"/>
          </w:tcPr>
          <w:p w14:paraId="3A02385D">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16.9</w:t>
            </w:r>
          </w:p>
        </w:tc>
        <w:tc>
          <w:tcPr>
            <w:tcW w:w="1361" w:type="dxa"/>
            <w:tcBorders>
              <w:top w:val="nil"/>
              <w:left w:val="nil"/>
              <w:bottom w:val="nil"/>
              <w:right w:val="nil"/>
            </w:tcBorders>
            <w:vAlign w:val="center"/>
          </w:tcPr>
          <w:p w14:paraId="023910B2">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7.2</w:t>
            </w:r>
          </w:p>
        </w:tc>
        <w:tc>
          <w:tcPr>
            <w:tcW w:w="1244" w:type="dxa"/>
            <w:tcBorders>
              <w:top w:val="nil"/>
              <w:left w:val="nil"/>
              <w:bottom w:val="nil"/>
              <w:right w:val="nil"/>
            </w:tcBorders>
            <w:vAlign w:val="center"/>
          </w:tcPr>
          <w:p w14:paraId="62422606">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Negative</w:t>
            </w:r>
          </w:p>
        </w:tc>
        <w:tc>
          <w:tcPr>
            <w:tcW w:w="1246" w:type="dxa"/>
            <w:tcBorders>
              <w:top w:val="nil"/>
              <w:left w:val="nil"/>
              <w:bottom w:val="nil"/>
              <w:right w:val="nil"/>
            </w:tcBorders>
            <w:vAlign w:val="center"/>
          </w:tcPr>
          <w:p w14:paraId="1EB99837">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 xml:space="preserve">8.2 </w:t>
            </w:r>
          </w:p>
        </w:tc>
        <w:tc>
          <w:tcPr>
            <w:tcW w:w="1146" w:type="dxa"/>
            <w:tcBorders>
              <w:top w:val="nil"/>
              <w:left w:val="nil"/>
              <w:bottom w:val="nil"/>
              <w:right w:val="nil"/>
            </w:tcBorders>
            <w:vAlign w:val="center"/>
          </w:tcPr>
          <w:p w14:paraId="51112CE7">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w:t>
            </w:r>
          </w:p>
        </w:tc>
        <w:tc>
          <w:tcPr>
            <w:tcW w:w="1162" w:type="dxa"/>
            <w:tcBorders>
              <w:top w:val="nil"/>
              <w:left w:val="nil"/>
              <w:bottom w:val="nil"/>
              <w:right w:val="nil"/>
            </w:tcBorders>
            <w:vAlign w:val="center"/>
          </w:tcPr>
          <w:p w14:paraId="1AF4793B">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827</w:t>
            </w:r>
          </w:p>
        </w:tc>
        <w:tc>
          <w:tcPr>
            <w:tcW w:w="1315" w:type="dxa"/>
            <w:tcBorders>
              <w:top w:val="nil"/>
              <w:left w:val="nil"/>
              <w:bottom w:val="nil"/>
              <w:right w:val="nil"/>
            </w:tcBorders>
            <w:vAlign w:val="center"/>
          </w:tcPr>
          <w:p w14:paraId="2FDB81B5">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w:t>
            </w:r>
          </w:p>
        </w:tc>
        <w:tc>
          <w:tcPr>
            <w:tcW w:w="1315" w:type="dxa"/>
            <w:vMerge w:val="continue"/>
            <w:tcBorders>
              <w:left w:val="nil"/>
              <w:right w:val="nil"/>
            </w:tcBorders>
            <w:vAlign w:val="center"/>
          </w:tcPr>
          <w:p w14:paraId="130BDC37">
            <w:pPr>
              <w:jc w:val="center"/>
              <w:textAlignment w:val="center"/>
              <w:rPr>
                <w:rFonts w:ascii="Times New Roman" w:hAnsi="Times New Roman" w:eastAsia="宋体" w:cs="Times New Roman"/>
                <w:color w:val="000000"/>
                <w:kern w:val="0"/>
                <w:sz w:val="16"/>
                <w:szCs w:val="16"/>
                <w:highlight w:val="none"/>
                <w:lang w:bidi="ar"/>
              </w:rPr>
            </w:pPr>
          </w:p>
        </w:tc>
      </w:tr>
      <w:tr w14:paraId="1A63A0F1">
        <w:tblPrEx>
          <w:tblCellMar>
            <w:top w:w="0" w:type="dxa"/>
            <w:left w:w="108" w:type="dxa"/>
            <w:bottom w:w="0" w:type="dxa"/>
            <w:right w:w="108" w:type="dxa"/>
          </w:tblCellMar>
        </w:tblPrEx>
        <w:trPr>
          <w:trHeight w:val="280" w:hRule="atLeast"/>
        </w:trPr>
        <w:tc>
          <w:tcPr>
            <w:tcW w:w="746" w:type="dxa"/>
            <w:tcBorders>
              <w:top w:val="nil"/>
              <w:left w:val="nil"/>
              <w:bottom w:val="nil"/>
              <w:right w:val="nil"/>
            </w:tcBorders>
            <w:vAlign w:val="center"/>
          </w:tcPr>
          <w:p w14:paraId="69974804">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20</w:t>
            </w:r>
          </w:p>
        </w:tc>
        <w:tc>
          <w:tcPr>
            <w:tcW w:w="2378" w:type="dxa"/>
            <w:tcBorders>
              <w:top w:val="nil"/>
              <w:left w:val="nil"/>
              <w:bottom w:val="nil"/>
              <w:right w:val="nil"/>
            </w:tcBorders>
            <w:vAlign w:val="center"/>
          </w:tcPr>
          <w:p w14:paraId="6BB2ABC6">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p.Trp666Ter/p.P882Sfs*69</w:t>
            </w:r>
          </w:p>
        </w:tc>
        <w:tc>
          <w:tcPr>
            <w:tcW w:w="791" w:type="dxa"/>
            <w:tcBorders>
              <w:top w:val="nil"/>
              <w:left w:val="nil"/>
              <w:bottom w:val="nil"/>
              <w:right w:val="nil"/>
            </w:tcBorders>
            <w:vAlign w:val="center"/>
          </w:tcPr>
          <w:p w14:paraId="4074C177">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7</w:t>
            </w:r>
          </w:p>
        </w:tc>
        <w:tc>
          <w:tcPr>
            <w:tcW w:w="746" w:type="dxa"/>
            <w:tcBorders>
              <w:top w:val="nil"/>
              <w:left w:val="nil"/>
              <w:bottom w:val="nil"/>
              <w:right w:val="nil"/>
            </w:tcBorders>
            <w:vAlign w:val="center"/>
          </w:tcPr>
          <w:p w14:paraId="5A2ED9DB">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F</w:t>
            </w:r>
          </w:p>
        </w:tc>
        <w:tc>
          <w:tcPr>
            <w:tcW w:w="885" w:type="dxa"/>
            <w:tcBorders>
              <w:top w:val="nil"/>
              <w:left w:val="nil"/>
              <w:bottom w:val="nil"/>
              <w:right w:val="nil"/>
            </w:tcBorders>
            <w:vAlign w:val="center"/>
          </w:tcPr>
          <w:p w14:paraId="5268886A">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17.2</w:t>
            </w:r>
          </w:p>
        </w:tc>
        <w:tc>
          <w:tcPr>
            <w:tcW w:w="1361" w:type="dxa"/>
            <w:tcBorders>
              <w:top w:val="nil"/>
              <w:left w:val="nil"/>
              <w:bottom w:val="nil"/>
              <w:right w:val="nil"/>
            </w:tcBorders>
            <w:vAlign w:val="center"/>
          </w:tcPr>
          <w:p w14:paraId="0F462CE4">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10.9</w:t>
            </w:r>
          </w:p>
        </w:tc>
        <w:tc>
          <w:tcPr>
            <w:tcW w:w="1244" w:type="dxa"/>
            <w:tcBorders>
              <w:top w:val="nil"/>
              <w:left w:val="nil"/>
              <w:bottom w:val="nil"/>
              <w:right w:val="nil"/>
            </w:tcBorders>
            <w:vAlign w:val="center"/>
          </w:tcPr>
          <w:p w14:paraId="1234ED44">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Negative</w:t>
            </w:r>
          </w:p>
        </w:tc>
        <w:tc>
          <w:tcPr>
            <w:tcW w:w="1246" w:type="dxa"/>
            <w:tcBorders>
              <w:top w:val="nil"/>
              <w:left w:val="nil"/>
              <w:bottom w:val="nil"/>
              <w:right w:val="nil"/>
            </w:tcBorders>
            <w:vAlign w:val="center"/>
          </w:tcPr>
          <w:p w14:paraId="137EF34B">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 xml:space="preserve">7.9 </w:t>
            </w:r>
          </w:p>
        </w:tc>
        <w:tc>
          <w:tcPr>
            <w:tcW w:w="1146" w:type="dxa"/>
            <w:tcBorders>
              <w:top w:val="nil"/>
              <w:left w:val="nil"/>
              <w:bottom w:val="nil"/>
              <w:right w:val="nil"/>
            </w:tcBorders>
            <w:vAlign w:val="center"/>
          </w:tcPr>
          <w:p w14:paraId="08483075">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w:t>
            </w:r>
          </w:p>
        </w:tc>
        <w:tc>
          <w:tcPr>
            <w:tcW w:w="1162" w:type="dxa"/>
            <w:tcBorders>
              <w:top w:val="nil"/>
              <w:left w:val="nil"/>
              <w:bottom w:val="nil"/>
              <w:right w:val="nil"/>
            </w:tcBorders>
            <w:vAlign w:val="center"/>
          </w:tcPr>
          <w:p w14:paraId="5477B26C">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970</w:t>
            </w:r>
          </w:p>
        </w:tc>
        <w:tc>
          <w:tcPr>
            <w:tcW w:w="1315" w:type="dxa"/>
            <w:tcBorders>
              <w:top w:val="nil"/>
              <w:left w:val="nil"/>
              <w:bottom w:val="nil"/>
              <w:right w:val="nil"/>
            </w:tcBorders>
            <w:vAlign w:val="center"/>
          </w:tcPr>
          <w:p w14:paraId="0F04C2BD">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w:t>
            </w:r>
          </w:p>
        </w:tc>
        <w:tc>
          <w:tcPr>
            <w:tcW w:w="1315" w:type="dxa"/>
            <w:vMerge w:val="continue"/>
            <w:tcBorders>
              <w:left w:val="nil"/>
              <w:bottom w:val="nil"/>
              <w:right w:val="nil"/>
            </w:tcBorders>
            <w:vAlign w:val="center"/>
          </w:tcPr>
          <w:p w14:paraId="44AF768C">
            <w:pPr>
              <w:widowControl/>
              <w:jc w:val="center"/>
              <w:textAlignment w:val="center"/>
              <w:rPr>
                <w:rFonts w:ascii="Times New Roman" w:hAnsi="Times New Roman" w:eastAsia="宋体" w:cs="Times New Roman"/>
                <w:color w:val="000000"/>
                <w:kern w:val="0"/>
                <w:sz w:val="16"/>
                <w:szCs w:val="16"/>
                <w:highlight w:val="none"/>
                <w:lang w:bidi="ar"/>
              </w:rPr>
            </w:pPr>
          </w:p>
        </w:tc>
      </w:tr>
      <w:tr w14:paraId="71E1085D">
        <w:tblPrEx>
          <w:tblCellMar>
            <w:top w:w="0" w:type="dxa"/>
            <w:left w:w="108" w:type="dxa"/>
            <w:bottom w:w="0" w:type="dxa"/>
            <w:right w:w="108" w:type="dxa"/>
          </w:tblCellMar>
        </w:tblPrEx>
        <w:trPr>
          <w:trHeight w:val="280" w:hRule="atLeast"/>
        </w:trPr>
        <w:tc>
          <w:tcPr>
            <w:tcW w:w="746" w:type="dxa"/>
            <w:tcBorders>
              <w:top w:val="nil"/>
              <w:left w:val="nil"/>
              <w:bottom w:val="nil"/>
              <w:right w:val="nil"/>
            </w:tcBorders>
            <w:vAlign w:val="center"/>
          </w:tcPr>
          <w:p w14:paraId="7B220D59">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21</w:t>
            </w:r>
          </w:p>
        </w:tc>
        <w:tc>
          <w:tcPr>
            <w:tcW w:w="2378" w:type="dxa"/>
            <w:tcBorders>
              <w:top w:val="nil"/>
              <w:left w:val="nil"/>
              <w:bottom w:val="nil"/>
              <w:right w:val="nil"/>
            </w:tcBorders>
            <w:vAlign w:val="center"/>
          </w:tcPr>
          <w:p w14:paraId="6466FA54">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p.H450Pfs*93</w:t>
            </w:r>
          </w:p>
        </w:tc>
        <w:tc>
          <w:tcPr>
            <w:tcW w:w="791" w:type="dxa"/>
            <w:tcBorders>
              <w:top w:val="nil"/>
              <w:left w:val="nil"/>
              <w:bottom w:val="nil"/>
              <w:right w:val="nil"/>
            </w:tcBorders>
            <w:vAlign w:val="center"/>
          </w:tcPr>
          <w:p w14:paraId="5D9E510A">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68</w:t>
            </w:r>
          </w:p>
        </w:tc>
        <w:tc>
          <w:tcPr>
            <w:tcW w:w="746" w:type="dxa"/>
            <w:tcBorders>
              <w:top w:val="nil"/>
              <w:left w:val="nil"/>
              <w:bottom w:val="nil"/>
              <w:right w:val="nil"/>
            </w:tcBorders>
            <w:vAlign w:val="center"/>
          </w:tcPr>
          <w:p w14:paraId="1D97D563">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F</w:t>
            </w:r>
          </w:p>
        </w:tc>
        <w:tc>
          <w:tcPr>
            <w:tcW w:w="885" w:type="dxa"/>
            <w:tcBorders>
              <w:top w:val="nil"/>
              <w:left w:val="nil"/>
              <w:bottom w:val="nil"/>
              <w:right w:val="nil"/>
            </w:tcBorders>
            <w:vAlign w:val="center"/>
          </w:tcPr>
          <w:p w14:paraId="64E1E7E4">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27.34</w:t>
            </w:r>
          </w:p>
        </w:tc>
        <w:tc>
          <w:tcPr>
            <w:tcW w:w="1361" w:type="dxa"/>
            <w:tcBorders>
              <w:top w:val="nil"/>
              <w:left w:val="nil"/>
              <w:bottom w:val="nil"/>
              <w:right w:val="nil"/>
            </w:tcBorders>
            <w:vAlign w:val="center"/>
          </w:tcPr>
          <w:p w14:paraId="498A071F">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w:t>
            </w:r>
          </w:p>
        </w:tc>
        <w:tc>
          <w:tcPr>
            <w:tcW w:w="1244" w:type="dxa"/>
            <w:tcBorders>
              <w:top w:val="nil"/>
              <w:left w:val="nil"/>
              <w:bottom w:val="nil"/>
              <w:right w:val="nil"/>
            </w:tcBorders>
            <w:vAlign w:val="center"/>
          </w:tcPr>
          <w:p w14:paraId="4F3FFC50">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w:t>
            </w:r>
          </w:p>
        </w:tc>
        <w:tc>
          <w:tcPr>
            <w:tcW w:w="1246" w:type="dxa"/>
            <w:tcBorders>
              <w:top w:val="nil"/>
              <w:left w:val="nil"/>
              <w:bottom w:val="nil"/>
              <w:right w:val="nil"/>
            </w:tcBorders>
            <w:vAlign w:val="center"/>
          </w:tcPr>
          <w:p w14:paraId="64BF70E9">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w:t>
            </w:r>
          </w:p>
        </w:tc>
        <w:tc>
          <w:tcPr>
            <w:tcW w:w="1146" w:type="dxa"/>
            <w:tcBorders>
              <w:top w:val="nil"/>
              <w:left w:val="nil"/>
              <w:bottom w:val="nil"/>
              <w:right w:val="nil"/>
            </w:tcBorders>
            <w:vAlign w:val="center"/>
          </w:tcPr>
          <w:p w14:paraId="1F5B9168">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w:t>
            </w:r>
          </w:p>
        </w:tc>
        <w:tc>
          <w:tcPr>
            <w:tcW w:w="1162" w:type="dxa"/>
            <w:tcBorders>
              <w:top w:val="nil"/>
              <w:left w:val="nil"/>
              <w:bottom w:val="nil"/>
              <w:right w:val="nil"/>
            </w:tcBorders>
            <w:vAlign w:val="center"/>
          </w:tcPr>
          <w:p w14:paraId="16E618CD">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w:t>
            </w:r>
          </w:p>
        </w:tc>
        <w:tc>
          <w:tcPr>
            <w:tcW w:w="1315" w:type="dxa"/>
            <w:tcBorders>
              <w:top w:val="nil"/>
              <w:left w:val="nil"/>
              <w:bottom w:val="nil"/>
              <w:right w:val="nil"/>
            </w:tcBorders>
            <w:vAlign w:val="center"/>
          </w:tcPr>
          <w:p w14:paraId="14523808">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w:t>
            </w:r>
          </w:p>
        </w:tc>
        <w:tc>
          <w:tcPr>
            <w:tcW w:w="1315" w:type="dxa"/>
            <w:tcBorders>
              <w:top w:val="nil"/>
              <w:left w:val="nil"/>
              <w:bottom w:val="nil"/>
              <w:right w:val="nil"/>
            </w:tcBorders>
            <w:vAlign w:val="center"/>
          </w:tcPr>
          <w:p w14:paraId="313C504B">
            <w:pPr>
              <w:widowControl/>
              <w:jc w:val="center"/>
              <w:textAlignment w:val="center"/>
              <w:rPr>
                <w:rFonts w:ascii="Times New Roman" w:hAnsi="Times New Roman" w:eastAsia="宋体" w:cs="Times New Roman"/>
                <w:color w:val="000000"/>
                <w:kern w:val="0"/>
                <w:sz w:val="16"/>
                <w:szCs w:val="16"/>
                <w:highlight w:val="none"/>
                <w:lang w:bidi="ar"/>
              </w:rPr>
            </w:pPr>
            <w:r>
              <w:rPr>
                <w:rFonts w:ascii="Times New Roman" w:hAnsi="Times New Roman" w:eastAsia="宋体" w:cs="Times New Roman"/>
                <w:color w:val="000000"/>
                <w:sz w:val="16"/>
                <w:szCs w:val="16"/>
                <w:highlight w:val="none"/>
              </w:rPr>
              <w:fldChar w:fldCharType="begin" w:fldLock="1"/>
            </w:r>
            <w:r>
              <w:rPr>
                <w:rFonts w:ascii="Times New Roman" w:hAnsi="Times New Roman" w:eastAsia="宋体" w:cs="Times New Roman"/>
                <w:color w:val="000000"/>
                <w:sz w:val="16"/>
                <w:szCs w:val="16"/>
                <w:highlight w:val="none"/>
              </w:rPr>
              <w:instrText xml:space="preserve">ADDIN CSL_CITATION {"citationItems":[{"id":"ITEM-1","itemData":{"DOI":"10.3389/fendo.2023.1066320","ISBN":"1664-2392","abstract":"BACKGROUND: WFS1-related disorders involve a wide range of clinical phenotypes, including diabetes mellitus and neurodegeneration. Inheritance patterns of pathogenic variants of this gene can be autosomal recessive or dominant, and differences in penetrance present challenges for accurate diagnosis and genetic counselling. METHODS: Three probands and one elder brother from three families were systematically evaluated and the clinical data of other family members were collected from the medical history. Whole-exome sequencing was performed on the probands, and RNA sequencing was performed on four patients, their parents with WFS1 variants, and four gender- and age-matched children with type 1 diabetes mellitus. RESULTS: There were six patients with diabetes. Dilated cardiomyopathy, a rare manifestation of WFS1-related disease, was identified in one patient, along with MRI findings of brain atrophy at age 7 years and 3 months, the earliest age of discovery we know of. Whole-exome sequencing revealed five pathogenic or likely pathogenic variants in the WFS1 gene, including c.1348dupC (p.His450Profs*93), c.1381A&gt;C (p.Thr461pro), c.1329C&gt;G (p.Ser443Arg), c.2081delA (p.Glu694Glyfs*16), c.1350-1356delinsGCA (p.His450Glnfs*26), of which 3 variants (c.1348dupC, c.2081delA, c.1350-1356delinsGCA) were novel that have not been previously reported. The differentially expressed genes were mainly associated with immune-related pathways according to the Gene Ontology enrichment analysis of the RNA sequencing data. The exon 1 region of HLA-DRB1 in two patients was not transcribed, while the transcription of the region in their parents was normal. CONCLUSION: This study emphasizes the clinical and genetic heterogeneity in patients, even in the same family with WFS1 variants. MRI evaluation of the brain should be considered when WFS1-related disorder is first diagnosed. CI  - Copyright © 2023 Ding, Li, Zhang, Li, Chang, Wang, Li, Li, Li, Yao, Li and Wang.","author":[{"dropping-particle":"","family":"Ding","given":"Yu","non-dropping-particle":"","parse-names":false,"suffix":""},{"dropping-particle":"","family":"Li","given":"Zhe","non-dropping-particle":"","parse-names":false,"suffix":""},{"dropping-particle":"","family":"Zhang","given":"Qianwen","non-dropping-particle":"","parse-names":false,"suffix":""},{"dropping-particle":"","family":"Li","given":"Niu","non-dropping-particle":"","parse-names":false,"suffix":""},{"dropping-particle":"","family":"Chang","given":"Guoying","non-dropping-particle":"","parse-names":false,"suffix":""},{"dropping-particle":"","family":"Wang","given":"Yirou","non-dropping-particle":"","parse-names":false,"suffix":""},{"dropping-particle":"","family":"Li","given":"Xin","non-dropping-particle":"","parse-names":false,"suffix":""},{"dropping-particle":"","family":"Li","given":"Juan","non-dropping-particle":"","parse-names":false,"suffix":""},{"dropping-particle":"","family":"Li","given":"Qun","non-dropping-particle":"","parse-names":false,"suffix":""},{"dropping-particle":"","family":"Yao","given":"Ru-En","non-dropping-particle":"","parse-names":false,"suffix":""},{"dropping-particle":"","family":"Li","given":"Xin","non-dropping-particle":"","parse-names":false,"suffix":""},{"dropping-particle":"","family":"Wang","given":"Xiumin","non-dropping-particle":"","parse-names":false,"suffix":""}],"container-title":"Frontiers In Endocrinology","id":"ITEM-1","issued":{"date-parts":[["2023"]]},"language":"eng","page":"1066320","publisher-place":"Department of Endocrinology and Metabolism, Shanghai Children's Medical Center, Shanghai Jiao Tong University School of Medicine, Shanghai, China.","title":"Complex clinical manifestations and new insights in RNA sequencing of children with diabetes and WFS1 variants.","type":"article","volume":"14"},"uris":["http://www.mendeley.com/documents/?uuid=fb78dc4d-968a-4558-a1d6-d075b407397e","http://www.mendeley.com/documents/?uuid=ceddc818-4c51-4779-a0a9-74335e49ffed"]}],"mendeley":{"formattedCitation":"(6)","plainTextFormattedCitation":"(6)","previouslyFormattedCitation":"(26)"},"properties":{"noteIndex":0},"schema":"https://github.com/citation-style-language/schema/raw/master/csl-citation.json"}</w:instrText>
            </w:r>
            <w:r>
              <w:rPr>
                <w:rFonts w:ascii="Times New Roman" w:hAnsi="Times New Roman" w:eastAsia="宋体" w:cs="Times New Roman"/>
                <w:color w:val="000000"/>
                <w:sz w:val="16"/>
                <w:szCs w:val="16"/>
                <w:highlight w:val="none"/>
              </w:rPr>
              <w:fldChar w:fldCharType="separate"/>
            </w:r>
            <w:r>
              <w:rPr>
                <w:rFonts w:ascii="Times New Roman" w:hAnsi="Times New Roman" w:eastAsia="宋体" w:cs="Times New Roman"/>
                <w:color w:val="000000"/>
                <w:sz w:val="16"/>
                <w:szCs w:val="16"/>
                <w:highlight w:val="none"/>
              </w:rPr>
              <w:t>(6)</w:t>
            </w:r>
            <w:r>
              <w:rPr>
                <w:rFonts w:ascii="Times New Roman" w:hAnsi="Times New Roman" w:eastAsia="宋体" w:cs="Times New Roman"/>
                <w:color w:val="000000"/>
                <w:sz w:val="16"/>
                <w:szCs w:val="16"/>
                <w:highlight w:val="none"/>
              </w:rPr>
              <w:fldChar w:fldCharType="end"/>
            </w:r>
          </w:p>
        </w:tc>
      </w:tr>
      <w:tr w14:paraId="7A8A0973">
        <w:tblPrEx>
          <w:tblCellMar>
            <w:top w:w="0" w:type="dxa"/>
            <w:left w:w="108" w:type="dxa"/>
            <w:bottom w:w="0" w:type="dxa"/>
            <w:right w:w="108" w:type="dxa"/>
          </w:tblCellMar>
        </w:tblPrEx>
        <w:trPr>
          <w:trHeight w:val="280" w:hRule="atLeast"/>
        </w:trPr>
        <w:tc>
          <w:tcPr>
            <w:tcW w:w="746" w:type="dxa"/>
            <w:tcBorders>
              <w:top w:val="nil"/>
              <w:left w:val="nil"/>
              <w:bottom w:val="nil"/>
              <w:right w:val="nil"/>
            </w:tcBorders>
            <w:vAlign w:val="center"/>
          </w:tcPr>
          <w:p w14:paraId="610ABDB0">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22</w:t>
            </w:r>
          </w:p>
        </w:tc>
        <w:tc>
          <w:tcPr>
            <w:tcW w:w="2378" w:type="dxa"/>
            <w:tcBorders>
              <w:top w:val="nil"/>
              <w:left w:val="nil"/>
              <w:bottom w:val="nil"/>
              <w:right w:val="nil"/>
            </w:tcBorders>
            <w:vAlign w:val="center"/>
          </w:tcPr>
          <w:p w14:paraId="741BE3F9">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p.A214fs*74/p.F329I</w:t>
            </w:r>
          </w:p>
        </w:tc>
        <w:tc>
          <w:tcPr>
            <w:tcW w:w="791" w:type="dxa"/>
            <w:tcBorders>
              <w:top w:val="nil"/>
              <w:left w:val="nil"/>
              <w:bottom w:val="nil"/>
              <w:right w:val="nil"/>
            </w:tcBorders>
            <w:vAlign w:val="center"/>
          </w:tcPr>
          <w:p w14:paraId="6D05BBE5">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25</w:t>
            </w:r>
          </w:p>
        </w:tc>
        <w:tc>
          <w:tcPr>
            <w:tcW w:w="746" w:type="dxa"/>
            <w:tcBorders>
              <w:top w:val="nil"/>
              <w:left w:val="nil"/>
              <w:bottom w:val="nil"/>
              <w:right w:val="nil"/>
            </w:tcBorders>
            <w:vAlign w:val="center"/>
          </w:tcPr>
          <w:p w14:paraId="10062486">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F</w:t>
            </w:r>
          </w:p>
        </w:tc>
        <w:tc>
          <w:tcPr>
            <w:tcW w:w="885" w:type="dxa"/>
            <w:tcBorders>
              <w:top w:val="nil"/>
              <w:left w:val="nil"/>
              <w:bottom w:val="nil"/>
              <w:right w:val="nil"/>
            </w:tcBorders>
            <w:vAlign w:val="center"/>
          </w:tcPr>
          <w:p w14:paraId="56B3E48C">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18.6</w:t>
            </w:r>
          </w:p>
        </w:tc>
        <w:tc>
          <w:tcPr>
            <w:tcW w:w="1361" w:type="dxa"/>
            <w:tcBorders>
              <w:top w:val="nil"/>
              <w:left w:val="nil"/>
              <w:bottom w:val="nil"/>
              <w:right w:val="nil"/>
            </w:tcBorders>
            <w:vAlign w:val="center"/>
          </w:tcPr>
          <w:p w14:paraId="4E53ADB8">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5.6</w:t>
            </w:r>
          </w:p>
        </w:tc>
        <w:tc>
          <w:tcPr>
            <w:tcW w:w="1244" w:type="dxa"/>
            <w:tcBorders>
              <w:top w:val="nil"/>
              <w:left w:val="nil"/>
              <w:bottom w:val="nil"/>
              <w:right w:val="nil"/>
            </w:tcBorders>
            <w:vAlign w:val="center"/>
          </w:tcPr>
          <w:p w14:paraId="7B3C4408">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Negative</w:t>
            </w:r>
          </w:p>
        </w:tc>
        <w:tc>
          <w:tcPr>
            <w:tcW w:w="1246" w:type="dxa"/>
            <w:tcBorders>
              <w:top w:val="nil"/>
              <w:left w:val="nil"/>
              <w:bottom w:val="nil"/>
              <w:right w:val="nil"/>
            </w:tcBorders>
            <w:vAlign w:val="center"/>
          </w:tcPr>
          <w:p w14:paraId="520ADF17">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 xml:space="preserve">6.94 </w:t>
            </w:r>
          </w:p>
        </w:tc>
        <w:tc>
          <w:tcPr>
            <w:tcW w:w="1146" w:type="dxa"/>
            <w:tcBorders>
              <w:top w:val="nil"/>
              <w:left w:val="nil"/>
              <w:bottom w:val="nil"/>
              <w:right w:val="nil"/>
            </w:tcBorders>
            <w:vAlign w:val="center"/>
          </w:tcPr>
          <w:p w14:paraId="061D5CAF">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w:t>
            </w:r>
          </w:p>
        </w:tc>
        <w:tc>
          <w:tcPr>
            <w:tcW w:w="1162" w:type="dxa"/>
            <w:tcBorders>
              <w:top w:val="nil"/>
              <w:left w:val="nil"/>
              <w:bottom w:val="nil"/>
              <w:right w:val="nil"/>
            </w:tcBorders>
            <w:vAlign w:val="center"/>
          </w:tcPr>
          <w:p w14:paraId="2F796B8F">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445.41</w:t>
            </w:r>
          </w:p>
        </w:tc>
        <w:tc>
          <w:tcPr>
            <w:tcW w:w="1315" w:type="dxa"/>
            <w:tcBorders>
              <w:top w:val="nil"/>
              <w:left w:val="nil"/>
              <w:bottom w:val="nil"/>
              <w:right w:val="nil"/>
            </w:tcBorders>
            <w:vAlign w:val="center"/>
          </w:tcPr>
          <w:p w14:paraId="60201973">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No</w:t>
            </w:r>
          </w:p>
        </w:tc>
        <w:tc>
          <w:tcPr>
            <w:tcW w:w="1315" w:type="dxa"/>
            <w:vMerge w:val="restart"/>
            <w:tcBorders>
              <w:top w:val="nil"/>
              <w:left w:val="nil"/>
              <w:right w:val="nil"/>
            </w:tcBorders>
            <w:vAlign w:val="center"/>
          </w:tcPr>
          <w:p w14:paraId="4A7D3C13">
            <w:pPr>
              <w:widowControl/>
              <w:jc w:val="center"/>
              <w:textAlignment w:val="center"/>
              <w:rPr>
                <w:rFonts w:ascii="Times New Roman" w:hAnsi="Times New Roman" w:eastAsia="宋体" w:cs="Times New Roman"/>
                <w:color w:val="000000"/>
                <w:kern w:val="0"/>
                <w:sz w:val="16"/>
                <w:szCs w:val="16"/>
                <w:highlight w:val="none"/>
                <w:lang w:bidi="ar"/>
              </w:rPr>
            </w:pPr>
            <w:r>
              <w:rPr>
                <w:rFonts w:ascii="Times New Roman" w:hAnsi="Times New Roman" w:eastAsia="宋体" w:cs="Times New Roman"/>
                <w:color w:val="000000"/>
                <w:sz w:val="16"/>
                <w:szCs w:val="16"/>
                <w:highlight w:val="none"/>
              </w:rPr>
              <w:fldChar w:fldCharType="begin" w:fldLock="1"/>
            </w:r>
            <w:r>
              <w:rPr>
                <w:rFonts w:ascii="Times New Roman" w:hAnsi="Times New Roman" w:eastAsia="宋体" w:cs="Times New Roman"/>
                <w:color w:val="000000"/>
                <w:sz w:val="16"/>
                <w:szCs w:val="16"/>
                <w:highlight w:val="none"/>
              </w:rPr>
              <w:instrText xml:space="preserve">ADDIN CSL_CITATION {"citationItems":[{"id":"ITEM-1","itemData":{"DOI":"10.3389/fgene.2024.1433060","ISBN":"1664-8021","abstract":"BACKGROUND: The WFS1 gene encodes the protein wolframin, which is crucial for maintaining endoplasmic reticulum homeostasis. Variants in this gene are predominantly associated with Wolfram syndrome and have been implicated in other disorders such as diabetes mellitus and psychiatric diseases, which increases the rate of clinical misdiagnosis. METHODS: Patients were diagnosed with early-onset unclassified diabetes according to their clinical and laboratory data. We performed whole-exome sequencing (WES) in 165 patients, interpreting variants according to the American College of Medical Genetics/Association for Molecular Pathology (ACMG/AMP) 2015 guidelines. Variant verification was done by Sanger sequencing. In vitro experiments were conducted to evaluate the effects of WFS1 compound heterozygous variants. RESULTS: We identified WFS1 compound heterozygous variants (p.A214fs*74/p.F329I and p.I427S/p.I304T) in two patients with Wolfram Syndrome-Like disorders (WSLD). Both WFS1 compound heterozygous variants were associated with increased ER stress, reduced cell viability, and decreased SERCA2b mRNA levels. Additionally, pathogenic or likely pathogenic WFS1 heterozygous variants were identified in the other three patients. CONCLUSION: Our results underscore the importance of early genetic testing for diagnosing young-onset diabetes and highlight the clinical relevance of WFS1 variants in increasing ER stress and reducing cell viability. Incorporating these genetic insights into clinical practice can reduce misdiagnoses and improve treatment strategies for related disorders. CI  - Copyright © 2024 Wu, Zhang, Li, Zhang, Ni, Han, Ye, Zhang, Hong, Wang, Ning and Gu.","author":[{"dropping-particle":"","family":"Wu","given":"Lei","non-dropping-particle":"","parse-names":false,"suffix":""},{"dropping-particle":"","family":"Zhang","given":"Juan","non-dropping-particle":"","parse-names":false,"suffix":""},{"dropping-particle":"","family":"Li","given":"Danjie","non-dropping-particle":"","parse-names":false,"suffix":""},{"dropping-particle":"","family":"Zhang","given":"Zhongyun","non-dropping-particle":"","parse-names":false,"suffix":""},{"dropping-particle":"","family":"Ni","given":"Qicheng","non-dropping-particle":"","parse-names":false,"suffix":""},{"dropping-particle":"","family":"Han","given":"Rulai","non-dropping-particle":"","parse-names":false,"suffix":""},{"dropping-particle":"","family":"Ye","given":"Lei","non-dropping-particle":"","parse-names":false,"suffix":""},{"dropping-particle":"","family":"Zhang","given":"Yifei","non-dropping-particle":"","parse-names":false,"suffix":""},{"dropping-particle":"","family":"Hong","given":"Jie","non-dropping-particle":"","parse-names":false,"suffix":""},{"dropping-particle":"","family":"Wang","given":"Weiqing","non-dropping-particle":"","parse-names":false,"suffix":""},{"dropping-particle":"","family":"Ning","given":"Guang","non-dropping-particle":"","parse-names":false,"suffix":""},{"dropping-particle":"","family":"Gu","given":"Weiqiong","non-dropping-particle":"","parse-names":false,"suffix":""}],"container-title":"Frontiers In Genetics","id":"ITEM-1","issued":{"date-parts":[["2024"]]},"language":"eng","page":"1433060","publisher-place":"Shanghai National Clinical Research Center for Metabolic Diseases, Key Laboratory for Endocrine and Metabolic Diseases of the National Health Commission of the PR China, Shanghai National Center for Translational Medicine, Shanghai, China.","title":"Novel WFS1 variants are associated with different diabetes phenotypes.","type":"article","volume":"15"},"uris":["http://www.mendeley.com/documents/?uuid=7c1ee5e4-9525-41de-a24c-14ae0611f233","http://www.mendeley.com/documents/?uuid=ab2b399a-617c-4d85-b6dd-61c220ff58d9"]}],"mendeley":{"formattedCitation":"(7)","plainTextFormattedCitation":"(7)","previouslyFormattedCitation":"(27)"},"properties":{"noteIndex":0},"schema":"https://github.com/citation-style-language/schema/raw/master/csl-citation.json"}</w:instrText>
            </w:r>
            <w:r>
              <w:rPr>
                <w:rFonts w:ascii="Times New Roman" w:hAnsi="Times New Roman" w:eastAsia="宋体" w:cs="Times New Roman"/>
                <w:color w:val="000000"/>
                <w:sz w:val="16"/>
                <w:szCs w:val="16"/>
                <w:highlight w:val="none"/>
              </w:rPr>
              <w:fldChar w:fldCharType="separate"/>
            </w:r>
            <w:r>
              <w:rPr>
                <w:rFonts w:ascii="Times New Roman" w:hAnsi="Times New Roman" w:eastAsia="宋体" w:cs="Times New Roman"/>
                <w:color w:val="000000"/>
                <w:sz w:val="16"/>
                <w:szCs w:val="16"/>
                <w:highlight w:val="none"/>
              </w:rPr>
              <w:t>(7)</w:t>
            </w:r>
            <w:r>
              <w:rPr>
                <w:rFonts w:ascii="Times New Roman" w:hAnsi="Times New Roman" w:eastAsia="宋体" w:cs="Times New Roman"/>
                <w:color w:val="000000"/>
                <w:sz w:val="16"/>
                <w:szCs w:val="16"/>
                <w:highlight w:val="none"/>
              </w:rPr>
              <w:fldChar w:fldCharType="end"/>
            </w:r>
          </w:p>
          <w:p w14:paraId="417682F0">
            <w:pPr>
              <w:jc w:val="center"/>
              <w:textAlignment w:val="center"/>
              <w:rPr>
                <w:rFonts w:ascii="Times New Roman" w:hAnsi="Times New Roman" w:eastAsia="宋体" w:cs="Times New Roman"/>
                <w:color w:val="000000"/>
                <w:kern w:val="0"/>
                <w:sz w:val="16"/>
                <w:szCs w:val="16"/>
                <w:highlight w:val="none"/>
                <w:lang w:bidi="ar"/>
              </w:rPr>
            </w:pPr>
          </w:p>
        </w:tc>
      </w:tr>
      <w:tr w14:paraId="7FC16E74">
        <w:tblPrEx>
          <w:tblCellMar>
            <w:top w:w="0" w:type="dxa"/>
            <w:left w:w="108" w:type="dxa"/>
            <w:bottom w:w="0" w:type="dxa"/>
            <w:right w:w="108" w:type="dxa"/>
          </w:tblCellMar>
        </w:tblPrEx>
        <w:trPr>
          <w:trHeight w:val="280" w:hRule="atLeast"/>
        </w:trPr>
        <w:tc>
          <w:tcPr>
            <w:tcW w:w="746" w:type="dxa"/>
            <w:tcBorders>
              <w:top w:val="nil"/>
              <w:left w:val="nil"/>
              <w:bottom w:val="nil"/>
              <w:right w:val="nil"/>
            </w:tcBorders>
            <w:vAlign w:val="center"/>
          </w:tcPr>
          <w:p w14:paraId="1C997FEF">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23</w:t>
            </w:r>
          </w:p>
        </w:tc>
        <w:tc>
          <w:tcPr>
            <w:tcW w:w="2378" w:type="dxa"/>
            <w:tcBorders>
              <w:top w:val="nil"/>
              <w:left w:val="nil"/>
              <w:bottom w:val="nil"/>
              <w:right w:val="nil"/>
            </w:tcBorders>
            <w:vAlign w:val="center"/>
          </w:tcPr>
          <w:p w14:paraId="47CDB0BE">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p.I427S/p.I304T</w:t>
            </w:r>
          </w:p>
        </w:tc>
        <w:tc>
          <w:tcPr>
            <w:tcW w:w="791" w:type="dxa"/>
            <w:tcBorders>
              <w:top w:val="nil"/>
              <w:left w:val="nil"/>
              <w:bottom w:val="nil"/>
              <w:right w:val="nil"/>
            </w:tcBorders>
            <w:vAlign w:val="center"/>
          </w:tcPr>
          <w:p w14:paraId="3902365A">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13</w:t>
            </w:r>
          </w:p>
        </w:tc>
        <w:tc>
          <w:tcPr>
            <w:tcW w:w="746" w:type="dxa"/>
            <w:tcBorders>
              <w:top w:val="nil"/>
              <w:left w:val="nil"/>
              <w:bottom w:val="nil"/>
              <w:right w:val="nil"/>
            </w:tcBorders>
            <w:vAlign w:val="center"/>
          </w:tcPr>
          <w:p w14:paraId="24EBDF8E">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F</w:t>
            </w:r>
          </w:p>
        </w:tc>
        <w:tc>
          <w:tcPr>
            <w:tcW w:w="885" w:type="dxa"/>
            <w:tcBorders>
              <w:top w:val="nil"/>
              <w:left w:val="nil"/>
              <w:bottom w:val="nil"/>
              <w:right w:val="nil"/>
            </w:tcBorders>
            <w:vAlign w:val="center"/>
          </w:tcPr>
          <w:p w14:paraId="07EC21A8">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20.06</w:t>
            </w:r>
          </w:p>
        </w:tc>
        <w:tc>
          <w:tcPr>
            <w:tcW w:w="1361" w:type="dxa"/>
            <w:tcBorders>
              <w:top w:val="nil"/>
              <w:left w:val="nil"/>
              <w:bottom w:val="nil"/>
              <w:right w:val="nil"/>
            </w:tcBorders>
            <w:vAlign w:val="center"/>
          </w:tcPr>
          <w:p w14:paraId="08D3E00F">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13.2</w:t>
            </w:r>
          </w:p>
        </w:tc>
        <w:tc>
          <w:tcPr>
            <w:tcW w:w="1244" w:type="dxa"/>
            <w:tcBorders>
              <w:top w:val="nil"/>
              <w:left w:val="nil"/>
              <w:bottom w:val="nil"/>
              <w:right w:val="nil"/>
            </w:tcBorders>
            <w:vAlign w:val="center"/>
          </w:tcPr>
          <w:p w14:paraId="43475180">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Negative</w:t>
            </w:r>
          </w:p>
        </w:tc>
        <w:tc>
          <w:tcPr>
            <w:tcW w:w="1246" w:type="dxa"/>
            <w:tcBorders>
              <w:top w:val="nil"/>
              <w:left w:val="nil"/>
              <w:bottom w:val="nil"/>
              <w:right w:val="nil"/>
            </w:tcBorders>
            <w:vAlign w:val="center"/>
          </w:tcPr>
          <w:p w14:paraId="220E823B">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 xml:space="preserve">11.2 </w:t>
            </w:r>
          </w:p>
        </w:tc>
        <w:tc>
          <w:tcPr>
            <w:tcW w:w="1146" w:type="dxa"/>
            <w:tcBorders>
              <w:top w:val="nil"/>
              <w:left w:val="nil"/>
              <w:bottom w:val="nil"/>
              <w:right w:val="nil"/>
            </w:tcBorders>
            <w:vAlign w:val="center"/>
          </w:tcPr>
          <w:p w14:paraId="21A6C609">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w:t>
            </w:r>
          </w:p>
        </w:tc>
        <w:tc>
          <w:tcPr>
            <w:tcW w:w="1162" w:type="dxa"/>
            <w:tcBorders>
              <w:top w:val="nil"/>
              <w:left w:val="nil"/>
              <w:bottom w:val="nil"/>
              <w:right w:val="nil"/>
            </w:tcBorders>
            <w:vAlign w:val="center"/>
          </w:tcPr>
          <w:p w14:paraId="16080E61">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360.57</w:t>
            </w:r>
          </w:p>
        </w:tc>
        <w:tc>
          <w:tcPr>
            <w:tcW w:w="1315" w:type="dxa"/>
            <w:tcBorders>
              <w:top w:val="nil"/>
              <w:left w:val="nil"/>
              <w:bottom w:val="nil"/>
              <w:right w:val="nil"/>
            </w:tcBorders>
            <w:vAlign w:val="center"/>
          </w:tcPr>
          <w:p w14:paraId="4E1C612D">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No</w:t>
            </w:r>
          </w:p>
        </w:tc>
        <w:tc>
          <w:tcPr>
            <w:tcW w:w="1315" w:type="dxa"/>
            <w:vMerge w:val="continue"/>
            <w:tcBorders>
              <w:left w:val="nil"/>
              <w:right w:val="nil"/>
            </w:tcBorders>
            <w:vAlign w:val="center"/>
          </w:tcPr>
          <w:p w14:paraId="31C8CF32">
            <w:pPr>
              <w:jc w:val="center"/>
              <w:textAlignment w:val="center"/>
              <w:rPr>
                <w:rFonts w:ascii="Times New Roman" w:hAnsi="Times New Roman" w:eastAsia="宋体" w:cs="Times New Roman"/>
                <w:color w:val="000000"/>
                <w:kern w:val="0"/>
                <w:sz w:val="16"/>
                <w:szCs w:val="16"/>
                <w:highlight w:val="none"/>
                <w:lang w:bidi="ar"/>
              </w:rPr>
            </w:pPr>
          </w:p>
        </w:tc>
      </w:tr>
      <w:tr w14:paraId="2A2EE5F9">
        <w:tblPrEx>
          <w:tblCellMar>
            <w:top w:w="0" w:type="dxa"/>
            <w:left w:w="108" w:type="dxa"/>
            <w:bottom w:w="0" w:type="dxa"/>
            <w:right w:w="108" w:type="dxa"/>
          </w:tblCellMar>
        </w:tblPrEx>
        <w:trPr>
          <w:trHeight w:val="280" w:hRule="atLeast"/>
        </w:trPr>
        <w:tc>
          <w:tcPr>
            <w:tcW w:w="746" w:type="dxa"/>
            <w:tcBorders>
              <w:top w:val="nil"/>
              <w:left w:val="nil"/>
              <w:bottom w:val="nil"/>
              <w:right w:val="nil"/>
            </w:tcBorders>
            <w:vAlign w:val="center"/>
          </w:tcPr>
          <w:p w14:paraId="3AB7484F">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24</w:t>
            </w:r>
          </w:p>
        </w:tc>
        <w:tc>
          <w:tcPr>
            <w:tcW w:w="2378" w:type="dxa"/>
            <w:tcBorders>
              <w:top w:val="nil"/>
              <w:left w:val="nil"/>
              <w:bottom w:val="nil"/>
              <w:right w:val="nil"/>
            </w:tcBorders>
            <w:vAlign w:val="center"/>
          </w:tcPr>
          <w:p w14:paraId="245DD565">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p.S430L</w:t>
            </w:r>
          </w:p>
        </w:tc>
        <w:tc>
          <w:tcPr>
            <w:tcW w:w="791" w:type="dxa"/>
            <w:tcBorders>
              <w:top w:val="nil"/>
              <w:left w:val="nil"/>
              <w:bottom w:val="nil"/>
              <w:right w:val="nil"/>
            </w:tcBorders>
            <w:vAlign w:val="center"/>
          </w:tcPr>
          <w:p w14:paraId="3ED03D3D">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25</w:t>
            </w:r>
          </w:p>
        </w:tc>
        <w:tc>
          <w:tcPr>
            <w:tcW w:w="746" w:type="dxa"/>
            <w:tcBorders>
              <w:top w:val="nil"/>
              <w:left w:val="nil"/>
              <w:bottom w:val="nil"/>
              <w:right w:val="nil"/>
            </w:tcBorders>
            <w:vAlign w:val="center"/>
          </w:tcPr>
          <w:p w14:paraId="55CA13D1">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M</w:t>
            </w:r>
          </w:p>
        </w:tc>
        <w:tc>
          <w:tcPr>
            <w:tcW w:w="885" w:type="dxa"/>
            <w:tcBorders>
              <w:top w:val="nil"/>
              <w:left w:val="nil"/>
              <w:bottom w:val="nil"/>
              <w:right w:val="nil"/>
            </w:tcBorders>
            <w:vAlign w:val="center"/>
          </w:tcPr>
          <w:p w14:paraId="44671DC8">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28.2</w:t>
            </w:r>
          </w:p>
        </w:tc>
        <w:tc>
          <w:tcPr>
            <w:tcW w:w="1361" w:type="dxa"/>
            <w:tcBorders>
              <w:top w:val="nil"/>
              <w:left w:val="nil"/>
              <w:bottom w:val="nil"/>
              <w:right w:val="nil"/>
            </w:tcBorders>
            <w:vAlign w:val="center"/>
          </w:tcPr>
          <w:p w14:paraId="42EE47DD">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11.5</w:t>
            </w:r>
          </w:p>
        </w:tc>
        <w:tc>
          <w:tcPr>
            <w:tcW w:w="1244" w:type="dxa"/>
            <w:tcBorders>
              <w:top w:val="nil"/>
              <w:left w:val="nil"/>
              <w:bottom w:val="nil"/>
              <w:right w:val="nil"/>
            </w:tcBorders>
            <w:vAlign w:val="center"/>
          </w:tcPr>
          <w:p w14:paraId="4A47CAB1">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Negative</w:t>
            </w:r>
          </w:p>
        </w:tc>
        <w:tc>
          <w:tcPr>
            <w:tcW w:w="1246" w:type="dxa"/>
            <w:tcBorders>
              <w:top w:val="nil"/>
              <w:left w:val="nil"/>
              <w:bottom w:val="nil"/>
              <w:right w:val="nil"/>
            </w:tcBorders>
            <w:vAlign w:val="center"/>
          </w:tcPr>
          <w:p w14:paraId="3F37C73C">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 xml:space="preserve">13.27 </w:t>
            </w:r>
          </w:p>
        </w:tc>
        <w:tc>
          <w:tcPr>
            <w:tcW w:w="1146" w:type="dxa"/>
            <w:tcBorders>
              <w:top w:val="nil"/>
              <w:left w:val="nil"/>
              <w:bottom w:val="nil"/>
              <w:right w:val="nil"/>
            </w:tcBorders>
            <w:vAlign w:val="center"/>
          </w:tcPr>
          <w:p w14:paraId="59E327F4">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w:t>
            </w:r>
          </w:p>
        </w:tc>
        <w:tc>
          <w:tcPr>
            <w:tcW w:w="1162" w:type="dxa"/>
            <w:tcBorders>
              <w:top w:val="nil"/>
              <w:left w:val="nil"/>
              <w:bottom w:val="nil"/>
              <w:right w:val="nil"/>
            </w:tcBorders>
            <w:vAlign w:val="center"/>
          </w:tcPr>
          <w:p w14:paraId="7A80AFB4">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sz w:val="16"/>
                <w:szCs w:val="16"/>
                <w:highlight w:val="none"/>
              </w:rPr>
              <w:t>430.26</w:t>
            </w:r>
          </w:p>
        </w:tc>
        <w:tc>
          <w:tcPr>
            <w:tcW w:w="1315" w:type="dxa"/>
            <w:tcBorders>
              <w:top w:val="nil"/>
              <w:left w:val="nil"/>
              <w:bottom w:val="nil"/>
              <w:right w:val="nil"/>
            </w:tcBorders>
            <w:vAlign w:val="center"/>
          </w:tcPr>
          <w:p w14:paraId="35E17418">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No</w:t>
            </w:r>
          </w:p>
        </w:tc>
        <w:tc>
          <w:tcPr>
            <w:tcW w:w="1315" w:type="dxa"/>
            <w:vMerge w:val="continue"/>
            <w:tcBorders>
              <w:left w:val="nil"/>
              <w:right w:val="nil"/>
            </w:tcBorders>
            <w:vAlign w:val="center"/>
          </w:tcPr>
          <w:p w14:paraId="252F7F2F">
            <w:pPr>
              <w:jc w:val="center"/>
              <w:textAlignment w:val="center"/>
              <w:rPr>
                <w:rFonts w:ascii="Times New Roman" w:hAnsi="Times New Roman" w:eastAsia="宋体" w:cs="Times New Roman"/>
                <w:color w:val="000000"/>
                <w:kern w:val="0"/>
                <w:sz w:val="16"/>
                <w:szCs w:val="16"/>
                <w:highlight w:val="none"/>
                <w:lang w:bidi="ar"/>
              </w:rPr>
            </w:pPr>
          </w:p>
        </w:tc>
      </w:tr>
      <w:tr w14:paraId="10C2D564">
        <w:tblPrEx>
          <w:tblCellMar>
            <w:top w:w="0" w:type="dxa"/>
            <w:left w:w="108" w:type="dxa"/>
            <w:bottom w:w="0" w:type="dxa"/>
            <w:right w:w="108" w:type="dxa"/>
          </w:tblCellMar>
        </w:tblPrEx>
        <w:trPr>
          <w:trHeight w:val="280" w:hRule="atLeast"/>
        </w:trPr>
        <w:tc>
          <w:tcPr>
            <w:tcW w:w="746" w:type="dxa"/>
            <w:tcBorders>
              <w:top w:val="nil"/>
              <w:left w:val="nil"/>
              <w:bottom w:val="nil"/>
              <w:right w:val="nil"/>
            </w:tcBorders>
            <w:vAlign w:val="center"/>
          </w:tcPr>
          <w:p w14:paraId="64394843">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25</w:t>
            </w:r>
          </w:p>
        </w:tc>
        <w:tc>
          <w:tcPr>
            <w:tcW w:w="2378" w:type="dxa"/>
            <w:tcBorders>
              <w:top w:val="nil"/>
              <w:left w:val="nil"/>
              <w:bottom w:val="nil"/>
              <w:right w:val="nil"/>
            </w:tcBorders>
            <w:vAlign w:val="center"/>
          </w:tcPr>
          <w:p w14:paraId="04962522">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p.M518V</w:t>
            </w:r>
          </w:p>
        </w:tc>
        <w:tc>
          <w:tcPr>
            <w:tcW w:w="791" w:type="dxa"/>
            <w:tcBorders>
              <w:top w:val="nil"/>
              <w:left w:val="nil"/>
              <w:bottom w:val="nil"/>
              <w:right w:val="nil"/>
            </w:tcBorders>
            <w:vAlign w:val="center"/>
          </w:tcPr>
          <w:p w14:paraId="0F1B4752">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25</w:t>
            </w:r>
          </w:p>
        </w:tc>
        <w:tc>
          <w:tcPr>
            <w:tcW w:w="746" w:type="dxa"/>
            <w:tcBorders>
              <w:top w:val="nil"/>
              <w:left w:val="nil"/>
              <w:bottom w:val="nil"/>
              <w:right w:val="nil"/>
            </w:tcBorders>
            <w:vAlign w:val="center"/>
          </w:tcPr>
          <w:p w14:paraId="248BD095">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F</w:t>
            </w:r>
          </w:p>
        </w:tc>
        <w:tc>
          <w:tcPr>
            <w:tcW w:w="885" w:type="dxa"/>
            <w:tcBorders>
              <w:top w:val="nil"/>
              <w:left w:val="nil"/>
              <w:bottom w:val="nil"/>
              <w:right w:val="nil"/>
            </w:tcBorders>
            <w:vAlign w:val="center"/>
          </w:tcPr>
          <w:p w14:paraId="22CDBC06">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23.18</w:t>
            </w:r>
          </w:p>
        </w:tc>
        <w:tc>
          <w:tcPr>
            <w:tcW w:w="1361" w:type="dxa"/>
            <w:tcBorders>
              <w:top w:val="nil"/>
              <w:left w:val="nil"/>
              <w:bottom w:val="nil"/>
              <w:right w:val="nil"/>
            </w:tcBorders>
            <w:vAlign w:val="center"/>
          </w:tcPr>
          <w:p w14:paraId="49B2E821">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6.4</w:t>
            </w:r>
          </w:p>
        </w:tc>
        <w:tc>
          <w:tcPr>
            <w:tcW w:w="1244" w:type="dxa"/>
            <w:tcBorders>
              <w:top w:val="nil"/>
              <w:left w:val="nil"/>
              <w:bottom w:val="nil"/>
              <w:right w:val="nil"/>
            </w:tcBorders>
            <w:vAlign w:val="center"/>
          </w:tcPr>
          <w:p w14:paraId="6F800B6F">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Negative</w:t>
            </w:r>
          </w:p>
        </w:tc>
        <w:tc>
          <w:tcPr>
            <w:tcW w:w="1246" w:type="dxa"/>
            <w:tcBorders>
              <w:top w:val="nil"/>
              <w:left w:val="nil"/>
              <w:bottom w:val="nil"/>
              <w:right w:val="nil"/>
            </w:tcBorders>
            <w:vAlign w:val="center"/>
          </w:tcPr>
          <w:p w14:paraId="1E438C2D">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9.64</w:t>
            </w:r>
          </w:p>
        </w:tc>
        <w:tc>
          <w:tcPr>
            <w:tcW w:w="1146" w:type="dxa"/>
            <w:tcBorders>
              <w:top w:val="nil"/>
              <w:left w:val="nil"/>
              <w:bottom w:val="nil"/>
              <w:right w:val="nil"/>
            </w:tcBorders>
            <w:vAlign w:val="center"/>
          </w:tcPr>
          <w:p w14:paraId="20654EBA">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w:t>
            </w:r>
          </w:p>
        </w:tc>
        <w:tc>
          <w:tcPr>
            <w:tcW w:w="1162" w:type="dxa"/>
            <w:tcBorders>
              <w:top w:val="nil"/>
              <w:left w:val="nil"/>
              <w:bottom w:val="nil"/>
              <w:right w:val="nil"/>
            </w:tcBorders>
            <w:vAlign w:val="center"/>
          </w:tcPr>
          <w:p w14:paraId="6989E7C5">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890.82</w:t>
            </w:r>
          </w:p>
        </w:tc>
        <w:tc>
          <w:tcPr>
            <w:tcW w:w="1315" w:type="dxa"/>
            <w:tcBorders>
              <w:top w:val="nil"/>
              <w:left w:val="nil"/>
              <w:bottom w:val="nil"/>
              <w:right w:val="nil"/>
            </w:tcBorders>
            <w:vAlign w:val="center"/>
          </w:tcPr>
          <w:p w14:paraId="6A8D653A">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No</w:t>
            </w:r>
          </w:p>
        </w:tc>
        <w:tc>
          <w:tcPr>
            <w:tcW w:w="1315" w:type="dxa"/>
            <w:vMerge w:val="continue"/>
            <w:tcBorders>
              <w:left w:val="nil"/>
              <w:right w:val="nil"/>
            </w:tcBorders>
            <w:vAlign w:val="center"/>
          </w:tcPr>
          <w:p w14:paraId="4D715B27">
            <w:pPr>
              <w:jc w:val="center"/>
              <w:textAlignment w:val="center"/>
              <w:rPr>
                <w:rFonts w:ascii="Times New Roman" w:hAnsi="Times New Roman" w:eastAsia="宋体" w:cs="Times New Roman"/>
                <w:color w:val="000000"/>
                <w:kern w:val="0"/>
                <w:sz w:val="16"/>
                <w:szCs w:val="16"/>
                <w:highlight w:val="none"/>
                <w:lang w:bidi="ar"/>
              </w:rPr>
            </w:pPr>
          </w:p>
        </w:tc>
      </w:tr>
      <w:tr w14:paraId="0C7F81F3">
        <w:tblPrEx>
          <w:tblCellMar>
            <w:top w:w="0" w:type="dxa"/>
            <w:left w:w="108" w:type="dxa"/>
            <w:bottom w:w="0" w:type="dxa"/>
            <w:right w:w="108" w:type="dxa"/>
          </w:tblCellMar>
        </w:tblPrEx>
        <w:trPr>
          <w:trHeight w:val="280" w:hRule="atLeast"/>
        </w:trPr>
        <w:tc>
          <w:tcPr>
            <w:tcW w:w="746" w:type="dxa"/>
            <w:tcBorders>
              <w:top w:val="nil"/>
              <w:left w:val="nil"/>
              <w:bottom w:val="single" w:color="auto" w:sz="4" w:space="0"/>
              <w:right w:val="nil"/>
            </w:tcBorders>
            <w:vAlign w:val="center"/>
          </w:tcPr>
          <w:p w14:paraId="1D811839">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26</w:t>
            </w:r>
          </w:p>
        </w:tc>
        <w:tc>
          <w:tcPr>
            <w:tcW w:w="2378" w:type="dxa"/>
            <w:tcBorders>
              <w:top w:val="nil"/>
              <w:left w:val="nil"/>
              <w:bottom w:val="single" w:color="auto" w:sz="4" w:space="0"/>
              <w:right w:val="nil"/>
            </w:tcBorders>
            <w:vAlign w:val="center"/>
          </w:tcPr>
          <w:p w14:paraId="7C8B13B3">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p.Q226*</w:t>
            </w:r>
          </w:p>
        </w:tc>
        <w:tc>
          <w:tcPr>
            <w:tcW w:w="791" w:type="dxa"/>
            <w:tcBorders>
              <w:top w:val="nil"/>
              <w:left w:val="nil"/>
              <w:bottom w:val="single" w:color="auto" w:sz="4" w:space="0"/>
              <w:right w:val="nil"/>
            </w:tcBorders>
            <w:vAlign w:val="center"/>
          </w:tcPr>
          <w:p w14:paraId="7E7FC7CA">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25</w:t>
            </w:r>
          </w:p>
        </w:tc>
        <w:tc>
          <w:tcPr>
            <w:tcW w:w="746" w:type="dxa"/>
            <w:tcBorders>
              <w:top w:val="nil"/>
              <w:left w:val="nil"/>
              <w:bottom w:val="single" w:color="auto" w:sz="4" w:space="0"/>
              <w:right w:val="nil"/>
            </w:tcBorders>
            <w:vAlign w:val="center"/>
          </w:tcPr>
          <w:p w14:paraId="072083B4">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M</w:t>
            </w:r>
          </w:p>
        </w:tc>
        <w:tc>
          <w:tcPr>
            <w:tcW w:w="885" w:type="dxa"/>
            <w:tcBorders>
              <w:top w:val="nil"/>
              <w:left w:val="nil"/>
              <w:bottom w:val="single" w:color="auto" w:sz="4" w:space="0"/>
              <w:right w:val="nil"/>
            </w:tcBorders>
            <w:vAlign w:val="center"/>
          </w:tcPr>
          <w:p w14:paraId="0569327D">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22.8</w:t>
            </w:r>
          </w:p>
        </w:tc>
        <w:tc>
          <w:tcPr>
            <w:tcW w:w="1361" w:type="dxa"/>
            <w:tcBorders>
              <w:top w:val="nil"/>
              <w:left w:val="nil"/>
              <w:bottom w:val="single" w:color="auto" w:sz="4" w:space="0"/>
              <w:right w:val="nil"/>
            </w:tcBorders>
            <w:vAlign w:val="center"/>
          </w:tcPr>
          <w:p w14:paraId="2FC28B53">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6.4</w:t>
            </w:r>
          </w:p>
        </w:tc>
        <w:tc>
          <w:tcPr>
            <w:tcW w:w="1244" w:type="dxa"/>
            <w:tcBorders>
              <w:top w:val="nil"/>
              <w:left w:val="nil"/>
              <w:bottom w:val="single" w:color="auto" w:sz="4" w:space="0"/>
              <w:right w:val="nil"/>
            </w:tcBorders>
            <w:vAlign w:val="center"/>
          </w:tcPr>
          <w:p w14:paraId="5567C58B">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Negative</w:t>
            </w:r>
          </w:p>
        </w:tc>
        <w:tc>
          <w:tcPr>
            <w:tcW w:w="1246" w:type="dxa"/>
            <w:tcBorders>
              <w:top w:val="nil"/>
              <w:left w:val="nil"/>
              <w:bottom w:val="single" w:color="auto" w:sz="4" w:space="0"/>
              <w:right w:val="nil"/>
            </w:tcBorders>
            <w:vAlign w:val="center"/>
          </w:tcPr>
          <w:p w14:paraId="09124FE6">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7.36</w:t>
            </w:r>
          </w:p>
        </w:tc>
        <w:tc>
          <w:tcPr>
            <w:tcW w:w="1146" w:type="dxa"/>
            <w:tcBorders>
              <w:top w:val="nil"/>
              <w:left w:val="nil"/>
              <w:bottom w:val="single" w:color="auto" w:sz="4" w:space="0"/>
              <w:right w:val="nil"/>
            </w:tcBorders>
            <w:vAlign w:val="center"/>
          </w:tcPr>
          <w:p w14:paraId="1E8FDB56">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w:t>
            </w:r>
          </w:p>
        </w:tc>
        <w:tc>
          <w:tcPr>
            <w:tcW w:w="1162" w:type="dxa"/>
            <w:tcBorders>
              <w:top w:val="nil"/>
              <w:left w:val="nil"/>
              <w:bottom w:val="single" w:color="auto" w:sz="4" w:space="0"/>
              <w:right w:val="nil"/>
            </w:tcBorders>
            <w:vAlign w:val="center"/>
          </w:tcPr>
          <w:p w14:paraId="0FDE2F3D">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672.66</w:t>
            </w:r>
          </w:p>
        </w:tc>
        <w:tc>
          <w:tcPr>
            <w:tcW w:w="1315" w:type="dxa"/>
            <w:tcBorders>
              <w:top w:val="nil"/>
              <w:left w:val="nil"/>
              <w:bottom w:val="single" w:color="auto" w:sz="4" w:space="0"/>
              <w:right w:val="nil"/>
            </w:tcBorders>
            <w:vAlign w:val="center"/>
          </w:tcPr>
          <w:p w14:paraId="59C6E517">
            <w:pPr>
              <w:widowControl/>
              <w:jc w:val="center"/>
              <w:textAlignment w:val="center"/>
              <w:rPr>
                <w:rFonts w:ascii="Times New Roman" w:hAnsi="Times New Roman" w:eastAsia="宋体" w:cs="Times New Roman"/>
                <w:color w:val="000000"/>
                <w:sz w:val="16"/>
                <w:szCs w:val="16"/>
                <w:highlight w:val="none"/>
              </w:rPr>
            </w:pPr>
            <w:r>
              <w:rPr>
                <w:rFonts w:ascii="Times New Roman" w:hAnsi="Times New Roman" w:eastAsia="宋体" w:cs="Times New Roman"/>
                <w:color w:val="000000"/>
                <w:kern w:val="0"/>
                <w:sz w:val="16"/>
                <w:szCs w:val="16"/>
                <w:highlight w:val="none"/>
                <w:lang w:bidi="ar"/>
              </w:rPr>
              <w:t>No</w:t>
            </w:r>
          </w:p>
        </w:tc>
        <w:tc>
          <w:tcPr>
            <w:tcW w:w="1315" w:type="dxa"/>
            <w:vMerge w:val="continue"/>
            <w:tcBorders>
              <w:left w:val="nil"/>
              <w:bottom w:val="single" w:color="auto" w:sz="4" w:space="0"/>
              <w:right w:val="nil"/>
            </w:tcBorders>
            <w:vAlign w:val="center"/>
          </w:tcPr>
          <w:p w14:paraId="3E4F8A75">
            <w:pPr>
              <w:widowControl/>
              <w:jc w:val="center"/>
              <w:textAlignment w:val="center"/>
              <w:rPr>
                <w:rFonts w:ascii="Times New Roman" w:hAnsi="Times New Roman" w:eastAsia="宋体" w:cs="Times New Roman"/>
                <w:color w:val="000000"/>
                <w:kern w:val="0"/>
                <w:sz w:val="16"/>
                <w:szCs w:val="16"/>
                <w:highlight w:val="none"/>
                <w:lang w:bidi="ar"/>
              </w:rPr>
            </w:pPr>
          </w:p>
        </w:tc>
      </w:tr>
    </w:tbl>
    <w:p w14:paraId="12A8F9C8">
      <w:pPr>
        <w:rPr>
          <w:rFonts w:ascii="Times New Roman" w:hAnsi="Times New Roman" w:eastAsia="宋体" w:cs="Times New Roman"/>
          <w:color w:val="000000"/>
          <w:kern w:val="0"/>
          <w:szCs w:val="21"/>
          <w:highlight w:val="none"/>
          <w:lang w:bidi="ar"/>
        </w:rPr>
      </w:pPr>
    </w:p>
    <w:p w14:paraId="77833177">
      <w:pPr>
        <w:rPr>
          <w:rFonts w:ascii="Times New Roman" w:hAnsi="Times New Roman" w:eastAsia="宋体" w:cs="Times New Roman"/>
          <w:color w:val="000000"/>
          <w:kern w:val="0"/>
          <w:szCs w:val="21"/>
          <w:highlight w:val="none"/>
          <w:lang w:bidi="ar"/>
        </w:rPr>
      </w:pPr>
      <w:r>
        <w:rPr>
          <w:rFonts w:ascii="Times New Roman" w:hAnsi="Times New Roman" w:eastAsia="宋体" w:cs="Times New Roman"/>
          <w:color w:val="000000"/>
          <w:kern w:val="0"/>
          <w:szCs w:val="21"/>
          <w:highlight w:val="none"/>
          <w:lang w:bidi="ar"/>
        </w:rPr>
        <w:t>“—”, not provided. F, female; M, male. BMI, body mass index. HbA1c, glycated hemoglobin. DKA, diabetic ketoacidosis</w:t>
      </w:r>
    </w:p>
    <w:p w14:paraId="7F0D8AD4">
      <w:pPr>
        <w:rPr>
          <w:rFonts w:ascii="Times New Roman" w:hAnsi="Times New Roman" w:eastAsia="宋体" w:cs="Times New Roman"/>
          <w:highlight w:val="none"/>
        </w:rPr>
      </w:pPr>
    </w:p>
    <w:p w14:paraId="77D56641">
      <w:pPr>
        <w:autoSpaceDE w:val="0"/>
        <w:autoSpaceDN w:val="0"/>
        <w:adjustRightInd w:val="0"/>
        <w:ind w:left="640" w:hanging="640"/>
        <w:rPr>
          <w:rFonts w:ascii="Times New Roman" w:hAnsi="Times New Roman" w:cs="Times New Roman"/>
          <w:kern w:val="0"/>
          <w:sz w:val="20"/>
          <w:highlight w:val="none"/>
        </w:rPr>
      </w:pPr>
      <w:r>
        <w:rPr>
          <w:rFonts w:ascii="Times New Roman" w:hAnsi="Times New Roman" w:cs="Times New Roman"/>
          <w:highlight w:val="none"/>
        </w:rPr>
        <w:fldChar w:fldCharType="begin" w:fldLock="1"/>
      </w:r>
      <w:r>
        <w:rPr>
          <w:rFonts w:ascii="Times New Roman" w:hAnsi="Times New Roman" w:cs="Times New Roman"/>
          <w:highlight w:val="none"/>
        </w:rPr>
        <w:instrText xml:space="preserve">ADDIN Mendeley Bibliography CSL_BIBLIOGRAPHY </w:instrText>
      </w:r>
      <w:r>
        <w:rPr>
          <w:rFonts w:ascii="Times New Roman" w:hAnsi="Times New Roman" w:cs="Times New Roman"/>
          <w:highlight w:val="none"/>
        </w:rPr>
        <w:fldChar w:fldCharType="separate"/>
      </w:r>
      <w:r>
        <w:rPr>
          <w:rFonts w:ascii="Times New Roman" w:hAnsi="Times New Roman" w:cs="Times New Roman"/>
          <w:kern w:val="0"/>
          <w:sz w:val="20"/>
          <w:highlight w:val="none"/>
        </w:rPr>
        <w:t xml:space="preserve">1. </w:t>
      </w:r>
      <w:r>
        <w:rPr>
          <w:rFonts w:ascii="Times New Roman" w:hAnsi="Times New Roman" w:cs="Times New Roman"/>
          <w:kern w:val="0"/>
          <w:sz w:val="20"/>
          <w:highlight w:val="none"/>
        </w:rPr>
        <w:tab/>
      </w:r>
      <w:r>
        <w:rPr>
          <w:rFonts w:ascii="Times New Roman" w:hAnsi="Times New Roman" w:cs="Times New Roman"/>
          <w:b/>
          <w:bCs/>
          <w:kern w:val="0"/>
          <w:sz w:val="20"/>
          <w:highlight w:val="none"/>
        </w:rPr>
        <w:t>Zalloua PA, Azar ST, Deelépine M, Makhoul NJ, Blanc H, Sanyoura M, Lavergne A, Stankov K, Lemainque A, Baz P, Julier C.</w:t>
      </w:r>
      <w:r>
        <w:rPr>
          <w:rFonts w:ascii="Times New Roman" w:hAnsi="Times New Roman" w:cs="Times New Roman"/>
          <w:kern w:val="0"/>
          <w:sz w:val="20"/>
          <w:highlight w:val="none"/>
        </w:rPr>
        <w:t xml:space="preserve"> WFS1 mutations are frequent monogenic causes of juvenile-onset diabetes mellitus in Lebanon. </w:t>
      </w:r>
      <w:r>
        <w:rPr>
          <w:rFonts w:ascii="Times New Roman" w:hAnsi="Times New Roman" w:cs="Times New Roman"/>
          <w:i/>
          <w:iCs/>
          <w:kern w:val="0"/>
          <w:sz w:val="20"/>
          <w:highlight w:val="none"/>
        </w:rPr>
        <w:t>Human Molecular Genetics</w:t>
      </w:r>
      <w:r>
        <w:rPr>
          <w:rFonts w:ascii="Times New Roman" w:hAnsi="Times New Roman" w:cs="Times New Roman"/>
          <w:kern w:val="0"/>
          <w:sz w:val="20"/>
          <w:highlight w:val="none"/>
        </w:rPr>
        <w:t xml:space="preserve"> 2008;17(24):4012–4021.</w:t>
      </w:r>
    </w:p>
    <w:p w14:paraId="50C0C765">
      <w:pPr>
        <w:autoSpaceDE w:val="0"/>
        <w:autoSpaceDN w:val="0"/>
        <w:adjustRightInd w:val="0"/>
        <w:ind w:left="640" w:hanging="640"/>
        <w:rPr>
          <w:rFonts w:ascii="Times New Roman" w:hAnsi="Times New Roman" w:cs="Times New Roman"/>
          <w:kern w:val="0"/>
          <w:sz w:val="20"/>
          <w:highlight w:val="none"/>
        </w:rPr>
      </w:pPr>
      <w:r>
        <w:rPr>
          <w:rFonts w:ascii="Times New Roman" w:hAnsi="Times New Roman" w:cs="Times New Roman"/>
          <w:kern w:val="0"/>
          <w:sz w:val="20"/>
          <w:highlight w:val="none"/>
        </w:rPr>
        <w:t xml:space="preserve">2. </w:t>
      </w:r>
      <w:r>
        <w:rPr>
          <w:rFonts w:ascii="Times New Roman" w:hAnsi="Times New Roman" w:cs="Times New Roman"/>
          <w:kern w:val="0"/>
          <w:sz w:val="20"/>
          <w:highlight w:val="none"/>
        </w:rPr>
        <w:tab/>
      </w:r>
      <w:r>
        <w:rPr>
          <w:rFonts w:ascii="Times New Roman" w:hAnsi="Times New Roman" w:cs="Times New Roman"/>
          <w:b/>
          <w:bCs/>
          <w:kern w:val="0"/>
          <w:sz w:val="20"/>
          <w:highlight w:val="none"/>
        </w:rPr>
        <w:t>Bonnycastle LL, Chines PS, Hara T, Huyghe JR, Swift AJ, Heikinheimo P, Mahadevan J, Peltonen S, Huopio H, Nuutila P, Narisu N, Goldfeder RL, Stitzel ML, Lu S, Boehnke M, Urano F, Collins FS, Laakso M.</w:t>
      </w:r>
      <w:r>
        <w:rPr>
          <w:rFonts w:ascii="Times New Roman" w:hAnsi="Times New Roman" w:cs="Times New Roman"/>
          <w:kern w:val="0"/>
          <w:sz w:val="20"/>
          <w:highlight w:val="none"/>
        </w:rPr>
        <w:t xml:space="preserve"> Autosomal dominant diabetes arising from a wolfram syndrome 1 mutation. </w:t>
      </w:r>
      <w:r>
        <w:rPr>
          <w:rFonts w:ascii="Times New Roman" w:hAnsi="Times New Roman" w:cs="Times New Roman"/>
          <w:i/>
          <w:iCs/>
          <w:kern w:val="0"/>
          <w:sz w:val="20"/>
          <w:highlight w:val="none"/>
        </w:rPr>
        <w:t>Diabetes</w:t>
      </w:r>
      <w:r>
        <w:rPr>
          <w:rFonts w:ascii="Times New Roman" w:hAnsi="Times New Roman" w:cs="Times New Roman"/>
          <w:kern w:val="0"/>
          <w:sz w:val="20"/>
          <w:highlight w:val="none"/>
        </w:rPr>
        <w:t xml:space="preserve"> 2013;62(11):3943–3950.</w:t>
      </w:r>
    </w:p>
    <w:p w14:paraId="0EAE4A3B">
      <w:pPr>
        <w:autoSpaceDE w:val="0"/>
        <w:autoSpaceDN w:val="0"/>
        <w:adjustRightInd w:val="0"/>
        <w:ind w:left="640" w:hanging="640"/>
        <w:rPr>
          <w:rFonts w:ascii="Times New Roman" w:hAnsi="Times New Roman" w:cs="Times New Roman"/>
          <w:kern w:val="0"/>
          <w:sz w:val="20"/>
          <w:highlight w:val="none"/>
        </w:rPr>
      </w:pPr>
      <w:r>
        <w:rPr>
          <w:rFonts w:ascii="Times New Roman" w:hAnsi="Times New Roman" w:cs="Times New Roman"/>
          <w:kern w:val="0"/>
          <w:sz w:val="20"/>
          <w:highlight w:val="none"/>
        </w:rPr>
        <w:t xml:space="preserve">3. </w:t>
      </w:r>
      <w:r>
        <w:rPr>
          <w:rFonts w:ascii="Times New Roman" w:hAnsi="Times New Roman" w:cs="Times New Roman"/>
          <w:kern w:val="0"/>
          <w:sz w:val="20"/>
          <w:highlight w:val="none"/>
        </w:rPr>
        <w:tab/>
      </w:r>
      <w:r>
        <w:rPr>
          <w:rFonts w:ascii="Times New Roman" w:hAnsi="Times New Roman" w:cs="Times New Roman"/>
          <w:b/>
          <w:bCs/>
          <w:kern w:val="0"/>
          <w:sz w:val="20"/>
          <w:highlight w:val="none"/>
        </w:rPr>
        <w:t>Bansal V, Boehm BO, Darvasi A.</w:t>
      </w:r>
      <w:r>
        <w:rPr>
          <w:rFonts w:ascii="Times New Roman" w:hAnsi="Times New Roman" w:cs="Times New Roman"/>
          <w:kern w:val="0"/>
          <w:sz w:val="20"/>
          <w:highlight w:val="none"/>
        </w:rPr>
        <w:t xml:space="preserve"> Identification of a missense variant in the WFS1 gene that causes a mild form of Wolfram syndrome and is associated with risk for type 2 diabetes in Ashkenazi Jewish individuals. </w:t>
      </w:r>
      <w:r>
        <w:rPr>
          <w:rFonts w:ascii="Times New Roman" w:hAnsi="Times New Roman" w:cs="Times New Roman"/>
          <w:i/>
          <w:iCs/>
          <w:kern w:val="0"/>
          <w:sz w:val="20"/>
          <w:highlight w:val="none"/>
        </w:rPr>
        <w:t>Diabetologia</w:t>
      </w:r>
      <w:r>
        <w:rPr>
          <w:rFonts w:ascii="Times New Roman" w:hAnsi="Times New Roman" w:cs="Times New Roman"/>
          <w:kern w:val="0"/>
          <w:sz w:val="20"/>
          <w:highlight w:val="none"/>
        </w:rPr>
        <w:t xml:space="preserve"> 2018;61(10):2180–2188.</w:t>
      </w:r>
    </w:p>
    <w:p w14:paraId="4F62796C">
      <w:pPr>
        <w:autoSpaceDE w:val="0"/>
        <w:autoSpaceDN w:val="0"/>
        <w:adjustRightInd w:val="0"/>
        <w:ind w:left="640" w:hanging="640"/>
        <w:rPr>
          <w:rFonts w:ascii="Times New Roman" w:hAnsi="Times New Roman" w:cs="Times New Roman"/>
          <w:kern w:val="0"/>
          <w:sz w:val="20"/>
          <w:highlight w:val="none"/>
        </w:rPr>
      </w:pPr>
      <w:r>
        <w:rPr>
          <w:rFonts w:ascii="Times New Roman" w:hAnsi="Times New Roman" w:cs="Times New Roman"/>
          <w:kern w:val="0"/>
          <w:sz w:val="20"/>
          <w:highlight w:val="none"/>
        </w:rPr>
        <w:t xml:space="preserve">4. </w:t>
      </w:r>
      <w:r>
        <w:rPr>
          <w:rFonts w:ascii="Times New Roman" w:hAnsi="Times New Roman" w:cs="Times New Roman"/>
          <w:kern w:val="0"/>
          <w:sz w:val="20"/>
          <w:highlight w:val="none"/>
        </w:rPr>
        <w:tab/>
      </w:r>
      <w:r>
        <w:rPr>
          <w:rFonts w:ascii="Times New Roman" w:hAnsi="Times New Roman" w:cs="Times New Roman"/>
          <w:b/>
          <w:bCs/>
          <w:kern w:val="0"/>
          <w:sz w:val="20"/>
          <w:highlight w:val="none"/>
        </w:rPr>
        <w:t>Li M, Wang S, Xu K, Chen Y, Fu Q, Gu Y, Shi Y, Zhang M, Sun M, Chen H, Han X, Li Y, Tang Z, Cai L, Li Z, Shi Y, Yang T, Polychronakos C.</w:t>
      </w:r>
      <w:r>
        <w:rPr>
          <w:rFonts w:ascii="Times New Roman" w:hAnsi="Times New Roman" w:cs="Times New Roman"/>
          <w:kern w:val="0"/>
          <w:sz w:val="20"/>
          <w:highlight w:val="none"/>
        </w:rPr>
        <w:t xml:space="preserve"> High Prevalence of a Monogenic Cause in Han Chinese Diagnosed With Type 1 Diabetes, Partly Driven by Nonsyndromic Recessive WFS1 Mutations. </w:t>
      </w:r>
      <w:r>
        <w:rPr>
          <w:rFonts w:ascii="Times New Roman" w:hAnsi="Times New Roman" w:cs="Times New Roman"/>
          <w:i/>
          <w:iCs/>
          <w:kern w:val="0"/>
          <w:sz w:val="20"/>
          <w:highlight w:val="none"/>
        </w:rPr>
        <w:t>Diabetes</w:t>
      </w:r>
      <w:r>
        <w:rPr>
          <w:rFonts w:ascii="Times New Roman" w:hAnsi="Times New Roman" w:cs="Times New Roman"/>
          <w:kern w:val="0"/>
          <w:sz w:val="20"/>
          <w:highlight w:val="none"/>
        </w:rPr>
        <w:t xml:space="preserve"> 2020;69(1):121–126.</w:t>
      </w:r>
    </w:p>
    <w:p w14:paraId="0FD902B9">
      <w:pPr>
        <w:autoSpaceDE w:val="0"/>
        <w:autoSpaceDN w:val="0"/>
        <w:adjustRightInd w:val="0"/>
        <w:ind w:left="640" w:hanging="640"/>
        <w:rPr>
          <w:rFonts w:ascii="Times New Roman" w:hAnsi="Times New Roman" w:cs="Times New Roman"/>
          <w:kern w:val="0"/>
          <w:sz w:val="20"/>
          <w:highlight w:val="none"/>
        </w:rPr>
      </w:pPr>
      <w:r>
        <w:rPr>
          <w:rFonts w:ascii="Times New Roman" w:hAnsi="Times New Roman" w:cs="Times New Roman"/>
          <w:kern w:val="0"/>
          <w:sz w:val="20"/>
          <w:highlight w:val="none"/>
        </w:rPr>
        <w:t xml:space="preserve">5. </w:t>
      </w:r>
      <w:r>
        <w:rPr>
          <w:rFonts w:ascii="Times New Roman" w:hAnsi="Times New Roman" w:cs="Times New Roman"/>
          <w:kern w:val="0"/>
          <w:sz w:val="20"/>
          <w:highlight w:val="none"/>
        </w:rPr>
        <w:tab/>
      </w:r>
      <w:r>
        <w:rPr>
          <w:rFonts w:ascii="Times New Roman" w:hAnsi="Times New Roman" w:cs="Times New Roman"/>
          <w:b/>
          <w:bCs/>
          <w:kern w:val="0"/>
          <w:sz w:val="20"/>
          <w:highlight w:val="none"/>
        </w:rPr>
        <w:t>Zhu M, Li Y, Dong G, Chen X, Huang K, Wu W, Dai Y, Zhang L, Lin H, Wang S, Polychronakos C, Fu J.</w:t>
      </w:r>
      <w:r>
        <w:rPr>
          <w:rFonts w:ascii="Times New Roman" w:hAnsi="Times New Roman" w:cs="Times New Roman"/>
          <w:kern w:val="0"/>
          <w:sz w:val="20"/>
          <w:highlight w:val="none"/>
        </w:rPr>
        <w:t xml:space="preserve"> Prevalence and phenotypic features of diabetes due to recessive, non-syndromic WFS1 mutations. </w:t>
      </w:r>
      <w:r>
        <w:rPr>
          <w:rFonts w:ascii="Times New Roman" w:hAnsi="Times New Roman" w:cs="Times New Roman"/>
          <w:i/>
          <w:iCs/>
          <w:kern w:val="0"/>
          <w:sz w:val="20"/>
          <w:highlight w:val="none"/>
        </w:rPr>
        <w:t>European journal of endocrinology</w:t>
      </w:r>
      <w:r>
        <w:rPr>
          <w:rFonts w:ascii="Times New Roman" w:hAnsi="Times New Roman" w:cs="Times New Roman"/>
          <w:kern w:val="0"/>
          <w:sz w:val="20"/>
          <w:highlight w:val="none"/>
        </w:rPr>
        <w:t xml:space="preserve"> 2021;186(2):163–170.</w:t>
      </w:r>
    </w:p>
    <w:p w14:paraId="134A288F">
      <w:pPr>
        <w:autoSpaceDE w:val="0"/>
        <w:autoSpaceDN w:val="0"/>
        <w:adjustRightInd w:val="0"/>
        <w:ind w:left="640" w:hanging="640"/>
        <w:rPr>
          <w:rFonts w:ascii="Times New Roman" w:hAnsi="Times New Roman" w:cs="Times New Roman"/>
          <w:kern w:val="0"/>
          <w:sz w:val="20"/>
          <w:highlight w:val="none"/>
        </w:rPr>
      </w:pPr>
      <w:r>
        <w:rPr>
          <w:rFonts w:ascii="Times New Roman" w:hAnsi="Times New Roman" w:cs="Times New Roman"/>
          <w:kern w:val="0"/>
          <w:sz w:val="20"/>
          <w:highlight w:val="none"/>
        </w:rPr>
        <w:t xml:space="preserve">6. </w:t>
      </w:r>
      <w:r>
        <w:rPr>
          <w:rFonts w:ascii="Times New Roman" w:hAnsi="Times New Roman" w:cs="Times New Roman"/>
          <w:kern w:val="0"/>
          <w:sz w:val="20"/>
          <w:highlight w:val="none"/>
        </w:rPr>
        <w:tab/>
      </w:r>
      <w:r>
        <w:rPr>
          <w:rFonts w:ascii="Times New Roman" w:hAnsi="Times New Roman" w:cs="Times New Roman"/>
          <w:b/>
          <w:bCs/>
          <w:kern w:val="0"/>
          <w:sz w:val="20"/>
          <w:highlight w:val="none"/>
        </w:rPr>
        <w:t>Ding Y, Li Z, Zhang Q, Li N, Chang G, Wang Y, Li X, Li J, Li Q, Yao R-E, Li X, Wang X.</w:t>
      </w:r>
      <w:r>
        <w:rPr>
          <w:rFonts w:ascii="Times New Roman" w:hAnsi="Times New Roman" w:cs="Times New Roman"/>
          <w:kern w:val="0"/>
          <w:sz w:val="20"/>
          <w:highlight w:val="none"/>
        </w:rPr>
        <w:t xml:space="preserve"> Complex clinical manifestations and new insights in RNA sequencing of children with diabetes and WFS1 variants. </w:t>
      </w:r>
      <w:r>
        <w:rPr>
          <w:rFonts w:ascii="Times New Roman" w:hAnsi="Times New Roman" w:cs="Times New Roman"/>
          <w:i/>
          <w:iCs/>
          <w:kern w:val="0"/>
          <w:sz w:val="20"/>
          <w:highlight w:val="none"/>
        </w:rPr>
        <w:t>Frontiers In Endocrinology</w:t>
      </w:r>
      <w:r>
        <w:rPr>
          <w:rFonts w:ascii="Times New Roman" w:hAnsi="Times New Roman" w:cs="Times New Roman"/>
          <w:kern w:val="0"/>
          <w:sz w:val="20"/>
          <w:highlight w:val="none"/>
        </w:rPr>
        <w:t xml:space="preserve"> 2023;14:1066320.</w:t>
      </w:r>
    </w:p>
    <w:p w14:paraId="1F02B604">
      <w:pPr>
        <w:autoSpaceDE w:val="0"/>
        <w:autoSpaceDN w:val="0"/>
        <w:adjustRightInd w:val="0"/>
        <w:ind w:left="640" w:hanging="640"/>
        <w:rPr>
          <w:rFonts w:ascii="Times New Roman" w:hAnsi="Times New Roman" w:cs="Times New Roman"/>
          <w:sz w:val="20"/>
          <w:highlight w:val="none"/>
        </w:rPr>
      </w:pPr>
      <w:r>
        <w:rPr>
          <w:rFonts w:ascii="Times New Roman" w:hAnsi="Times New Roman" w:cs="Times New Roman"/>
          <w:kern w:val="0"/>
          <w:sz w:val="20"/>
          <w:highlight w:val="none"/>
        </w:rPr>
        <w:t xml:space="preserve">7. </w:t>
      </w:r>
      <w:r>
        <w:rPr>
          <w:rFonts w:ascii="Times New Roman" w:hAnsi="Times New Roman" w:cs="Times New Roman"/>
          <w:kern w:val="0"/>
          <w:sz w:val="20"/>
          <w:highlight w:val="none"/>
        </w:rPr>
        <w:tab/>
      </w:r>
      <w:r>
        <w:rPr>
          <w:rFonts w:ascii="Times New Roman" w:hAnsi="Times New Roman" w:cs="Times New Roman"/>
          <w:b/>
          <w:bCs/>
          <w:kern w:val="0"/>
          <w:sz w:val="20"/>
          <w:highlight w:val="none"/>
        </w:rPr>
        <w:t>Wu L, Zhang J, Li D, Zhang Z, Ni Q, Han R, Ye L, Zhang Y, Hong J, Wang W, Ning G, Gu W.</w:t>
      </w:r>
      <w:r>
        <w:rPr>
          <w:rFonts w:ascii="Times New Roman" w:hAnsi="Times New Roman" w:cs="Times New Roman"/>
          <w:kern w:val="0"/>
          <w:sz w:val="20"/>
          <w:highlight w:val="none"/>
        </w:rPr>
        <w:t xml:space="preserve"> Novel WFS1 variants are associated with different diabetes phenotypes. </w:t>
      </w:r>
      <w:r>
        <w:rPr>
          <w:rFonts w:ascii="Times New Roman" w:hAnsi="Times New Roman" w:cs="Times New Roman"/>
          <w:i/>
          <w:iCs/>
          <w:kern w:val="0"/>
          <w:sz w:val="20"/>
          <w:highlight w:val="none"/>
        </w:rPr>
        <w:t>Frontiers In Genetics</w:t>
      </w:r>
      <w:r>
        <w:rPr>
          <w:rFonts w:ascii="Times New Roman" w:hAnsi="Times New Roman" w:cs="Times New Roman"/>
          <w:kern w:val="0"/>
          <w:sz w:val="20"/>
          <w:highlight w:val="none"/>
        </w:rPr>
        <w:t xml:space="preserve"> 2024;15:1433060.</w:t>
      </w:r>
    </w:p>
    <w:p w14:paraId="25F6DA3D">
      <w:pPr>
        <w:rPr>
          <w:rFonts w:ascii="Times New Roman" w:hAnsi="Times New Roman" w:cs="Times New Roman"/>
          <w:highlight w:val="none"/>
        </w:rPr>
      </w:pPr>
      <w:r>
        <w:rPr>
          <w:rFonts w:ascii="Times New Roman" w:hAnsi="Times New Roman" w:cs="Times New Roman"/>
          <w:highlight w:val="none"/>
        </w:rPr>
        <w:fldChar w:fldCharType="end"/>
      </w: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Math">
    <w:panose1 w:val="02040503050406030204"/>
    <w:charset w:val="00"/>
    <w:family w:val="roman"/>
    <w:pitch w:val="default"/>
    <w:sig w:usb0="E00006FF" w:usb1="420024FF" w:usb2="02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3F50"/>
    <w:rsid w:val="00153F50"/>
    <w:rsid w:val="00C554B4"/>
    <w:rsid w:val="00F4549C"/>
    <w:rsid w:val="0DB2694D"/>
    <w:rsid w:val="530A198B"/>
    <w:rsid w:val="686C5AF3"/>
    <w:rsid w:val="68DD2D8C"/>
    <w:rsid w:val="6E9D70AF"/>
    <w:rsid w:val="71582B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nhideWhenUsed/>
    <w:uiPriority w:val="1"/>
  </w:style>
  <w:style w:type="table" w:default="1" w:styleId="2">
    <w:name w:val="Normal Table"/>
    <w:semiHidden/>
    <w:unhideWhenUsed/>
    <w:uiPriority w:val="99"/>
    <w:tblPr>
      <w:tblCellMar>
        <w:top w:w="0" w:type="dxa"/>
        <w:left w:w="108" w:type="dxa"/>
        <w:bottom w:w="0" w:type="dxa"/>
        <w:right w:w="108" w:type="dxa"/>
      </w:tblCellMar>
    </w:tblPr>
  </w:style>
  <w:style w:type="table" w:styleId="3">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F83B3C-37D9-4C1F-B350-8B233521D75C}">
  <ds:schemaRefs/>
</ds:datastoreItem>
</file>

<file path=docProps/app.xml><?xml version="1.0" encoding="utf-8"?>
<Properties xmlns="http://schemas.openxmlformats.org/officeDocument/2006/extended-properties" xmlns:vt="http://schemas.openxmlformats.org/officeDocument/2006/docPropsVTypes">
  <Template>Normal</Template>
  <Pages>4</Pages>
  <Words>879</Words>
  <Characters>4262</Characters>
  <Lines>239</Lines>
  <Paragraphs>67</Paragraphs>
  <TotalTime>2552</TotalTime>
  <ScaleCrop>false</ScaleCrop>
  <LinksUpToDate>false</LinksUpToDate>
  <CharactersWithSpaces>4680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2024-12-04T09:11:00Z</dcterms:created>
  <dc:creator>Leslie</dc:creator>
  <cp:lastModifiedBy>黄药师</cp:lastModifiedBy>
  <dcterms:modified xsi:type="dcterms:W3CDTF">2026-02-28T05:00:43Z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675394EB099546CAA85C55F7F8C3A713_12</vt:lpwstr>
  </property>
  <property fmtid="{D5CDD505-2E9C-101B-9397-08002B2CF9AE}" pid="4" name="KSOTemplateDocerSaveRecord">
    <vt:lpwstr>eyJoZGlkIjoiMTIwM2ZiMGE4OGJkNWFjNDAzZmE5ZjVlNTM4NWFiZTciLCJ1c2VySWQiOiI0MTc4NDAxNTgifQ==</vt:lpwstr>
  </property>
  <property fmtid="{D5CDD505-2E9C-101B-9397-08002B2CF9AE}" pid="5" name="Mendeley Document_1">
    <vt:lpwstr>True</vt:lpwstr>
  </property>
  <property fmtid="{D5CDD505-2E9C-101B-9397-08002B2CF9AE}" pid="6" name="Mendeley Unique User Id_1">
    <vt:lpwstr>662ab1c6-8cf4-38c3-a609-18caf653f145</vt:lpwstr>
  </property>
  <property fmtid="{D5CDD505-2E9C-101B-9397-08002B2CF9AE}" pid="7" name="Mendeley Citation Style_1">
    <vt:lpwstr>http://www.zotero.org/styles/the-journal-of-clinical-endocrinology-and-metabolism</vt:lpwstr>
  </property>
  <property fmtid="{D5CDD505-2E9C-101B-9397-08002B2CF9AE}" pid="8" name="Mendeley Recent Style Id 0_1">
    <vt:lpwstr>http://www.zotero.org/styles/american-journal-of-nephrology</vt:lpwstr>
  </property>
  <property fmtid="{D5CDD505-2E9C-101B-9397-08002B2CF9AE}" pid="9" name="Mendeley Recent Style Name 0_1">
    <vt:lpwstr>American Journal of Nephrology</vt:lpwstr>
  </property>
  <property fmtid="{D5CDD505-2E9C-101B-9397-08002B2CF9AE}" pid="10" name="Mendeley Recent Style Id 1_1">
    <vt:lpwstr>http://www.zotero.org/styles/cardiovascular-diabetology</vt:lpwstr>
  </property>
  <property fmtid="{D5CDD505-2E9C-101B-9397-08002B2CF9AE}" pid="11" name="Mendeley Recent Style Name 1_1">
    <vt:lpwstr>Cardiovascular Diabetology</vt:lpwstr>
  </property>
  <property fmtid="{D5CDD505-2E9C-101B-9397-08002B2CF9AE}" pid="12" name="Mendeley Recent Style Id 2_1">
    <vt:lpwstr>http://csl.mendeley.com/styles/565132781/chinese-graduate-3</vt:lpwstr>
  </property>
  <property fmtid="{D5CDD505-2E9C-101B-9397-08002B2CF9AE}" pid="13" name="Mendeley Recent Style Name 2_1">
    <vt:lpwstr>China National Standard GB/T 7714-2005 (numeric, 中文) - 毕业论文</vt:lpwstr>
  </property>
  <property fmtid="{D5CDD505-2E9C-101B-9397-08002B2CF9AE}" pid="14" name="Mendeley Recent Style Id 3_1">
    <vt:lpwstr>http://www.zotero.org/styles/diabetes</vt:lpwstr>
  </property>
  <property fmtid="{D5CDD505-2E9C-101B-9397-08002B2CF9AE}" pid="15" name="Mendeley Recent Style Name 3_1">
    <vt:lpwstr>Diabetes</vt:lpwstr>
  </property>
  <property fmtid="{D5CDD505-2E9C-101B-9397-08002B2CF9AE}" pid="16" name="Mendeley Recent Style Id 4_1">
    <vt:lpwstr>http://www.zotero.org/styles/diabetes-care</vt:lpwstr>
  </property>
  <property fmtid="{D5CDD505-2E9C-101B-9397-08002B2CF9AE}" pid="17" name="Mendeley Recent Style Name 4_1">
    <vt:lpwstr>Diabetes Care</vt:lpwstr>
  </property>
  <property fmtid="{D5CDD505-2E9C-101B-9397-08002B2CF9AE}" pid="18" name="Mendeley Recent Style Id 5_1">
    <vt:lpwstr>http://www.zotero.org/styles/diabetes-technology-and-therapeutics</vt:lpwstr>
  </property>
  <property fmtid="{D5CDD505-2E9C-101B-9397-08002B2CF9AE}" pid="19" name="Mendeley Recent Style Name 5_1">
    <vt:lpwstr>Diabetes Technology and Therapeutics</vt:lpwstr>
  </property>
  <property fmtid="{D5CDD505-2E9C-101B-9397-08002B2CF9AE}" pid="20" name="Mendeley Recent Style Id 6_1">
    <vt:lpwstr>http://www.zotero.org/styles/food-and-function</vt:lpwstr>
  </property>
  <property fmtid="{D5CDD505-2E9C-101B-9397-08002B2CF9AE}" pid="21" name="Mendeley Recent Style Name 6_1">
    <vt:lpwstr>Food &amp; Function</vt:lpwstr>
  </property>
  <property fmtid="{D5CDD505-2E9C-101B-9397-08002B2CF9AE}" pid="22" name="Mendeley Recent Style Id 7_1">
    <vt:lpwstr>http://www.zotero.org/styles/international-urology-and-nephrology</vt:lpwstr>
  </property>
  <property fmtid="{D5CDD505-2E9C-101B-9397-08002B2CF9AE}" pid="23" name="Mendeley Recent Style Name 7_1">
    <vt:lpwstr>International Urology and Nephrology</vt:lpwstr>
  </property>
  <property fmtid="{D5CDD505-2E9C-101B-9397-08002B2CF9AE}" pid="24" name="Mendeley Recent Style Id 8_1">
    <vt:lpwstr>http://www.zotero.org/styles/the-american-journal-of-clinical-nutrition</vt:lpwstr>
  </property>
  <property fmtid="{D5CDD505-2E9C-101B-9397-08002B2CF9AE}" pid="25" name="Mendeley Recent Style Name 8_1">
    <vt:lpwstr>The American Journal of Clinical Nutrition</vt:lpwstr>
  </property>
  <property fmtid="{D5CDD505-2E9C-101B-9397-08002B2CF9AE}" pid="26" name="Mendeley Recent Style Id 9_1">
    <vt:lpwstr>http://www.zotero.org/styles/the-journal-of-clinical-endocrinology-and-metabolism</vt:lpwstr>
  </property>
  <property fmtid="{D5CDD505-2E9C-101B-9397-08002B2CF9AE}" pid="27" name="Mendeley Recent Style Name 9_1">
    <vt:lpwstr>The Journal of Clinical Endocrinology &amp; Metabolism</vt:lpwstr>
  </property>
</Properties>
</file>