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ind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upplemental Materials </w:t>
      </w:r>
    </w:p>
    <w:p w:rsidR="00000000" w:rsidDel="00000000" w:rsidP="00000000" w:rsidRDefault="00000000" w:rsidRPr="00000000" w14:paraId="00000002">
      <w:pPr>
        <w:keepNext w:val="1"/>
        <w:keepLines w:val="1"/>
        <w:tabs>
          <w:tab w:val="left" w:leader="none" w:pos="720"/>
          <w:tab w:val="left" w:leader="none" w:pos="900"/>
          <w:tab w:val="left" w:leader="none" w:pos="9260"/>
          <w:tab w:val="left" w:leader="none" w:pos="720"/>
          <w:tab w:val="left" w:leader="none" w:pos="900"/>
          <w:tab w:val="left" w:leader="none" w:pos="9260"/>
        </w:tabs>
        <w:spacing w:line="360" w:lineRule="auto"/>
        <w:ind w:firstLine="0"/>
        <w:jc w:val="center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bookmarkStart w:colFirst="0" w:colLast="0" w:name="_heading=h.q8lbx69gfor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tabs>
          <w:tab w:val="left" w:leader="none" w:pos="720"/>
          <w:tab w:val="left" w:leader="none" w:pos="900"/>
          <w:tab w:val="left" w:leader="none" w:pos="9260"/>
          <w:tab w:val="left" w:leader="none" w:pos="720"/>
          <w:tab w:val="left" w:leader="none" w:pos="900"/>
          <w:tab w:val="left" w:leader="none" w:pos="9260"/>
        </w:tabs>
        <w:spacing w:line="276" w:lineRule="auto"/>
        <w:ind w:firstLine="0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hmyvv47itvqo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Table S1 ‒ Tumor location in patients with cardiac rhabdomyomas</w:t>
      </w:r>
    </w:p>
    <w:tbl>
      <w:tblPr>
        <w:tblStyle w:val="Table1"/>
        <w:tblW w:w="9070.511811023624" w:type="dxa"/>
        <w:jc w:val="center"/>
        <w:tblLayout w:type="fixed"/>
        <w:tblLook w:val="0400"/>
      </w:tblPr>
      <w:tblGrid>
        <w:gridCol w:w="2002.9259175890534"/>
        <w:gridCol w:w="1766.8964733586422"/>
        <w:gridCol w:w="1766.8964733586422"/>
        <w:gridCol w:w="1766.8964733586422"/>
        <w:gridCol w:w="1766.8964733586422"/>
        <w:tblGridChange w:id="0">
          <w:tblGrid>
            <w:gridCol w:w="2002.9259175890534"/>
            <w:gridCol w:w="1766.8964733586422"/>
            <w:gridCol w:w="1766.8964733586422"/>
            <w:gridCol w:w="1766.8964733586422"/>
            <w:gridCol w:w="1766.896473358642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Location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Single rhabdomyomas            </w:t>
            </w:r>
          </w:p>
          <w:p w:rsidR="00000000" w:rsidDel="00000000" w:rsidP="00000000" w:rsidRDefault="00000000" w:rsidRPr="00000000" w14:paraId="00000006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(n = 10)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Multiple rhabdomyomas       </w:t>
            </w:r>
          </w:p>
          <w:p w:rsidR="00000000" w:rsidDel="00000000" w:rsidP="00000000" w:rsidRDefault="00000000" w:rsidRPr="00000000" w14:paraId="00000008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(n = 31)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Total               </w:t>
            </w:r>
          </w:p>
          <w:p w:rsidR="00000000" w:rsidDel="00000000" w:rsidP="00000000" w:rsidRDefault="00000000" w:rsidRPr="00000000" w14:paraId="0000000A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 (n = 41)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p (&lt; 0.05)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right w:color="ffffff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Isolated RV involvement</w:t>
            </w:r>
          </w:p>
        </w:tc>
        <w:tc>
          <w:tcPr>
            <w:tcBorders>
              <w:top w:color="000000" w:space="0" w:sz="6" w:val="single"/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(20%)</w:t>
            </w:r>
          </w:p>
        </w:tc>
        <w:tc>
          <w:tcPr>
            <w:tcBorders>
              <w:top w:color="000000" w:space="0" w:sz="6" w:val="single"/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 (0%)</w:t>
            </w:r>
          </w:p>
        </w:tc>
        <w:tc>
          <w:tcPr>
            <w:tcBorders>
              <w:top w:color="000000" w:space="0" w:sz="6" w:val="single"/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(4.9%)</w:t>
            </w:r>
          </w:p>
        </w:tc>
        <w:tc>
          <w:tcPr>
            <w:tcBorders>
              <w:top w:color="000000" w:space="0" w:sz="6" w:val="single"/>
              <w:lef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0.055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ffffff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Isolated LV involvement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 (70%)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 (35.5%)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 (43.9%)</w:t>
            </w:r>
          </w:p>
        </w:tc>
        <w:tc>
          <w:tcPr>
            <w:tcBorders>
              <w:lef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0.075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ffffff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Isolated RA involvement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(10%)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 (0%)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(2.4%)</w:t>
            </w:r>
          </w:p>
        </w:tc>
        <w:tc>
          <w:tcPr>
            <w:tcBorders>
              <w:lef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0.244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ffffff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B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Biventricular involvement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 (0%)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 (58.1%)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 (43.9%)</w:t>
            </w:r>
          </w:p>
        </w:tc>
        <w:tc>
          <w:tcPr>
            <w:tcBorders>
              <w:lef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0.002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ffffff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Biventricular and RA involvement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 (0%)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2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(3.2%)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(2.4%)</w:t>
            </w:r>
          </w:p>
        </w:tc>
        <w:tc>
          <w:tcPr>
            <w:tcBorders>
              <w:lef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6" w:val="single"/>
              <w:right w:color="ffffff" w:space="0" w:sz="6" w:val="single"/>
            </w:tcBorders>
            <w:tcMar>
              <w:top w:w="0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LV and RA involvement</w:t>
            </w:r>
          </w:p>
        </w:tc>
        <w:tc>
          <w:tcPr>
            <w:tcBorders>
              <w:left w:color="ffffff" w:space="0" w:sz="6" w:val="single"/>
              <w:bottom w:color="000000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 (0%)</w:t>
            </w:r>
          </w:p>
        </w:tc>
        <w:tc>
          <w:tcPr>
            <w:tcBorders>
              <w:left w:color="ffffff" w:space="0" w:sz="6" w:val="single"/>
              <w:bottom w:color="000000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(3.23%)</w:t>
            </w:r>
          </w:p>
        </w:tc>
        <w:tc>
          <w:tcPr>
            <w:tcBorders>
              <w:left w:color="ffffff" w:space="0" w:sz="6" w:val="single"/>
              <w:bottom w:color="000000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 (2.4%)</w:t>
            </w:r>
          </w:p>
        </w:tc>
        <w:tc>
          <w:tcPr>
            <w:tcBorders>
              <w:left w:color="ffffff" w:space="0" w:sz="6" w:val="single"/>
              <w:bottom w:color="000000" w:space="0" w:sz="6" w:val="single"/>
            </w:tcBorders>
            <w:tcMar>
              <w:top w:w="0.0" w:type="dxa"/>
              <w:left w:w="28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9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-</w:t>
            </w:r>
          </w:p>
        </w:tc>
      </w:tr>
    </w:tbl>
    <w:p w:rsidR="00000000" w:rsidDel="00000000" w:rsidP="00000000" w:rsidRDefault="00000000" w:rsidRPr="00000000" w14:paraId="0000002A">
      <w:pPr>
        <w:tabs>
          <w:tab w:val="left" w:leader="none" w:pos="720"/>
          <w:tab w:val="left" w:leader="none" w:pos="900"/>
          <w:tab w:val="left" w:leader="none" w:pos="9260"/>
        </w:tabs>
        <w:spacing w:after="60" w:before="60" w:line="240" w:lineRule="auto"/>
        <w:ind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RV: right ventricle; LV: left ventricle; RA: right atrium. All comparisons performed using Fisher’s exact test.</w:t>
      </w:r>
    </w:p>
    <w:p w:rsidR="00000000" w:rsidDel="00000000" w:rsidP="00000000" w:rsidRDefault="00000000" w:rsidRPr="00000000" w14:paraId="0000002B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  <w:rtl w:val="0"/>
        </w:rPr>
        <w:t xml:space="preserve">Table S2: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Ordinal logistic regression model results for outcomes among patients with cardiac tumors</w:t>
      </w:r>
    </w:p>
    <w:tbl>
      <w:tblPr>
        <w:tblStyle w:val="Table2"/>
        <w:tblW w:w="7395.0" w:type="dxa"/>
        <w:jc w:val="center"/>
        <w:tblLayout w:type="fixed"/>
        <w:tblLook w:val="0400"/>
      </w:tblPr>
      <w:tblGrid>
        <w:gridCol w:w="2775"/>
        <w:gridCol w:w="2850"/>
        <w:gridCol w:w="1770"/>
        <w:tblGridChange w:id="0">
          <w:tblGrid>
            <w:gridCol w:w="2775"/>
            <w:gridCol w:w="2850"/>
            <w:gridCol w:w="17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Variable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Odds Ratio [IC95%] 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28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p (&lt; 0.05)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right w:color="ffffff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0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Age (years)</w:t>
            </w:r>
          </w:p>
          <w:p w:rsidR="00000000" w:rsidDel="00000000" w:rsidP="00000000" w:rsidRDefault="00000000" w:rsidRPr="00000000" w14:paraId="00000031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Female sex</w:t>
            </w:r>
          </w:p>
        </w:tc>
        <w:tc>
          <w:tcPr>
            <w:tcBorders>
              <w:top w:color="000000" w:space="0" w:sz="6" w:val="single"/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2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1.06 [0.97 ;1.17]</w:t>
            </w:r>
          </w:p>
          <w:p w:rsidR="00000000" w:rsidDel="00000000" w:rsidP="00000000" w:rsidRDefault="00000000" w:rsidRPr="00000000" w14:paraId="00000033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0.37 [0.07 ;1.83]</w:t>
            </w:r>
          </w:p>
        </w:tc>
        <w:tc>
          <w:tcPr>
            <w:tcBorders>
              <w:top w:color="000000" w:space="0" w:sz="6" w:val="single"/>
              <w:lef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4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0.215</w:t>
            </w:r>
          </w:p>
          <w:p w:rsidR="00000000" w:rsidDel="00000000" w:rsidP="00000000" w:rsidRDefault="00000000" w:rsidRPr="00000000" w14:paraId="00000035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0.230</w:t>
            </w:r>
          </w:p>
        </w:tc>
      </w:tr>
      <w:tr>
        <w:trPr>
          <w:cantSplit w:val="0"/>
          <w:tblHeader w:val="0"/>
        </w:trPr>
        <w:tc>
          <w:tcPr>
            <w:tcBorders>
              <w:right w:color="ffffff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6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Use of mTOR inhibitor</w:t>
            </w:r>
          </w:p>
        </w:tc>
        <w:tc>
          <w:tcPr>
            <w:tcBorders>
              <w:left w:color="ffffff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1.25 [0.12 ;14.78]</w:t>
            </w:r>
          </w:p>
        </w:tc>
        <w:tc>
          <w:tcPr>
            <w:tcBorders>
              <w:left w:color="ffffff" w:space="0" w:sz="6" w:val="single"/>
            </w:tcBorders>
            <w:tcMar>
              <w:top w:w="0.0" w:type="dxa"/>
              <w:left w:w="28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8">
            <w:pPr>
              <w:spacing w:after="142"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0.853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6" w:val="single"/>
              <w:right w:color="ffffff" w:space="0" w:sz="6" w:val="single"/>
            </w:tcBorders>
            <w:tcMar>
              <w:top w:w="0.0" w:type="dxa"/>
              <w:left w:w="0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9">
            <w:pPr>
              <w:spacing w:after="142" w:line="259" w:lineRule="auto"/>
              <w:ind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Multiple tumors</w:t>
            </w:r>
          </w:p>
        </w:tc>
        <w:tc>
          <w:tcPr>
            <w:tcBorders>
              <w:left w:color="ffffff" w:space="0" w:sz="6" w:val="single"/>
              <w:bottom w:color="000000" w:space="0" w:sz="6" w:val="single"/>
              <w:right w:color="ffffff" w:space="0" w:sz="6" w:val="single"/>
            </w:tcBorders>
            <w:tcMar>
              <w:top w:w="0.0" w:type="dxa"/>
              <w:left w:w="28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A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0.91 [0.17 ;4.61]</w:t>
            </w:r>
          </w:p>
        </w:tc>
        <w:tc>
          <w:tcPr>
            <w:tcBorders>
              <w:left w:color="ffffff" w:space="0" w:sz="6" w:val="single"/>
              <w:bottom w:color="000000" w:space="0" w:sz="6" w:val="single"/>
            </w:tcBorders>
            <w:tcMar>
              <w:top w:w="0.0" w:type="dxa"/>
              <w:left w:w="28.0" w:type="dxa"/>
              <w:bottom w:w="28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line="259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0.912</w:t>
            </w:r>
          </w:p>
        </w:tc>
      </w:tr>
    </w:tbl>
    <w:p w:rsidR="00000000" w:rsidDel="00000000" w:rsidP="00000000" w:rsidRDefault="00000000" w:rsidRPr="00000000" w14:paraId="0000003C">
      <w:pPr>
        <w:tabs>
          <w:tab w:val="left" w:leader="none" w:pos="720"/>
          <w:tab w:val="left" w:leader="none" w:pos="900"/>
          <w:tab w:val="left" w:leader="none" w:pos="9260"/>
        </w:tabs>
        <w:spacing w:after="60" w:before="60" w:line="240" w:lineRule="auto"/>
        <w:ind w:firstLine="0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mTOR: mammalian target of rapamycin protein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480" w:lineRule="auto"/>
        <w:ind w:firstLine="0"/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480" w:lineRule="auto"/>
        <w:ind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83330"/>
          <w:sz w:val="24"/>
          <w:szCs w:val="24"/>
          <w:highlight w:val="white"/>
          <w:rtl w:val="0"/>
        </w:rPr>
        <w:t xml:space="preserve">Figure S1 -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Clinical course of patients with cardiac involvement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3743325</wp:posOffset>
            </wp:positionH>
            <wp:positionV relativeFrom="paragraph">
              <wp:posOffset>328612</wp:posOffset>
            </wp:positionV>
            <wp:extent cx="1602581" cy="928675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2581" cy="928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7">
      <w:pPr>
        <w:tabs>
          <w:tab w:val="left" w:leader="none" w:pos="720"/>
          <w:tab w:val="left" w:leader="none" w:pos="900"/>
          <w:tab w:val="left" w:leader="none" w:pos="9260"/>
        </w:tabs>
        <w:spacing w:line="360" w:lineRule="auto"/>
        <w:ind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bvjvssz8dnn3" w:id="2"/>
      <w:bookmarkEnd w:id="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574378" cy="2473809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4378" cy="24738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  <w:ind w:firstLine="709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4.0" w:type="dxa"/>
        <w:left w:w="24.0" w:type="dxa"/>
        <w:bottom w:w="24.0" w:type="dxa"/>
        <w:right w:w="24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4.0" w:type="dxa"/>
        <w:left w:w="24.0" w:type="dxa"/>
        <w:bottom w:w="24.0" w:type="dxa"/>
        <w:right w:w="24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24.0" w:type="dxa"/>
        <w:left w:w="24.0" w:type="dxa"/>
        <w:bottom w:w="24.0" w:type="dxa"/>
        <w:right w:w="24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4.0" w:type="dxa"/>
        <w:left w:w="24.0" w:type="dxa"/>
        <w:bottom w:w="24.0" w:type="dxa"/>
        <w:right w:w="24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C7bVRe97S+2xvnh5Xgunzwe1Vw==">CgMxLjAyDmgucThsYng2OWdmb3JlMg5oLmhteXZ2NDdpdHZxbzIOaC5idmp2c3N6OGRubjM4AHIhMWNsWFRkMzVlUW15V2luaFlHNVp3WlpvS3gwaDIxang0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