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6E4" w:rsidRPr="0072137C" w:rsidRDefault="00CA56E4" w:rsidP="00CA56E4">
      <w:pPr>
        <w:pStyle w:val="Heading3"/>
        <w:jc w:val="both"/>
        <w:rPr>
          <w:rFonts w:ascii="Arial" w:eastAsia="Arial" w:hAnsi="Arial" w:cs="Arial"/>
          <w:color w:val="auto"/>
        </w:rPr>
      </w:pPr>
      <w:r>
        <w:rPr>
          <w:rFonts w:ascii="Arial" w:eastAsia="Arial" w:hAnsi="Arial" w:cs="Arial"/>
          <w:color w:val="000000"/>
        </w:rPr>
        <w:t xml:space="preserve">Additional file 2: </w:t>
      </w:r>
      <w:r w:rsidRPr="0072137C">
        <w:rPr>
          <w:rFonts w:ascii="Arial" w:hAnsi="Arial" w:cs="Arial"/>
          <w:bCs/>
          <w:color w:val="auto"/>
        </w:rPr>
        <w:t>Pairwise comparisons of QOLEB</w:t>
      </w:r>
      <w:r>
        <w:rPr>
          <w:rFonts w:ascii="Arial" w:hAnsi="Arial" w:cs="Arial"/>
          <w:bCs/>
          <w:color w:val="auto"/>
          <w:vertAlign w:val="superscript"/>
        </w:rPr>
        <w:t>1</w:t>
      </w:r>
      <w:r w:rsidRPr="0072137C">
        <w:rPr>
          <w:rFonts w:ascii="Arial" w:hAnsi="Arial" w:cs="Arial"/>
          <w:bCs/>
          <w:color w:val="auto"/>
        </w:rPr>
        <w:t xml:space="preserve"> scores between RDEB subtypes</w:t>
      </w:r>
      <w:r>
        <w:rPr>
          <w:rFonts w:ascii="Arial" w:hAnsi="Arial" w:cs="Arial"/>
          <w:bCs/>
          <w:color w:val="auto"/>
        </w:rPr>
        <w:t xml:space="preserve"> at index review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429"/>
        <w:gridCol w:w="1281"/>
        <w:gridCol w:w="1335"/>
        <w:gridCol w:w="1445"/>
        <w:gridCol w:w="1205"/>
        <w:gridCol w:w="805"/>
      </w:tblGrid>
      <w:tr w:rsidR="00CA56E4" w:rsidTr="008D3B45">
        <w:trPr>
          <w:cantSplit/>
          <w:tblHeader/>
          <w:jc w:val="center"/>
        </w:trPr>
        <w:tc>
          <w:tcPr>
            <w:tcW w:w="0" w:type="auto"/>
            <w:gridSpan w:val="3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QOLEB score</w:t>
            </w:r>
          </w:p>
        </w:tc>
      </w:tr>
      <w:tr w:rsidR="00CA56E4" w:rsidTr="008D3B45">
        <w:trPr>
          <w:cantSplit/>
          <w:tblHeader/>
          <w:jc w:val="center"/>
        </w:trPr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P-values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Group 1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Group 2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Functioning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Emotions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Total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Unadjusted</w:t>
            </w: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0" w:type="auto"/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0.001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0" w:type="auto"/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0.007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0.802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0.533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0.680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0" w:type="auto"/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0.055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0.216</w:t>
            </w:r>
          </w:p>
        </w:tc>
        <w:tc>
          <w:tcPr>
            <w:tcW w:w="0" w:type="auto"/>
            <w:tcBorders>
              <w:bottom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0" w:type="auto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0.121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Adjusted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top w:val="single" w:sz="8" w:space="0" w:color="666666"/>
              <w:left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0.410</w:t>
            </w: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0.008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0" w:type="auto"/>
            <w:shd w:val="clear" w:color="auto" w:fill="90EE9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0.020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RDEB-S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0.881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0.212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0.802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0.750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0.631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0.802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RDEB-I</w:t>
            </w:r>
          </w:p>
        </w:tc>
        <w:tc>
          <w:tcPr>
            <w:tcW w:w="0" w:type="auto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0.210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0.110</w:t>
            </w:r>
          </w:p>
        </w:tc>
      </w:tr>
      <w:tr w:rsidR="00CA56E4" w:rsidTr="008D3B45">
        <w:trPr>
          <w:cantSplit/>
          <w:jc w:val="center"/>
        </w:trPr>
        <w:tc>
          <w:tcPr>
            <w:tcW w:w="0" w:type="auto"/>
            <w:tcBorders>
              <w:bottom w:val="single" w:sz="16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0" w:type="auto"/>
            <w:tcBorders>
              <w:bottom w:val="single" w:sz="16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RDEB-</w:t>
            </w:r>
            <w:proofErr w:type="spellStart"/>
            <w:r w:rsidRPr="0072137C">
              <w:rPr>
                <w:color w:val="000000"/>
                <w:sz w:val="24"/>
                <w:szCs w:val="24"/>
              </w:rPr>
              <w:t>Pru</w:t>
            </w:r>
            <w:proofErr w:type="spellEnd"/>
          </w:p>
        </w:tc>
        <w:tc>
          <w:tcPr>
            <w:tcW w:w="0" w:type="auto"/>
            <w:tcBorders>
              <w:left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0.324</w:t>
            </w:r>
          </w:p>
        </w:tc>
        <w:tc>
          <w:tcPr>
            <w:tcW w:w="0" w:type="auto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0" w:type="auto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56E4" w:rsidRPr="0072137C" w:rsidRDefault="00CA56E4" w:rsidP="008D3B45">
            <w:pPr>
              <w:keepNext/>
              <w:spacing w:before="100" w:after="100" w:line="259" w:lineRule="auto"/>
              <w:ind w:left="102" w:right="102"/>
              <w:rPr>
                <w:sz w:val="24"/>
                <w:szCs w:val="24"/>
              </w:rPr>
            </w:pPr>
            <w:r w:rsidRPr="0072137C">
              <w:rPr>
                <w:color w:val="000000"/>
                <w:sz w:val="24"/>
                <w:szCs w:val="24"/>
              </w:rPr>
              <w:t>0.182</w:t>
            </w:r>
          </w:p>
        </w:tc>
      </w:tr>
    </w:tbl>
    <w:p w:rsidR="00CA56E4" w:rsidRDefault="00CA56E4" w:rsidP="00CA56E4">
      <w:pPr>
        <w:spacing w:after="0" w:line="276" w:lineRule="auto"/>
        <w:rPr>
          <w:i/>
          <w:sz w:val="20"/>
        </w:rPr>
      </w:pPr>
      <w:r w:rsidRPr="0072137C">
        <w:rPr>
          <w:i/>
          <w:sz w:val="20"/>
        </w:rPr>
        <w:t xml:space="preserve">Results are presented as unadjusted and adjusted p-values. </w:t>
      </w:r>
    </w:p>
    <w:p w:rsidR="00CA56E4" w:rsidRDefault="00CA56E4" w:rsidP="00CA56E4">
      <w:pPr>
        <w:spacing w:after="0" w:line="276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S=RDEB severe (RDEB-S), I=intermediate (RDEB-I), 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inversa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 xml:space="preserve">), 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pruriginosa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)</w:t>
      </w:r>
    </w:p>
    <w:p w:rsidR="00CA56E4" w:rsidRDefault="00CA56E4" w:rsidP="00CA56E4">
      <w:pPr>
        <w:spacing w:after="0" w:line="276" w:lineRule="auto"/>
        <w:rPr>
          <w:i/>
          <w:sz w:val="20"/>
        </w:rPr>
      </w:pPr>
      <w:r w:rsidRPr="0072137C">
        <w:rPr>
          <w:i/>
          <w:sz w:val="20"/>
        </w:rPr>
        <w:t xml:space="preserve">Outcomes were compared using the Mann-Whitney U test. P-values were adjusted using the </w:t>
      </w:r>
      <w:proofErr w:type="spellStart"/>
      <w:r w:rsidRPr="0072137C">
        <w:rPr>
          <w:i/>
          <w:sz w:val="20"/>
        </w:rPr>
        <w:t>Benjamini</w:t>
      </w:r>
      <w:proofErr w:type="spellEnd"/>
      <w:r w:rsidRPr="0072137C">
        <w:rPr>
          <w:i/>
          <w:sz w:val="20"/>
        </w:rPr>
        <w:t>-Hochberg procedure. P-values that are significant (p&lt;0.05) or approaching significance (p~0.05) are indicated in green and blue, respectively.</w:t>
      </w:r>
    </w:p>
    <w:p w:rsidR="004C19B9" w:rsidRDefault="00CA56E4" w:rsidP="00CA56E4">
      <w:r>
        <w:rPr>
          <w:i/>
          <w:sz w:val="20"/>
          <w:szCs w:val="20"/>
          <w:vertAlign w:val="superscript"/>
        </w:rPr>
        <w:t xml:space="preserve">1 </w:t>
      </w:r>
      <w:r>
        <w:rPr>
          <w:i/>
          <w:sz w:val="20"/>
          <w:szCs w:val="20"/>
        </w:rPr>
        <w:t>Quality of Life in Epidermolysis Bullosa (QOLEB)</w:t>
      </w:r>
      <w:bookmarkStart w:id="0" w:name="_GoBack"/>
      <w:bookmarkEnd w:id="0"/>
    </w:p>
    <w:sectPr w:rsidR="004C19B9" w:rsidSect="00CA56E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E4"/>
    <w:rsid w:val="004C19B9"/>
    <w:rsid w:val="00CA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1BFA48-9456-4281-B942-7BFCABEB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6E4"/>
    <w:pPr>
      <w:spacing w:after="120" w:line="360" w:lineRule="auto"/>
    </w:pPr>
    <w:rPr>
      <w:rFonts w:ascii="Arial" w:eastAsia="Arial" w:hAnsi="Arial" w:cs="Arial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56E4"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56E4"/>
    <w:rPr>
      <w:rFonts w:ascii="Calibri" w:eastAsia="Calibri" w:hAnsi="Calibri" w:cs="Calibri"/>
      <w:color w:val="1E4D78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>Guy's and St. Thomas' NHS Foundation Trust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Jeffs Eunice</dc:creator>
  <cp:keywords/>
  <dc:description/>
  <cp:lastModifiedBy>Jeffs Eunice</cp:lastModifiedBy>
  <cp:revision>1</cp:revision>
  <dcterms:created xsi:type="dcterms:W3CDTF">2025-09-02T20:48:00Z</dcterms:created>
  <dcterms:modified xsi:type="dcterms:W3CDTF">2025-09-02T20:49:00Z</dcterms:modified>
</cp:coreProperties>
</file>