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EAF18" w14:textId="499CABC5" w:rsidR="001C26EA" w:rsidRPr="00A707C7" w:rsidRDefault="001C26EA" w:rsidP="001C26EA">
      <w:pPr>
        <w:rPr>
          <w:b/>
          <w:bCs/>
        </w:rPr>
      </w:pPr>
      <w:r>
        <w:rPr>
          <w:b/>
          <w:bCs/>
        </w:rPr>
        <w:t>Additional File 6</w:t>
      </w:r>
      <w:r w:rsidRPr="00A707C7">
        <w:rPr>
          <w:b/>
          <w:bCs/>
        </w:rPr>
        <w:t>.</w:t>
      </w:r>
      <w:r>
        <w:rPr>
          <w:b/>
          <w:bCs/>
        </w:rPr>
        <w:t xml:space="preserve"> </w:t>
      </w:r>
      <w:r w:rsidRPr="00BE74E2">
        <w:t xml:space="preserve">Factors contributing to changes in metabolic health </w:t>
      </w:r>
      <w:r w:rsidR="00C41A23">
        <w:t>across time</w:t>
      </w:r>
      <w:r w:rsidR="00706436">
        <w:t xml:space="preserve"> periods</w:t>
      </w: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3823"/>
        <w:gridCol w:w="1506"/>
        <w:gridCol w:w="1187"/>
        <w:gridCol w:w="1559"/>
        <w:gridCol w:w="1559"/>
        <w:gridCol w:w="1560"/>
        <w:gridCol w:w="1275"/>
        <w:gridCol w:w="1134"/>
        <w:gridCol w:w="1785"/>
      </w:tblGrid>
      <w:tr w:rsidR="001C26EA" w:rsidRPr="008238C1" w14:paraId="571DDF48" w14:textId="77777777" w:rsidTr="00052C2A">
        <w:trPr>
          <w:trHeight w:val="671"/>
        </w:trPr>
        <w:tc>
          <w:tcPr>
            <w:tcW w:w="3823" w:type="dxa"/>
            <w:vMerge w:val="restart"/>
            <w:vAlign w:val="center"/>
          </w:tcPr>
          <w:p w14:paraId="72CFF3DF" w14:textId="77777777" w:rsidR="001C26EA" w:rsidRPr="008238C1" w:rsidRDefault="001C26EA" w:rsidP="00052C2A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Type</w:t>
            </w:r>
            <w:proofErr w:type="spellEnd"/>
            <w:r w:rsidRPr="008238C1">
              <w:rPr>
                <w:b/>
                <w:bCs/>
                <w:sz w:val="18"/>
                <w:szCs w:val="18"/>
                <w:lang w:val="it-IT"/>
              </w:rPr>
              <w:t xml:space="preserve"> of </w:t>
            </w:r>
            <w:proofErr w:type="spellStart"/>
            <w:r w:rsidRPr="008238C1">
              <w:rPr>
                <w:b/>
                <w:bCs/>
                <w:sz w:val="18"/>
                <w:szCs w:val="18"/>
                <w:lang w:val="it-IT"/>
              </w:rPr>
              <w:t>ichthyosis</w:t>
            </w:r>
            <w:proofErr w:type="spellEnd"/>
          </w:p>
        </w:tc>
        <w:tc>
          <w:tcPr>
            <w:tcW w:w="1506" w:type="dxa"/>
            <w:vMerge w:val="restart"/>
            <w:vAlign w:val="center"/>
          </w:tcPr>
          <w:p w14:paraId="2ECBAF25" w14:textId="77777777" w:rsidR="001C26EA" w:rsidRPr="008238C1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participants reporting changing metabolic condition</w:t>
            </w:r>
          </w:p>
        </w:tc>
        <w:tc>
          <w:tcPr>
            <w:tcW w:w="10059" w:type="dxa"/>
            <w:gridSpan w:val="7"/>
            <w:tcBorders>
              <w:bottom w:val="single" w:sz="4" w:space="0" w:color="auto"/>
            </w:tcBorders>
            <w:vAlign w:val="center"/>
          </w:tcPr>
          <w:p w14:paraId="570ADF1A" w14:textId="6CB688DE" w:rsidR="001C26EA" w:rsidRPr="008238C1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(%) of participants reporting factor as contributory towards changing metabolic condition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customMarkFollows="1" w:id="1"/>
              <w:t>§</w:t>
            </w:r>
          </w:p>
        </w:tc>
      </w:tr>
      <w:tr w:rsidR="001C26EA" w:rsidRPr="008238C1" w14:paraId="244092E6" w14:textId="77777777" w:rsidTr="00052C2A">
        <w:trPr>
          <w:trHeight w:val="991"/>
        </w:trPr>
        <w:tc>
          <w:tcPr>
            <w:tcW w:w="3823" w:type="dxa"/>
            <w:vMerge/>
            <w:vAlign w:val="center"/>
          </w:tcPr>
          <w:p w14:paraId="300BAA25" w14:textId="77777777" w:rsidR="001C26EA" w:rsidRPr="00956439" w:rsidRDefault="001C26EA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  <w:vMerge/>
            <w:vAlign w:val="center"/>
          </w:tcPr>
          <w:p w14:paraId="4A8B10E0" w14:textId="77777777" w:rsidR="001C26EA" w:rsidRPr="00956439" w:rsidRDefault="001C26EA" w:rsidP="00052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54134D7F" w14:textId="77777777" w:rsidR="001C26EA" w:rsidRPr="0095643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self-care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390DF1A" w14:textId="77777777" w:rsidR="001C26EA" w:rsidRPr="0095643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personal circumstances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7CB9361" w14:textId="77777777" w:rsidR="001C26EA" w:rsidRPr="0095643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living conditions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7E1CD27" w14:textId="77777777" w:rsidR="001C26EA" w:rsidRPr="0095643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 in medication or treatments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C880DA2" w14:textId="77777777" w:rsidR="001C26EA" w:rsidRPr="0095643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obvious cause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7FF019" w14:textId="77777777" w:rsidR="001C26EA" w:rsidRPr="0095643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Changes in medical or scientific advice</w:t>
            </w:r>
          </w:p>
        </w:tc>
        <w:tc>
          <w:tcPr>
            <w:tcW w:w="1785" w:type="dxa"/>
            <w:vAlign w:val="center"/>
          </w:tcPr>
          <w:p w14:paraId="692AA674" w14:textId="77777777" w:rsidR="001C26EA" w:rsidRPr="001B36FF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r w:rsidRPr="001B36FF">
              <w:rPr>
                <w:b/>
                <w:bCs/>
                <w:sz w:val="18"/>
                <w:szCs w:val="18"/>
              </w:rPr>
              <w:t>Other</w:t>
            </w:r>
          </w:p>
        </w:tc>
      </w:tr>
      <w:tr w:rsidR="001C26EA" w:rsidRPr="008238C1" w14:paraId="2860A9BD" w14:textId="77777777" w:rsidTr="00052C2A">
        <w:trPr>
          <w:trHeight w:val="694"/>
        </w:trPr>
        <w:tc>
          <w:tcPr>
            <w:tcW w:w="3823" w:type="dxa"/>
            <w:vAlign w:val="center"/>
          </w:tcPr>
          <w:p w14:paraId="5C504477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All types combined</w:t>
            </w:r>
          </w:p>
        </w:tc>
        <w:tc>
          <w:tcPr>
            <w:tcW w:w="1506" w:type="dxa"/>
            <w:vAlign w:val="center"/>
          </w:tcPr>
          <w:p w14:paraId="0E5F6AF1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1187" w:type="dxa"/>
            <w:vAlign w:val="center"/>
          </w:tcPr>
          <w:p w14:paraId="7D964DA1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(12.9%)</w:t>
            </w:r>
          </w:p>
        </w:tc>
        <w:tc>
          <w:tcPr>
            <w:tcW w:w="1559" w:type="dxa"/>
            <w:vAlign w:val="center"/>
          </w:tcPr>
          <w:p w14:paraId="0A2D0E88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(21.6%)</w:t>
            </w:r>
          </w:p>
        </w:tc>
        <w:tc>
          <w:tcPr>
            <w:tcW w:w="1559" w:type="dxa"/>
            <w:vAlign w:val="center"/>
          </w:tcPr>
          <w:p w14:paraId="7D932063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(4.3%)</w:t>
            </w:r>
          </w:p>
        </w:tc>
        <w:tc>
          <w:tcPr>
            <w:tcW w:w="1560" w:type="dxa"/>
            <w:vAlign w:val="center"/>
          </w:tcPr>
          <w:p w14:paraId="104E83E2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(19.8%)</w:t>
            </w:r>
          </w:p>
        </w:tc>
        <w:tc>
          <w:tcPr>
            <w:tcW w:w="1275" w:type="dxa"/>
            <w:vAlign w:val="center"/>
          </w:tcPr>
          <w:p w14:paraId="2F2629C7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(33.6%)</w:t>
            </w:r>
          </w:p>
        </w:tc>
        <w:tc>
          <w:tcPr>
            <w:tcW w:w="1134" w:type="dxa"/>
            <w:vAlign w:val="center"/>
          </w:tcPr>
          <w:p w14:paraId="661D855E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(8.6%)</w:t>
            </w:r>
          </w:p>
        </w:tc>
        <w:tc>
          <w:tcPr>
            <w:tcW w:w="1785" w:type="dxa"/>
            <w:vAlign w:val="center"/>
          </w:tcPr>
          <w:p w14:paraId="15924B55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(29.3%)</w:t>
            </w:r>
          </w:p>
        </w:tc>
      </w:tr>
      <w:tr w:rsidR="001C26EA" w:rsidRPr="008238C1" w14:paraId="61BB84B3" w14:textId="77777777" w:rsidTr="00052C2A">
        <w:trPr>
          <w:trHeight w:val="703"/>
        </w:trPr>
        <w:tc>
          <w:tcPr>
            <w:tcW w:w="3823" w:type="dxa"/>
            <w:vAlign w:val="center"/>
          </w:tcPr>
          <w:p w14:paraId="1F5C716F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Ichthyosis vulgaris</w:t>
            </w:r>
          </w:p>
        </w:tc>
        <w:tc>
          <w:tcPr>
            <w:tcW w:w="1506" w:type="dxa"/>
            <w:vAlign w:val="center"/>
          </w:tcPr>
          <w:p w14:paraId="38786486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187" w:type="dxa"/>
            <w:vAlign w:val="center"/>
          </w:tcPr>
          <w:p w14:paraId="7DB5412B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(16.3%)</w:t>
            </w:r>
          </w:p>
        </w:tc>
        <w:tc>
          <w:tcPr>
            <w:tcW w:w="1559" w:type="dxa"/>
            <w:vAlign w:val="center"/>
          </w:tcPr>
          <w:p w14:paraId="2D91FC51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(16.3%)</w:t>
            </w:r>
          </w:p>
        </w:tc>
        <w:tc>
          <w:tcPr>
            <w:tcW w:w="1559" w:type="dxa"/>
            <w:vAlign w:val="center"/>
          </w:tcPr>
          <w:p w14:paraId="54898644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60" w:type="dxa"/>
            <w:vAlign w:val="center"/>
          </w:tcPr>
          <w:p w14:paraId="3AF0CC8C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(16.3%)</w:t>
            </w:r>
          </w:p>
        </w:tc>
        <w:tc>
          <w:tcPr>
            <w:tcW w:w="1275" w:type="dxa"/>
            <w:vAlign w:val="center"/>
          </w:tcPr>
          <w:p w14:paraId="42E3FBA3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(18.6%)</w:t>
            </w:r>
          </w:p>
        </w:tc>
        <w:tc>
          <w:tcPr>
            <w:tcW w:w="1134" w:type="dxa"/>
            <w:vAlign w:val="center"/>
          </w:tcPr>
          <w:p w14:paraId="3F3981D1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(16.3%)</w:t>
            </w:r>
          </w:p>
        </w:tc>
        <w:tc>
          <w:tcPr>
            <w:tcW w:w="1785" w:type="dxa"/>
            <w:vAlign w:val="center"/>
          </w:tcPr>
          <w:p w14:paraId="1C361475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(39.5%)</w:t>
            </w:r>
          </w:p>
        </w:tc>
      </w:tr>
      <w:tr w:rsidR="001C26EA" w:rsidRPr="008238C1" w14:paraId="6E163D51" w14:textId="77777777" w:rsidTr="00052C2A">
        <w:trPr>
          <w:trHeight w:val="1352"/>
        </w:trPr>
        <w:tc>
          <w:tcPr>
            <w:tcW w:w="3823" w:type="dxa"/>
            <w:vAlign w:val="center"/>
          </w:tcPr>
          <w:p w14:paraId="71DEA9B5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 xml:space="preserve">Autosomal </w:t>
            </w:r>
            <w:r>
              <w:rPr>
                <w:sz w:val="18"/>
                <w:szCs w:val="18"/>
              </w:rPr>
              <w:t>R</w:t>
            </w:r>
            <w:r w:rsidRPr="008238C1">
              <w:rPr>
                <w:sz w:val="18"/>
                <w:szCs w:val="18"/>
              </w:rPr>
              <w:t xml:space="preserve">ecessive </w:t>
            </w:r>
            <w:r>
              <w:rPr>
                <w:sz w:val="18"/>
                <w:szCs w:val="18"/>
              </w:rPr>
              <w:t>C</w:t>
            </w:r>
            <w:r w:rsidRPr="008238C1">
              <w:rPr>
                <w:sz w:val="18"/>
                <w:szCs w:val="18"/>
              </w:rPr>
              <w:t xml:space="preserve">ongenital </w:t>
            </w:r>
            <w:r>
              <w:rPr>
                <w:sz w:val="18"/>
                <w:szCs w:val="18"/>
              </w:rPr>
              <w:t>I</w:t>
            </w:r>
            <w:r w:rsidRPr="008238C1">
              <w:rPr>
                <w:sz w:val="18"/>
                <w:szCs w:val="18"/>
              </w:rPr>
              <w:t>chthyosis (ARCI)</w:t>
            </w:r>
          </w:p>
        </w:tc>
        <w:tc>
          <w:tcPr>
            <w:tcW w:w="1506" w:type="dxa"/>
            <w:vAlign w:val="center"/>
          </w:tcPr>
          <w:p w14:paraId="06216710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187" w:type="dxa"/>
            <w:vAlign w:val="center"/>
          </w:tcPr>
          <w:p w14:paraId="4A7B9047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(11.8%)</w:t>
            </w:r>
          </w:p>
        </w:tc>
        <w:tc>
          <w:tcPr>
            <w:tcW w:w="1559" w:type="dxa"/>
            <w:vAlign w:val="center"/>
          </w:tcPr>
          <w:p w14:paraId="015AC7DE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(35.3%)</w:t>
            </w:r>
          </w:p>
        </w:tc>
        <w:tc>
          <w:tcPr>
            <w:tcW w:w="1559" w:type="dxa"/>
            <w:vAlign w:val="center"/>
          </w:tcPr>
          <w:p w14:paraId="12B23B7C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(8.8%)</w:t>
            </w:r>
          </w:p>
        </w:tc>
        <w:tc>
          <w:tcPr>
            <w:tcW w:w="1560" w:type="dxa"/>
            <w:vAlign w:val="center"/>
          </w:tcPr>
          <w:p w14:paraId="5AA0C17D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(23.5%)</w:t>
            </w:r>
          </w:p>
        </w:tc>
        <w:tc>
          <w:tcPr>
            <w:tcW w:w="1275" w:type="dxa"/>
            <w:vAlign w:val="center"/>
          </w:tcPr>
          <w:p w14:paraId="642BBBA7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(38.2%)</w:t>
            </w:r>
          </w:p>
        </w:tc>
        <w:tc>
          <w:tcPr>
            <w:tcW w:w="1134" w:type="dxa"/>
            <w:vAlign w:val="center"/>
          </w:tcPr>
          <w:p w14:paraId="7CCAD2BA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(8.8%)</w:t>
            </w:r>
          </w:p>
        </w:tc>
        <w:tc>
          <w:tcPr>
            <w:tcW w:w="1785" w:type="dxa"/>
            <w:vAlign w:val="center"/>
          </w:tcPr>
          <w:p w14:paraId="0C031A57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(23.5%)</w:t>
            </w:r>
          </w:p>
        </w:tc>
      </w:tr>
      <w:tr w:rsidR="001C26EA" w:rsidRPr="008238C1" w14:paraId="7E8E6C65" w14:textId="77777777" w:rsidTr="00052C2A">
        <w:trPr>
          <w:trHeight w:val="761"/>
        </w:trPr>
        <w:tc>
          <w:tcPr>
            <w:tcW w:w="3823" w:type="dxa"/>
            <w:vAlign w:val="center"/>
          </w:tcPr>
          <w:p w14:paraId="663B31BA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X-linked ichthyosis</w:t>
            </w:r>
          </w:p>
        </w:tc>
        <w:tc>
          <w:tcPr>
            <w:tcW w:w="1506" w:type="dxa"/>
            <w:vAlign w:val="center"/>
          </w:tcPr>
          <w:p w14:paraId="07EF9C98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87" w:type="dxa"/>
            <w:vAlign w:val="center"/>
          </w:tcPr>
          <w:p w14:paraId="0E57158A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(5.0%)</w:t>
            </w:r>
          </w:p>
        </w:tc>
        <w:tc>
          <w:tcPr>
            <w:tcW w:w="1559" w:type="dxa"/>
            <w:vAlign w:val="center"/>
          </w:tcPr>
          <w:p w14:paraId="3DE209F4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(15.0%)</w:t>
            </w:r>
          </w:p>
        </w:tc>
        <w:tc>
          <w:tcPr>
            <w:tcW w:w="1559" w:type="dxa"/>
            <w:vAlign w:val="center"/>
          </w:tcPr>
          <w:p w14:paraId="23A49FAC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(5.0%)</w:t>
            </w:r>
          </w:p>
        </w:tc>
        <w:tc>
          <w:tcPr>
            <w:tcW w:w="1560" w:type="dxa"/>
            <w:vAlign w:val="center"/>
          </w:tcPr>
          <w:p w14:paraId="7D8E4EA4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(10.0%)</w:t>
            </w:r>
          </w:p>
        </w:tc>
        <w:tc>
          <w:tcPr>
            <w:tcW w:w="1275" w:type="dxa"/>
            <w:vAlign w:val="center"/>
          </w:tcPr>
          <w:p w14:paraId="576BDC84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(40.0%)</w:t>
            </w:r>
          </w:p>
        </w:tc>
        <w:tc>
          <w:tcPr>
            <w:tcW w:w="1134" w:type="dxa"/>
            <w:vAlign w:val="center"/>
          </w:tcPr>
          <w:p w14:paraId="5FF7A65E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3AB64C00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(35.0%)</w:t>
            </w:r>
          </w:p>
        </w:tc>
      </w:tr>
      <w:tr w:rsidR="001C26EA" w:rsidRPr="008238C1" w14:paraId="5C4EE63F" w14:textId="77777777" w:rsidTr="00052C2A">
        <w:trPr>
          <w:trHeight w:val="687"/>
        </w:trPr>
        <w:tc>
          <w:tcPr>
            <w:tcW w:w="3823" w:type="dxa"/>
            <w:vAlign w:val="center"/>
          </w:tcPr>
          <w:p w14:paraId="38E15B13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proofErr w:type="spellStart"/>
            <w:r w:rsidRPr="008238C1">
              <w:rPr>
                <w:sz w:val="18"/>
                <w:szCs w:val="18"/>
              </w:rPr>
              <w:t>Epidermolytic</w:t>
            </w:r>
            <w:proofErr w:type="spellEnd"/>
            <w:r w:rsidRPr="008238C1">
              <w:rPr>
                <w:sz w:val="18"/>
                <w:szCs w:val="18"/>
              </w:rPr>
              <w:t xml:space="preserve"> ichthyosis</w:t>
            </w:r>
          </w:p>
        </w:tc>
        <w:tc>
          <w:tcPr>
            <w:tcW w:w="1506" w:type="dxa"/>
            <w:vAlign w:val="center"/>
          </w:tcPr>
          <w:p w14:paraId="386FAF76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87" w:type="dxa"/>
            <w:vAlign w:val="center"/>
          </w:tcPr>
          <w:p w14:paraId="2FAB0741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(15.4%)</w:t>
            </w:r>
          </w:p>
        </w:tc>
        <w:tc>
          <w:tcPr>
            <w:tcW w:w="1559" w:type="dxa"/>
            <w:vAlign w:val="center"/>
          </w:tcPr>
          <w:p w14:paraId="4F4203BB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(15.4%)</w:t>
            </w:r>
          </w:p>
        </w:tc>
        <w:tc>
          <w:tcPr>
            <w:tcW w:w="1559" w:type="dxa"/>
            <w:vAlign w:val="center"/>
          </w:tcPr>
          <w:p w14:paraId="329602D6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(7.7%)</w:t>
            </w:r>
          </w:p>
        </w:tc>
        <w:tc>
          <w:tcPr>
            <w:tcW w:w="1560" w:type="dxa"/>
            <w:vAlign w:val="center"/>
          </w:tcPr>
          <w:p w14:paraId="3FF7A6C8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(38.5%)</w:t>
            </w:r>
          </w:p>
        </w:tc>
        <w:tc>
          <w:tcPr>
            <w:tcW w:w="1275" w:type="dxa"/>
            <w:vAlign w:val="center"/>
          </w:tcPr>
          <w:p w14:paraId="1AC614BC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(46.2%)</w:t>
            </w:r>
          </w:p>
        </w:tc>
        <w:tc>
          <w:tcPr>
            <w:tcW w:w="1134" w:type="dxa"/>
            <w:vAlign w:val="center"/>
          </w:tcPr>
          <w:p w14:paraId="3C162E1D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39F3E2C1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(7.7%)</w:t>
            </w:r>
          </w:p>
        </w:tc>
      </w:tr>
      <w:tr w:rsidR="001C26EA" w:rsidRPr="008238C1" w14:paraId="594DD660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59E3DA73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 w:rsidRPr="008238C1">
              <w:rPr>
                <w:sz w:val="18"/>
                <w:szCs w:val="18"/>
              </w:rPr>
              <w:t>Netherton syndrome</w:t>
            </w:r>
          </w:p>
        </w:tc>
        <w:tc>
          <w:tcPr>
            <w:tcW w:w="1506" w:type="dxa"/>
            <w:vAlign w:val="center"/>
          </w:tcPr>
          <w:p w14:paraId="15404645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87" w:type="dxa"/>
            <w:vAlign w:val="center"/>
          </w:tcPr>
          <w:p w14:paraId="5DD48C66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  <w:tc>
          <w:tcPr>
            <w:tcW w:w="1559" w:type="dxa"/>
            <w:vAlign w:val="center"/>
          </w:tcPr>
          <w:p w14:paraId="3E1AFBE6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  <w:tc>
          <w:tcPr>
            <w:tcW w:w="1559" w:type="dxa"/>
            <w:vAlign w:val="center"/>
          </w:tcPr>
          <w:p w14:paraId="2C3E6E0A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560" w:type="dxa"/>
            <w:vAlign w:val="center"/>
          </w:tcPr>
          <w:p w14:paraId="7210340C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  <w:tc>
          <w:tcPr>
            <w:tcW w:w="1275" w:type="dxa"/>
            <w:vAlign w:val="center"/>
          </w:tcPr>
          <w:p w14:paraId="72A995F6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(66.7%)</w:t>
            </w:r>
          </w:p>
        </w:tc>
        <w:tc>
          <w:tcPr>
            <w:tcW w:w="1134" w:type="dxa"/>
            <w:vAlign w:val="center"/>
          </w:tcPr>
          <w:p w14:paraId="6EEAE3E4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(0.0%)</w:t>
            </w:r>
          </w:p>
        </w:tc>
        <w:tc>
          <w:tcPr>
            <w:tcW w:w="1785" w:type="dxa"/>
            <w:vAlign w:val="center"/>
          </w:tcPr>
          <w:p w14:paraId="4435A6D3" w14:textId="77777777" w:rsidR="001C26EA" w:rsidRPr="008238C1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(16.7%)</w:t>
            </w:r>
          </w:p>
        </w:tc>
      </w:tr>
      <w:tr w:rsidR="001C26EA" w:rsidRPr="008238C1" w14:paraId="344903D2" w14:textId="77777777" w:rsidTr="00052C2A">
        <w:trPr>
          <w:trHeight w:val="697"/>
        </w:trPr>
        <w:tc>
          <w:tcPr>
            <w:tcW w:w="3823" w:type="dxa"/>
            <w:vAlign w:val="center"/>
          </w:tcPr>
          <w:p w14:paraId="1A260608" w14:textId="77777777" w:rsidR="001C26EA" w:rsidRPr="00DD79F9" w:rsidRDefault="001C26EA" w:rsidP="00052C2A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9493937"/>
            <w:r w:rsidRPr="00DD79F9">
              <w:rPr>
                <w:b/>
                <w:bCs/>
                <w:sz w:val="18"/>
                <w:szCs w:val="18"/>
              </w:rPr>
              <w:t>Statistical analysis</w:t>
            </w:r>
            <w:r>
              <w:rPr>
                <w:b/>
                <w:bCs/>
                <w:sz w:val="18"/>
                <w:szCs w:val="18"/>
              </w:rPr>
              <w:t xml:space="preserve"> of between-group effects</w:t>
            </w:r>
          </w:p>
        </w:tc>
        <w:tc>
          <w:tcPr>
            <w:tcW w:w="1506" w:type="dxa"/>
            <w:vAlign w:val="center"/>
          </w:tcPr>
          <w:p w14:paraId="3FC21CA0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7" w:type="dxa"/>
            <w:vAlign w:val="center"/>
          </w:tcPr>
          <w:p w14:paraId="14D0F70D" w14:textId="77777777" w:rsidR="001C26EA" w:rsidRPr="00C201ED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[4]=1.7, p=0.79</w:t>
            </w:r>
          </w:p>
        </w:tc>
        <w:tc>
          <w:tcPr>
            <w:tcW w:w="1559" w:type="dxa"/>
            <w:vAlign w:val="center"/>
          </w:tcPr>
          <w:p w14:paraId="2FA267CB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[4]=5.4, p=0.25</w:t>
            </w:r>
          </w:p>
        </w:tc>
        <w:tc>
          <w:tcPr>
            <w:tcW w:w="1559" w:type="dxa"/>
            <w:vAlign w:val="center"/>
          </w:tcPr>
          <w:p w14:paraId="0474A7D3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[4]=4.3, p=0.37</w:t>
            </w:r>
          </w:p>
        </w:tc>
        <w:tc>
          <w:tcPr>
            <w:tcW w:w="1560" w:type="dxa"/>
            <w:vAlign w:val="center"/>
          </w:tcPr>
          <w:p w14:paraId="0A56EB4C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[4]=4.7, p=0.32</w:t>
            </w:r>
          </w:p>
        </w:tc>
        <w:tc>
          <w:tcPr>
            <w:tcW w:w="1275" w:type="dxa"/>
            <w:vAlign w:val="center"/>
          </w:tcPr>
          <w:p w14:paraId="438D8B71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[4]=8.9, p=0.06</w:t>
            </w:r>
          </w:p>
        </w:tc>
        <w:tc>
          <w:tcPr>
            <w:tcW w:w="1134" w:type="dxa"/>
            <w:vAlign w:val="center"/>
          </w:tcPr>
          <w:p w14:paraId="282B36CF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[4]=6.9, p=0.14</w:t>
            </w:r>
          </w:p>
        </w:tc>
        <w:tc>
          <w:tcPr>
            <w:tcW w:w="1785" w:type="dxa"/>
            <w:vAlign w:val="center"/>
          </w:tcPr>
          <w:p w14:paraId="1CE264FD" w14:textId="77777777" w:rsidR="001C26EA" w:rsidRDefault="001C26EA" w:rsidP="00052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63"/>
            </w:r>
            <w:r w:rsidRPr="00C201ED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[4]=6.4, p=0.17</w:t>
            </w:r>
          </w:p>
        </w:tc>
      </w:tr>
      <w:bookmarkEnd w:id="0"/>
    </w:tbl>
    <w:p w14:paraId="702454D2" w14:textId="77777777" w:rsidR="001C26EA" w:rsidRDefault="001C26EA" w:rsidP="001C26EA"/>
    <w:p w14:paraId="46C8FF40" w14:textId="77777777" w:rsidR="007C1BF2" w:rsidRDefault="007C1BF2"/>
    <w:sectPr w:rsidR="007C1BF2" w:rsidSect="001C26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4457" w14:textId="77777777" w:rsidR="009347B6" w:rsidRDefault="009347B6" w:rsidP="001C26EA">
      <w:pPr>
        <w:spacing w:after="0" w:line="240" w:lineRule="auto"/>
      </w:pPr>
      <w:r>
        <w:separator/>
      </w:r>
    </w:p>
  </w:endnote>
  <w:endnote w:type="continuationSeparator" w:id="0">
    <w:p w14:paraId="2F3CC1F9" w14:textId="77777777" w:rsidR="009347B6" w:rsidRDefault="009347B6" w:rsidP="001C2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67E3" w14:textId="77777777" w:rsidR="009347B6" w:rsidRDefault="009347B6" w:rsidP="001C26EA">
      <w:pPr>
        <w:spacing w:after="0" w:line="240" w:lineRule="auto"/>
      </w:pPr>
      <w:r>
        <w:separator/>
      </w:r>
    </w:p>
  </w:footnote>
  <w:footnote w:type="continuationSeparator" w:id="0">
    <w:p w14:paraId="4DB517AD" w14:textId="77777777" w:rsidR="009347B6" w:rsidRDefault="009347B6" w:rsidP="001C26EA">
      <w:pPr>
        <w:spacing w:after="0" w:line="240" w:lineRule="auto"/>
      </w:pPr>
      <w:r>
        <w:continuationSeparator/>
      </w:r>
    </w:p>
  </w:footnote>
  <w:footnote w:id="1">
    <w:p w14:paraId="31AD977F" w14:textId="2D78BEA9" w:rsidR="001C26EA" w:rsidRPr="001C26EA" w:rsidRDefault="001C26EA">
      <w:pPr>
        <w:pStyle w:val="FootnoteText"/>
        <w:rPr>
          <w:lang w:val="en-US"/>
        </w:rPr>
      </w:pPr>
      <w:r>
        <w:rPr>
          <w:rStyle w:val="FootnoteReference"/>
        </w:rPr>
        <w:t>§</w:t>
      </w:r>
      <w:r>
        <w:t xml:space="preserve"> </w:t>
      </w:r>
      <w:r>
        <w:rPr>
          <w:lang w:val="en-US"/>
        </w:rPr>
        <w:t xml:space="preserve">Between-group effects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using chi-squared test, with significant Bonferroni-corrected p-values indicated by asterisks.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EA"/>
    <w:rsid w:val="000078EB"/>
    <w:rsid w:val="000533B1"/>
    <w:rsid w:val="000B2F1C"/>
    <w:rsid w:val="001C26EA"/>
    <w:rsid w:val="0053504A"/>
    <w:rsid w:val="00706436"/>
    <w:rsid w:val="007C1BF2"/>
    <w:rsid w:val="009347B6"/>
    <w:rsid w:val="00C4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F87A"/>
  <w15:chartTrackingRefBased/>
  <w15:docId w15:val="{C7D8FA7E-FE5A-4E65-8C0E-A3FFC914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6EA"/>
  </w:style>
  <w:style w:type="paragraph" w:styleId="Heading1">
    <w:name w:val="heading 1"/>
    <w:basedOn w:val="Normal"/>
    <w:next w:val="Normal"/>
    <w:link w:val="Heading1Char"/>
    <w:uiPriority w:val="9"/>
    <w:qFormat/>
    <w:rsid w:val="001C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6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6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6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C26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6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2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3A44-844C-4D7D-8070-F01C8ECE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1055</Characters>
  <Application>Microsoft Office Word</Application>
  <DocSecurity>0</DocSecurity>
  <Lines>21</Lines>
  <Paragraphs>4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Davies</dc:creator>
  <cp:keywords/>
  <dc:description/>
  <cp:lastModifiedBy>William Davies</cp:lastModifiedBy>
  <cp:revision>3</cp:revision>
  <dcterms:created xsi:type="dcterms:W3CDTF">2026-02-12T09:57:00Z</dcterms:created>
  <dcterms:modified xsi:type="dcterms:W3CDTF">2026-04-06T11:38:00Z</dcterms:modified>
</cp:coreProperties>
</file>