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589F9" w14:textId="77777777" w:rsidR="000746A5" w:rsidRDefault="000746A5" w:rsidP="000746A5">
      <w:pPr>
        <w:pStyle w:val="Body"/>
        <w:widowControl w:val="0"/>
        <w:spacing w:line="276" w:lineRule="auto"/>
        <w:rPr>
          <w:rStyle w:val="None"/>
          <w:rFonts w:ascii="Roboto" w:eastAsia="Roboto" w:hAnsi="Roboto" w:cs="Roboto"/>
          <w:b/>
          <w:bCs/>
          <w:sz w:val="22"/>
          <w:szCs w:val="22"/>
        </w:rPr>
      </w:pPr>
      <w:r>
        <w:rPr>
          <w:rStyle w:val="None"/>
          <w:rFonts w:ascii="Roboto" w:eastAsia="Roboto" w:hAnsi="Roboto" w:cs="Roboto"/>
          <w:b/>
          <w:bCs/>
          <w:sz w:val="22"/>
          <w:szCs w:val="22"/>
        </w:rPr>
        <w:t>Legends supplementary material</w:t>
      </w:r>
    </w:p>
    <w:p w14:paraId="383ABC45" w14:textId="77777777" w:rsidR="000746A5" w:rsidRDefault="000746A5" w:rsidP="000746A5">
      <w:pPr>
        <w:pStyle w:val="Body"/>
        <w:widowControl w:val="0"/>
        <w:spacing w:line="276" w:lineRule="auto"/>
        <w:rPr>
          <w:rStyle w:val="None"/>
          <w:rFonts w:ascii="Roboto" w:eastAsia="Roboto" w:hAnsi="Roboto" w:cs="Roboto"/>
          <w:sz w:val="22"/>
          <w:szCs w:val="22"/>
        </w:rPr>
      </w:pPr>
    </w:p>
    <w:p w14:paraId="4055805B" w14:textId="77777777" w:rsidR="000746A5" w:rsidRDefault="000746A5" w:rsidP="000746A5">
      <w:pPr>
        <w:pStyle w:val="Body"/>
        <w:widowControl w:val="0"/>
        <w:spacing w:line="276" w:lineRule="auto"/>
        <w:rPr>
          <w:rStyle w:val="Hyperlink6"/>
        </w:rPr>
      </w:pPr>
      <w:r>
        <w:rPr>
          <w:rStyle w:val="None"/>
          <w:rFonts w:ascii="Roboto" w:eastAsia="Roboto" w:hAnsi="Roboto" w:cs="Roboto"/>
          <w:b/>
          <w:bCs/>
          <w:sz w:val="22"/>
          <w:szCs w:val="22"/>
        </w:rPr>
        <w:t>Figure S1.</w:t>
      </w:r>
      <w:r>
        <w:rPr>
          <w:rStyle w:val="Hyperlink6"/>
        </w:rPr>
        <w:t xml:space="preserve"> Frequency of secondary associated HPO term across the cohort.</w:t>
      </w:r>
    </w:p>
    <w:p w14:paraId="2B29E778" w14:textId="77777777" w:rsidR="000746A5" w:rsidRDefault="000746A5" w:rsidP="000746A5">
      <w:pPr>
        <w:pStyle w:val="Body"/>
        <w:widowControl w:val="0"/>
        <w:spacing w:line="276" w:lineRule="auto"/>
        <w:rPr>
          <w:rStyle w:val="None"/>
          <w:rFonts w:ascii="Roboto" w:eastAsia="Roboto" w:hAnsi="Roboto" w:cs="Roboto"/>
          <w:sz w:val="22"/>
          <w:szCs w:val="22"/>
        </w:rPr>
      </w:pPr>
    </w:p>
    <w:p w14:paraId="01A1BA38" w14:textId="77777777" w:rsidR="000746A5" w:rsidRDefault="000746A5" w:rsidP="000746A5">
      <w:pPr>
        <w:pStyle w:val="Body"/>
        <w:widowControl w:val="0"/>
        <w:spacing w:line="276" w:lineRule="auto"/>
        <w:rPr>
          <w:rStyle w:val="Hyperlink6"/>
        </w:rPr>
      </w:pPr>
      <w:r>
        <w:rPr>
          <w:rStyle w:val="None"/>
          <w:rFonts w:ascii="Roboto" w:eastAsia="Roboto" w:hAnsi="Roboto" w:cs="Roboto"/>
          <w:b/>
          <w:bCs/>
          <w:sz w:val="22"/>
          <w:szCs w:val="22"/>
        </w:rPr>
        <w:t>Table S1</w:t>
      </w:r>
      <w:r>
        <w:rPr>
          <w:rStyle w:val="Hyperlink6"/>
        </w:rPr>
        <w:t>. Number of coding variants across types of coding variants reported in WES and WGS.</w:t>
      </w:r>
    </w:p>
    <w:p w14:paraId="34719EBB" w14:textId="77777777" w:rsidR="000746A5" w:rsidRDefault="000746A5" w:rsidP="000746A5">
      <w:pPr>
        <w:pStyle w:val="Body"/>
        <w:spacing w:line="360" w:lineRule="auto"/>
        <w:jc w:val="both"/>
        <w:rPr>
          <w:rStyle w:val="Hyperlink5"/>
        </w:rPr>
      </w:pPr>
      <w:r>
        <w:rPr>
          <w:rStyle w:val="None"/>
          <w:rFonts w:ascii="Arial" w:hAnsi="Arial"/>
          <w:b/>
          <w:bCs/>
          <w:sz w:val="22"/>
          <w:szCs w:val="22"/>
        </w:rPr>
        <w:t xml:space="preserve">Supplementary Table 1. </w:t>
      </w:r>
      <w:r>
        <w:rPr>
          <w:rStyle w:val="Hyperlink5"/>
        </w:rPr>
        <w:t xml:space="preserve">Variant(s) found in individual cases considered as diagnosed (corresponding to the categories of </w:t>
      </w:r>
      <w:r>
        <w:rPr>
          <w:rStyle w:val="None"/>
          <w:rFonts w:ascii="Arial" w:hAnsi="Arial"/>
          <w:sz w:val="22"/>
          <w:szCs w:val="22"/>
        </w:rPr>
        <w:t>“</w:t>
      </w:r>
      <w:r>
        <w:rPr>
          <w:rStyle w:val="Hyperlink5"/>
        </w:rPr>
        <w:t>Likely</w:t>
      </w:r>
      <w:r>
        <w:rPr>
          <w:rStyle w:val="None"/>
          <w:rFonts w:ascii="Arial" w:hAnsi="Arial"/>
          <w:sz w:val="22"/>
          <w:szCs w:val="22"/>
        </w:rPr>
        <w:t xml:space="preserve">” </w:t>
      </w:r>
      <w:r>
        <w:rPr>
          <w:rStyle w:val="Hyperlink5"/>
        </w:rPr>
        <w:t xml:space="preserve">and </w:t>
      </w:r>
      <w:r>
        <w:rPr>
          <w:rStyle w:val="None"/>
          <w:rFonts w:ascii="Arial" w:hAnsi="Arial"/>
          <w:sz w:val="22"/>
          <w:szCs w:val="22"/>
        </w:rPr>
        <w:t>“</w:t>
      </w:r>
      <w:r>
        <w:rPr>
          <w:rStyle w:val="Hyperlink5"/>
          <w:lang w:val="it-IT"/>
        </w:rPr>
        <w:t>Definitive</w:t>
      </w:r>
      <w:r>
        <w:rPr>
          <w:rStyle w:val="None"/>
          <w:rFonts w:ascii="Arial" w:hAnsi="Arial"/>
          <w:sz w:val="22"/>
          <w:szCs w:val="22"/>
        </w:rPr>
        <w:t xml:space="preserve">” </w:t>
      </w:r>
      <w:r>
        <w:rPr>
          <w:rStyle w:val="Hyperlink5"/>
        </w:rPr>
        <w:t xml:space="preserve">(n = 92)), main phenotypic descriptors (HPO terms) and essential individual data. </w:t>
      </w:r>
    </w:p>
    <w:p w14:paraId="4B63ACF8" w14:textId="77777777" w:rsidR="002B4349" w:rsidRDefault="002B4349"/>
    <w:sectPr w:rsidR="002B4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A5"/>
    <w:rsid w:val="000746A5"/>
    <w:rsid w:val="002B4349"/>
    <w:rsid w:val="0048775D"/>
    <w:rsid w:val="00772BFF"/>
    <w:rsid w:val="00810FF7"/>
    <w:rsid w:val="00AE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626DC"/>
  <w15:chartTrackingRefBased/>
  <w15:docId w15:val="{6CED7B6F-0691-427C-B36A-12BAD1EA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6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6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6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6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6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6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6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6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6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6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6A5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0746A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val="en-US" w:eastAsia="en-IN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None">
    <w:name w:val="None"/>
    <w:rsid w:val="000746A5"/>
  </w:style>
  <w:style w:type="character" w:customStyle="1" w:styleId="Hyperlink5">
    <w:name w:val="Hyperlink.5"/>
    <w:basedOn w:val="None"/>
    <w:rsid w:val="000746A5"/>
    <w:rPr>
      <w:rFonts w:ascii="Arial" w:eastAsia="Arial" w:hAnsi="Arial" w:cs="Arial"/>
      <w:sz w:val="22"/>
      <w:szCs w:val="22"/>
    </w:rPr>
  </w:style>
  <w:style w:type="character" w:customStyle="1" w:styleId="Hyperlink6">
    <w:name w:val="Hyperlink.6"/>
    <w:basedOn w:val="None"/>
    <w:rsid w:val="000746A5"/>
    <w:rPr>
      <w:rFonts w:ascii="Roboto" w:eastAsia="Roboto" w:hAnsi="Roboto" w:cs="Roboto"/>
      <w:caps w:val="0"/>
      <w:smallCaps w:val="0"/>
      <w:strike w:val="0"/>
      <w:dstrike w:val="0"/>
      <w:outline w:val="0"/>
      <w:color w:val="000000"/>
      <w:sz w:val="22"/>
      <w:szCs w:val="22"/>
      <w:u w:val="none" w:color="000000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Elumalai (Integra)</dc:creator>
  <cp:keywords/>
  <dc:description/>
  <cp:lastModifiedBy>Ramya Elumalai (Integra)</cp:lastModifiedBy>
  <cp:revision>1</cp:revision>
  <dcterms:created xsi:type="dcterms:W3CDTF">2026-05-12T10:37:00Z</dcterms:created>
  <dcterms:modified xsi:type="dcterms:W3CDTF">2026-05-12T10:39:00Z</dcterms:modified>
</cp:coreProperties>
</file>