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61497" w14:textId="03474044" w:rsidR="00CB2FE9" w:rsidRDefault="007A6CC8">
      <w:pPr>
        <w:rPr>
          <w:rFonts w:ascii="Times New Roman" w:hAnsi="Times New Roman" w:cs="Times New Roman"/>
        </w:rPr>
      </w:pPr>
      <w:r w:rsidRPr="007A6CC8">
        <w:rPr>
          <w:rFonts w:ascii="Times New Roman" w:hAnsi="Times New Roman" w:cs="Times New Roman"/>
        </w:rPr>
        <w:t>Table S6. Diagnostic yield of skeletal dysplasia from NGS strategies in different cohorts in key publications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268"/>
        <w:gridCol w:w="2409"/>
        <w:gridCol w:w="2835"/>
        <w:gridCol w:w="1560"/>
        <w:gridCol w:w="2187"/>
      </w:tblGrid>
      <w:tr w:rsidR="00116E95" w:rsidRPr="00BE6536" w14:paraId="0B784004" w14:textId="77777777" w:rsidTr="00BC6CDF">
        <w:trPr>
          <w:trHeight w:val="454"/>
        </w:trPr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2C813" w14:textId="20F41021" w:rsidR="007A6CC8" w:rsidRPr="00BE6536" w:rsidRDefault="00A615A8" w:rsidP="00116E9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E6536">
              <w:rPr>
                <w:rFonts w:ascii="Times New Roman" w:hAnsi="Times New Roman" w:cs="Times New Roman"/>
                <w:b/>
                <w:bCs/>
                <w:szCs w:val="21"/>
              </w:rPr>
              <w:t>Author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23B6C" w14:textId="227EEC38" w:rsidR="007A6CC8" w:rsidRPr="00BE6536" w:rsidRDefault="007A6CC8" w:rsidP="00116E9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E6536">
              <w:rPr>
                <w:rFonts w:ascii="Times New Roman" w:hAnsi="Times New Roman" w:cs="Times New Roman"/>
                <w:b/>
                <w:bCs/>
                <w:szCs w:val="21"/>
              </w:rPr>
              <w:t>Journal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E72C1" w14:textId="68EDF74A" w:rsidR="007A6CC8" w:rsidRPr="00BE6536" w:rsidRDefault="00A615A8" w:rsidP="00116E9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E6536">
              <w:rPr>
                <w:rFonts w:ascii="Times New Roman" w:hAnsi="Times New Roman" w:cs="Times New Roman"/>
                <w:b/>
                <w:bCs/>
                <w:szCs w:val="21"/>
              </w:rPr>
              <w:t>Sample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52BC1" w14:textId="0E9AF4D6" w:rsidR="007A6CC8" w:rsidRPr="00BE6536" w:rsidRDefault="007A6CC8" w:rsidP="00116E9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E6536">
              <w:rPr>
                <w:rFonts w:ascii="Times New Roman" w:hAnsi="Times New Roman" w:cs="Times New Roman"/>
                <w:b/>
                <w:bCs/>
                <w:szCs w:val="21"/>
              </w:rPr>
              <w:t>Strategy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C7C8E" w14:textId="15A2AC9A" w:rsidR="007A6CC8" w:rsidRPr="00BE6536" w:rsidRDefault="007A6CC8" w:rsidP="00116E9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E6536">
              <w:rPr>
                <w:rFonts w:ascii="Times New Roman" w:hAnsi="Times New Roman" w:cs="Times New Roman"/>
                <w:b/>
                <w:bCs/>
                <w:szCs w:val="21"/>
              </w:rPr>
              <w:t>Sequenced</w:t>
            </w:r>
          </w:p>
        </w:tc>
        <w:tc>
          <w:tcPr>
            <w:tcW w:w="21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32D93" w14:textId="21064BA2" w:rsidR="007A6CC8" w:rsidRPr="00BE6536" w:rsidRDefault="007A6CC8" w:rsidP="00116E95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E6536">
              <w:rPr>
                <w:rFonts w:ascii="Times New Roman" w:hAnsi="Times New Roman" w:cs="Times New Roman"/>
                <w:b/>
                <w:bCs/>
                <w:szCs w:val="21"/>
              </w:rPr>
              <w:t>Diagnostic yield</w:t>
            </w:r>
          </w:p>
        </w:tc>
      </w:tr>
      <w:tr w:rsidR="00116E95" w:rsidRPr="00BE6536" w14:paraId="08C969C7" w14:textId="77777777" w:rsidTr="00BC6CDF">
        <w:trPr>
          <w:trHeight w:val="454"/>
        </w:trPr>
        <w:tc>
          <w:tcPr>
            <w:tcW w:w="2689" w:type="dxa"/>
            <w:tcBorders>
              <w:top w:val="single" w:sz="4" w:space="0" w:color="auto"/>
            </w:tcBorders>
            <w:vAlign w:val="center"/>
          </w:tcPr>
          <w:p w14:paraId="1F3C843D" w14:textId="77446C35" w:rsidR="007A6CC8" w:rsidRPr="00BE6536" w:rsidRDefault="00BF4067" w:rsidP="00A615A8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000000"/>
                <w:szCs w:val="21"/>
              </w:rPr>
              <w:t>This study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FA9E722" w14:textId="1DF391DC" w:rsidR="007A6CC8" w:rsidRPr="00BE6536" w:rsidRDefault="00BC6CDF" w:rsidP="00BF189B">
            <w:pPr>
              <w:widowControl/>
              <w:rPr>
                <w:rFonts w:ascii="Times New Roman" w:eastAsia="等线" w:hAnsi="Times New Roman" w:cs="Times New Roman" w:hint="eastAsia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This journal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6414EE6C" w14:textId="5AE12B4A" w:rsidR="007A6CC8" w:rsidRPr="00BE6536" w:rsidRDefault="00BF4067" w:rsidP="007A6CC8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Postnatal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20B94CE" w14:textId="47F2B201" w:rsidR="007A6CC8" w:rsidRPr="00BE6536" w:rsidRDefault="00BF4067" w:rsidP="00664C36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WES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61586811" w14:textId="600E8065" w:rsidR="007A6CC8" w:rsidRPr="00BE6536" w:rsidRDefault="00BF4067" w:rsidP="00664C36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388</w:t>
            </w:r>
          </w:p>
        </w:tc>
        <w:tc>
          <w:tcPr>
            <w:tcW w:w="2187" w:type="dxa"/>
            <w:tcBorders>
              <w:top w:val="single" w:sz="4" w:space="0" w:color="auto"/>
            </w:tcBorders>
            <w:vAlign w:val="center"/>
          </w:tcPr>
          <w:p w14:paraId="179D4E16" w14:textId="38FB1CE6" w:rsidR="007A6CC8" w:rsidRPr="00BE6536" w:rsidRDefault="00BF4067" w:rsidP="00664C36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65%</w:t>
            </w:r>
          </w:p>
        </w:tc>
      </w:tr>
      <w:tr w:rsidR="00BF4067" w:rsidRPr="00BE6536" w14:paraId="2B9C4CEA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6BD1F305" w14:textId="77777777" w:rsidR="00BF4067" w:rsidRPr="00BE6536" w:rsidRDefault="00BF4067" w:rsidP="00A615A8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064F170" w14:textId="77777777" w:rsidR="00BF4067" w:rsidRPr="00BE6536" w:rsidRDefault="00BF4067" w:rsidP="00BF189B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6B8F41CF" w14:textId="77777777" w:rsidR="00BF4067" w:rsidRPr="00BE6536" w:rsidRDefault="00BF4067" w:rsidP="007A6CC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1DC803B" w14:textId="05B4239B" w:rsidR="00BF4067" w:rsidRPr="00BE6536" w:rsidRDefault="00BF4067" w:rsidP="00664C36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SS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3305623" w14:textId="3FF18CE6" w:rsidR="00BF4067" w:rsidRPr="00BE6536" w:rsidRDefault="00BF4067" w:rsidP="00664C36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2187" w:type="dxa"/>
            <w:tcBorders>
              <w:bottom w:val="single" w:sz="4" w:space="0" w:color="auto"/>
            </w:tcBorders>
            <w:vAlign w:val="center"/>
          </w:tcPr>
          <w:p w14:paraId="60655C8C" w14:textId="2D3259E6" w:rsidR="00BF4067" w:rsidRPr="00BE6536" w:rsidRDefault="00BF4067" w:rsidP="00664C36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80%</w:t>
            </w:r>
          </w:p>
        </w:tc>
      </w:tr>
      <w:tr w:rsidR="00BF4067" w:rsidRPr="00BE6536" w14:paraId="7211095C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47F55B3F" w14:textId="6FD2A7C3" w:rsidR="00BF4067" w:rsidRPr="00BE6536" w:rsidRDefault="00BF4067" w:rsidP="00BF4067">
            <w:pPr>
              <w:widowControl/>
              <w:rPr>
                <w:rFonts w:ascii="Times New Roman" w:eastAsia="等线" w:hAnsi="Times New Roman" w:cs="Times New Roman"/>
                <w:color w:val="212121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 xml:space="preserve">Najjar et al., </w:t>
            </w:r>
            <w:r w:rsidRPr="00BE6536">
              <w:rPr>
                <w:rFonts w:ascii="Times New Roman" w:eastAsia="等线" w:hAnsi="Times New Roman" w:cs="Times New Roman"/>
                <w:color w:val="000000"/>
                <w:szCs w:val="21"/>
              </w:rPr>
              <w:t>2025</w:t>
            </w:r>
          </w:p>
        </w:tc>
        <w:tc>
          <w:tcPr>
            <w:tcW w:w="2268" w:type="dxa"/>
            <w:vAlign w:val="center"/>
          </w:tcPr>
          <w:p w14:paraId="2ABA6B56" w14:textId="7F7AD13B" w:rsidR="00BF4067" w:rsidRPr="00BE6536" w:rsidRDefault="00BF4067" w:rsidP="00BF4067">
            <w:pPr>
              <w:widowControl/>
              <w:rPr>
                <w:rFonts w:ascii="Times New Roman" w:eastAsia="等线" w:hAnsi="Times New Roman" w:cs="Times New Roman"/>
                <w:color w:val="212121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>Front Endocrinol</w:t>
            </w:r>
          </w:p>
        </w:tc>
        <w:tc>
          <w:tcPr>
            <w:tcW w:w="2409" w:type="dxa"/>
            <w:vAlign w:val="center"/>
          </w:tcPr>
          <w:p w14:paraId="4CB487DA" w14:textId="25B9CC21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Pre- and post-natal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44CC8638" w14:textId="63D8E60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WES, WGS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7545EBE1" w14:textId="12FD84CB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262</w:t>
            </w:r>
          </w:p>
        </w:tc>
        <w:tc>
          <w:tcPr>
            <w:tcW w:w="2187" w:type="dxa"/>
            <w:tcBorders>
              <w:top w:val="single" w:sz="4" w:space="0" w:color="auto"/>
            </w:tcBorders>
            <w:vAlign w:val="center"/>
          </w:tcPr>
          <w:p w14:paraId="16771944" w14:textId="22DC28F4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50%</w:t>
            </w:r>
          </w:p>
        </w:tc>
      </w:tr>
      <w:tr w:rsidR="00BF4067" w:rsidRPr="00BE6536" w14:paraId="1D6F2649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31EBAB38" w14:textId="7777777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9145877" w14:textId="7777777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5C928DE4" w14:textId="7777777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D5A5AA9" w14:textId="4251BD90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SS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E5508BF" w14:textId="0678FAB8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208</w:t>
            </w:r>
          </w:p>
        </w:tc>
        <w:tc>
          <w:tcPr>
            <w:tcW w:w="2187" w:type="dxa"/>
            <w:tcBorders>
              <w:bottom w:val="single" w:sz="4" w:space="0" w:color="auto"/>
            </w:tcBorders>
            <w:vAlign w:val="center"/>
          </w:tcPr>
          <w:p w14:paraId="6F3D4AE5" w14:textId="5E8D52CD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18%</w:t>
            </w:r>
          </w:p>
        </w:tc>
      </w:tr>
      <w:tr w:rsidR="00BF4067" w:rsidRPr="00BE6536" w14:paraId="62A06FB3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6720F56C" w14:textId="05A27FED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 xml:space="preserve">Jacob et al., </w:t>
            </w:r>
            <w:r w:rsidRPr="00BE6536">
              <w:rPr>
                <w:rFonts w:ascii="Times New Roman" w:hAnsi="Times New Roman" w:cs="Times New Roman"/>
                <w:szCs w:val="21"/>
              </w:rPr>
              <w:t>2025</w:t>
            </w:r>
          </w:p>
        </w:tc>
        <w:tc>
          <w:tcPr>
            <w:tcW w:w="2268" w:type="dxa"/>
            <w:vAlign w:val="center"/>
          </w:tcPr>
          <w:p w14:paraId="76742FAF" w14:textId="15EB47EE" w:rsidR="00BF4067" w:rsidRPr="00BE6536" w:rsidRDefault="00BF4067" w:rsidP="00BF4067">
            <w:pPr>
              <w:widowControl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E6536">
              <w:rPr>
                <w:rFonts w:ascii="Times New Roman" w:eastAsia="等线" w:hAnsi="Times New Roman" w:cs="Times New Roman"/>
                <w:color w:val="1B1B1B"/>
                <w:szCs w:val="21"/>
              </w:rPr>
              <w:t>Eur</w:t>
            </w:r>
            <w:proofErr w:type="spellEnd"/>
            <w:r w:rsidRPr="00BE6536">
              <w:rPr>
                <w:rFonts w:ascii="Times New Roman" w:eastAsia="等线" w:hAnsi="Times New Roman" w:cs="Times New Roman"/>
                <w:color w:val="1B1B1B"/>
                <w:szCs w:val="21"/>
              </w:rPr>
              <w:t xml:space="preserve"> J Hum Genet</w:t>
            </w:r>
          </w:p>
        </w:tc>
        <w:tc>
          <w:tcPr>
            <w:tcW w:w="2409" w:type="dxa"/>
            <w:vAlign w:val="center"/>
          </w:tcPr>
          <w:p w14:paraId="62564BA7" w14:textId="03D68E4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Pre- and post-natal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3A121E8" w14:textId="267F1340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WES, WGS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779E8BC2" w14:textId="2D0CF88E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152</w:t>
            </w:r>
          </w:p>
        </w:tc>
        <w:tc>
          <w:tcPr>
            <w:tcW w:w="2187" w:type="dxa"/>
            <w:tcBorders>
              <w:top w:val="single" w:sz="4" w:space="0" w:color="auto"/>
            </w:tcBorders>
            <w:vAlign w:val="center"/>
          </w:tcPr>
          <w:p w14:paraId="18648073" w14:textId="2398A490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71%</w:t>
            </w:r>
          </w:p>
        </w:tc>
      </w:tr>
      <w:tr w:rsidR="00BF4067" w:rsidRPr="00BE6536" w14:paraId="34F35D5E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2D95B40A" w14:textId="7777777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328B12F" w14:textId="7777777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09" w:type="dxa"/>
            <w:vAlign w:val="center"/>
          </w:tcPr>
          <w:p w14:paraId="2B2231D7" w14:textId="7777777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9DECFCF" w14:textId="635B2263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SS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3D715B5" w14:textId="025C5484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50</w:t>
            </w:r>
          </w:p>
        </w:tc>
        <w:tc>
          <w:tcPr>
            <w:tcW w:w="2187" w:type="dxa"/>
            <w:tcBorders>
              <w:bottom w:val="single" w:sz="4" w:space="0" w:color="auto"/>
            </w:tcBorders>
            <w:vAlign w:val="center"/>
          </w:tcPr>
          <w:p w14:paraId="7D68B4F7" w14:textId="0EA35B3E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74%</w:t>
            </w:r>
          </w:p>
        </w:tc>
      </w:tr>
      <w:tr w:rsidR="00BF4067" w:rsidRPr="00BE6536" w14:paraId="68C932F3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15D039D6" w14:textId="7E8AF41D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 xml:space="preserve">Li et al., </w:t>
            </w:r>
            <w:r w:rsidRPr="00BE6536">
              <w:rPr>
                <w:rFonts w:ascii="Times New Roman" w:hAnsi="Times New Roman" w:cs="Times New Roman"/>
                <w:szCs w:val="21"/>
              </w:rPr>
              <w:t>2023</w:t>
            </w:r>
          </w:p>
        </w:tc>
        <w:tc>
          <w:tcPr>
            <w:tcW w:w="2268" w:type="dxa"/>
            <w:vAlign w:val="center"/>
          </w:tcPr>
          <w:p w14:paraId="7047780B" w14:textId="7E6B5D88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Chin Med J</w:t>
            </w:r>
          </w:p>
        </w:tc>
        <w:tc>
          <w:tcPr>
            <w:tcW w:w="2409" w:type="dxa"/>
            <w:vAlign w:val="center"/>
          </w:tcPr>
          <w:p w14:paraId="00D52BC5" w14:textId="51DF6FF3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Pre- and post-natal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CFCDC17" w14:textId="35F9B440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WES, WGS, SS, MLPA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B9428AF" w14:textId="77989CD3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985</w:t>
            </w:r>
          </w:p>
        </w:tc>
        <w:tc>
          <w:tcPr>
            <w:tcW w:w="2187" w:type="dxa"/>
            <w:tcBorders>
              <w:top w:val="single" w:sz="4" w:space="0" w:color="auto"/>
            </w:tcBorders>
            <w:vAlign w:val="center"/>
          </w:tcPr>
          <w:p w14:paraId="5DE9AE1B" w14:textId="7678F2AA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59%</w:t>
            </w:r>
          </w:p>
        </w:tc>
      </w:tr>
      <w:tr w:rsidR="00BF4067" w:rsidRPr="00BE6536" w14:paraId="2437A132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1E54CF21" w14:textId="0A106AE0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>Scocchia</w:t>
            </w:r>
            <w:proofErr w:type="spellEnd"/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 xml:space="preserve"> et al., </w:t>
            </w:r>
            <w:r w:rsidRPr="00BE6536">
              <w:rPr>
                <w:rFonts w:ascii="Times New Roman" w:hAnsi="Times New Roman" w:cs="Times New Roman"/>
                <w:szCs w:val="21"/>
              </w:rPr>
              <w:t>2021</w:t>
            </w:r>
          </w:p>
        </w:tc>
        <w:tc>
          <w:tcPr>
            <w:tcW w:w="2268" w:type="dxa"/>
            <w:vAlign w:val="center"/>
          </w:tcPr>
          <w:p w14:paraId="369AEDF8" w14:textId="70DF133F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E6536">
              <w:rPr>
                <w:rFonts w:ascii="Times New Roman" w:hAnsi="Times New Roman" w:cs="Times New Roman"/>
                <w:szCs w:val="21"/>
              </w:rPr>
              <w:t>Orphanet</w:t>
            </w:r>
            <w:proofErr w:type="spellEnd"/>
            <w:r w:rsidRPr="00BE6536">
              <w:rPr>
                <w:rFonts w:ascii="Times New Roman" w:hAnsi="Times New Roman" w:cs="Times New Roman"/>
                <w:szCs w:val="21"/>
              </w:rPr>
              <w:t xml:space="preserve"> J Rare Dis</w:t>
            </w:r>
          </w:p>
        </w:tc>
        <w:tc>
          <w:tcPr>
            <w:tcW w:w="2409" w:type="dxa"/>
            <w:vAlign w:val="center"/>
          </w:tcPr>
          <w:p w14:paraId="70A819C8" w14:textId="09425C66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Pre- and post-natal</w:t>
            </w:r>
          </w:p>
        </w:tc>
        <w:tc>
          <w:tcPr>
            <w:tcW w:w="2835" w:type="dxa"/>
            <w:vAlign w:val="center"/>
          </w:tcPr>
          <w:p w14:paraId="7BF213ED" w14:textId="3CBC7ABD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TES</w:t>
            </w:r>
          </w:p>
        </w:tc>
        <w:tc>
          <w:tcPr>
            <w:tcW w:w="1560" w:type="dxa"/>
            <w:vAlign w:val="center"/>
          </w:tcPr>
          <w:p w14:paraId="10F3581F" w14:textId="2EB5EFA3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543</w:t>
            </w:r>
          </w:p>
        </w:tc>
        <w:tc>
          <w:tcPr>
            <w:tcW w:w="2187" w:type="dxa"/>
            <w:vAlign w:val="center"/>
          </w:tcPr>
          <w:p w14:paraId="62885BD3" w14:textId="3AC9E59F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42%</w:t>
            </w:r>
          </w:p>
        </w:tc>
      </w:tr>
      <w:tr w:rsidR="00BF4067" w:rsidRPr="00BE6536" w14:paraId="6A826BAC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50DBB126" w14:textId="76AE7519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>Lv</w:t>
            </w:r>
            <w:proofErr w:type="spellEnd"/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 xml:space="preserve"> et al., </w:t>
            </w:r>
            <w:r w:rsidRPr="00BE6536">
              <w:rPr>
                <w:rFonts w:ascii="Times New Roman" w:hAnsi="Times New Roman" w:cs="Times New Roman"/>
                <w:szCs w:val="21"/>
              </w:rPr>
              <w:t>2021</w:t>
            </w:r>
          </w:p>
        </w:tc>
        <w:tc>
          <w:tcPr>
            <w:tcW w:w="2268" w:type="dxa"/>
            <w:vAlign w:val="center"/>
          </w:tcPr>
          <w:p w14:paraId="1727CFBB" w14:textId="4238F28D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Front Cell Dev Biol</w:t>
            </w:r>
          </w:p>
        </w:tc>
        <w:tc>
          <w:tcPr>
            <w:tcW w:w="2409" w:type="dxa"/>
            <w:vAlign w:val="center"/>
          </w:tcPr>
          <w:p w14:paraId="6D58F300" w14:textId="296FC47F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Pre- and post-natal</w:t>
            </w:r>
          </w:p>
        </w:tc>
        <w:tc>
          <w:tcPr>
            <w:tcW w:w="2835" w:type="dxa"/>
            <w:vAlign w:val="center"/>
          </w:tcPr>
          <w:p w14:paraId="086F3E70" w14:textId="6E8BAA1F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TES</w:t>
            </w:r>
          </w:p>
        </w:tc>
        <w:tc>
          <w:tcPr>
            <w:tcW w:w="1560" w:type="dxa"/>
            <w:vAlign w:val="center"/>
          </w:tcPr>
          <w:p w14:paraId="2EBB16D8" w14:textId="2235F884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223</w:t>
            </w:r>
          </w:p>
        </w:tc>
        <w:tc>
          <w:tcPr>
            <w:tcW w:w="2187" w:type="dxa"/>
            <w:vAlign w:val="center"/>
          </w:tcPr>
          <w:p w14:paraId="5A68333C" w14:textId="5215AB10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49%</w:t>
            </w:r>
          </w:p>
        </w:tc>
      </w:tr>
      <w:tr w:rsidR="00BF4067" w:rsidRPr="00BE6536" w14:paraId="537CECC7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499C268B" w14:textId="27FBD18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 xml:space="preserve">Silveira et al., </w:t>
            </w:r>
            <w:r w:rsidRPr="00BE6536">
              <w:rPr>
                <w:rFonts w:ascii="Times New Roman" w:hAnsi="Times New Roman" w:cs="Times New Roman"/>
                <w:szCs w:val="21"/>
              </w:rPr>
              <w:t>2021</w:t>
            </w:r>
          </w:p>
        </w:tc>
        <w:tc>
          <w:tcPr>
            <w:tcW w:w="2268" w:type="dxa"/>
            <w:vAlign w:val="center"/>
          </w:tcPr>
          <w:p w14:paraId="067F8448" w14:textId="78A4FC96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Am J Med Genet C</w:t>
            </w:r>
          </w:p>
        </w:tc>
        <w:tc>
          <w:tcPr>
            <w:tcW w:w="2409" w:type="dxa"/>
            <w:vAlign w:val="center"/>
          </w:tcPr>
          <w:p w14:paraId="65027334" w14:textId="7526B90C" w:rsidR="00BF4067" w:rsidRPr="00BE6536" w:rsidRDefault="00BF4067" w:rsidP="00BF4067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Postnatal</w:t>
            </w:r>
          </w:p>
        </w:tc>
        <w:tc>
          <w:tcPr>
            <w:tcW w:w="2835" w:type="dxa"/>
            <w:vAlign w:val="center"/>
          </w:tcPr>
          <w:p w14:paraId="2A0A82CF" w14:textId="7F0A61C4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TES</w:t>
            </w:r>
          </w:p>
        </w:tc>
        <w:tc>
          <w:tcPr>
            <w:tcW w:w="1560" w:type="dxa"/>
            <w:vAlign w:val="center"/>
          </w:tcPr>
          <w:p w14:paraId="70490EC5" w14:textId="2CDCE27B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114</w:t>
            </w:r>
          </w:p>
        </w:tc>
        <w:tc>
          <w:tcPr>
            <w:tcW w:w="2187" w:type="dxa"/>
            <w:vAlign w:val="center"/>
          </w:tcPr>
          <w:p w14:paraId="3DC89806" w14:textId="7E0125DF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77%</w:t>
            </w:r>
          </w:p>
        </w:tc>
      </w:tr>
      <w:tr w:rsidR="00BF4067" w:rsidRPr="00BE6536" w14:paraId="2E4F7821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1EAB95B9" w14:textId="28129D6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 xml:space="preserve">Maddirevula et al., </w:t>
            </w:r>
            <w:r w:rsidRPr="00BE6536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2268" w:type="dxa"/>
            <w:vAlign w:val="center"/>
          </w:tcPr>
          <w:p w14:paraId="379B94CD" w14:textId="466F2FED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Genet Med</w:t>
            </w:r>
          </w:p>
        </w:tc>
        <w:tc>
          <w:tcPr>
            <w:tcW w:w="2409" w:type="dxa"/>
            <w:vAlign w:val="center"/>
          </w:tcPr>
          <w:p w14:paraId="66A857F5" w14:textId="6995E78F" w:rsidR="00BF4067" w:rsidRPr="00BE6536" w:rsidRDefault="00BF4067" w:rsidP="00BF4067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Postnatal</w:t>
            </w:r>
          </w:p>
        </w:tc>
        <w:tc>
          <w:tcPr>
            <w:tcW w:w="2835" w:type="dxa"/>
            <w:vAlign w:val="center"/>
          </w:tcPr>
          <w:p w14:paraId="634349E3" w14:textId="6198E16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TES, WES</w:t>
            </w:r>
          </w:p>
        </w:tc>
        <w:tc>
          <w:tcPr>
            <w:tcW w:w="1560" w:type="dxa"/>
            <w:vAlign w:val="center"/>
          </w:tcPr>
          <w:p w14:paraId="27767B48" w14:textId="44F8C833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288</w:t>
            </w:r>
          </w:p>
        </w:tc>
        <w:tc>
          <w:tcPr>
            <w:tcW w:w="2187" w:type="dxa"/>
            <w:vAlign w:val="center"/>
          </w:tcPr>
          <w:p w14:paraId="07644FA1" w14:textId="5DBD2220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44%</w:t>
            </w:r>
          </w:p>
        </w:tc>
      </w:tr>
      <w:tr w:rsidR="00BF4067" w:rsidRPr="00BE6536" w14:paraId="6BE63B72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411EA1B6" w14:textId="5F7819A7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 xml:space="preserve">Bae et al., </w:t>
            </w:r>
            <w:r w:rsidRPr="00BE6536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2268" w:type="dxa"/>
            <w:vAlign w:val="center"/>
          </w:tcPr>
          <w:p w14:paraId="4F2E9D41" w14:textId="2C6DA9A5" w:rsidR="00BF4067" w:rsidRPr="00BE6536" w:rsidRDefault="00BF4067" w:rsidP="00BF4067">
            <w:pPr>
              <w:widowControl/>
              <w:rPr>
                <w:rFonts w:ascii="Times New Roman" w:eastAsia="等线" w:hAnsi="Times New Roman" w:cs="Times New Roman"/>
                <w:color w:val="212121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>Genet Med</w:t>
            </w:r>
          </w:p>
        </w:tc>
        <w:tc>
          <w:tcPr>
            <w:tcW w:w="2409" w:type="dxa"/>
            <w:vAlign w:val="center"/>
          </w:tcPr>
          <w:p w14:paraId="4A53B428" w14:textId="36E14FDC" w:rsidR="00BF4067" w:rsidRPr="00BE6536" w:rsidRDefault="00BF4067" w:rsidP="00BF4067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Postnatal</w:t>
            </w:r>
          </w:p>
        </w:tc>
        <w:tc>
          <w:tcPr>
            <w:tcW w:w="2835" w:type="dxa"/>
            <w:vAlign w:val="center"/>
          </w:tcPr>
          <w:p w14:paraId="083351CE" w14:textId="0F382DEC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TES, SS</w:t>
            </w:r>
          </w:p>
        </w:tc>
        <w:tc>
          <w:tcPr>
            <w:tcW w:w="1560" w:type="dxa"/>
            <w:vAlign w:val="center"/>
          </w:tcPr>
          <w:p w14:paraId="33D5F533" w14:textId="6DB0C241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185</w:t>
            </w:r>
          </w:p>
        </w:tc>
        <w:tc>
          <w:tcPr>
            <w:tcW w:w="2187" w:type="dxa"/>
            <w:vAlign w:val="center"/>
          </w:tcPr>
          <w:p w14:paraId="322C6332" w14:textId="2F16D710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52%</w:t>
            </w:r>
          </w:p>
        </w:tc>
      </w:tr>
      <w:tr w:rsidR="00BF4067" w:rsidRPr="00BE6536" w14:paraId="1BA91431" w14:textId="77777777" w:rsidTr="00BC6CDF">
        <w:trPr>
          <w:trHeight w:val="454"/>
        </w:trPr>
        <w:tc>
          <w:tcPr>
            <w:tcW w:w="2689" w:type="dxa"/>
            <w:vAlign w:val="center"/>
          </w:tcPr>
          <w:p w14:paraId="2D7CB9E5" w14:textId="0730AF58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 xml:space="preserve">Retterer et al., </w:t>
            </w:r>
            <w:r w:rsidRPr="00BE6536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2268" w:type="dxa"/>
            <w:vAlign w:val="center"/>
          </w:tcPr>
          <w:p w14:paraId="24F451CC" w14:textId="328E82FF" w:rsidR="00BF4067" w:rsidRPr="00BE6536" w:rsidRDefault="00BF4067" w:rsidP="00BF4067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>Genet Med</w:t>
            </w:r>
          </w:p>
        </w:tc>
        <w:tc>
          <w:tcPr>
            <w:tcW w:w="2409" w:type="dxa"/>
            <w:vAlign w:val="center"/>
          </w:tcPr>
          <w:p w14:paraId="4BF2BD26" w14:textId="7CC18EDF" w:rsidR="00BF4067" w:rsidRPr="00BE6536" w:rsidRDefault="00BF4067" w:rsidP="00BF4067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Postnatal</w:t>
            </w:r>
          </w:p>
        </w:tc>
        <w:tc>
          <w:tcPr>
            <w:tcW w:w="2835" w:type="dxa"/>
            <w:vAlign w:val="center"/>
          </w:tcPr>
          <w:p w14:paraId="3A4F43EE" w14:textId="5E6D5FAD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WES</w:t>
            </w:r>
          </w:p>
        </w:tc>
        <w:tc>
          <w:tcPr>
            <w:tcW w:w="1560" w:type="dxa"/>
            <w:vAlign w:val="center"/>
          </w:tcPr>
          <w:p w14:paraId="0DEDD53C" w14:textId="17A4350B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139</w:t>
            </w:r>
          </w:p>
        </w:tc>
        <w:tc>
          <w:tcPr>
            <w:tcW w:w="2187" w:type="dxa"/>
            <w:vAlign w:val="center"/>
          </w:tcPr>
          <w:p w14:paraId="781A151E" w14:textId="0696DD90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39%</w:t>
            </w:r>
          </w:p>
        </w:tc>
      </w:tr>
      <w:tr w:rsidR="00BF4067" w:rsidRPr="00BE6536" w14:paraId="1EC63656" w14:textId="77777777" w:rsidTr="00BC6CDF">
        <w:trPr>
          <w:trHeight w:val="454"/>
        </w:trPr>
        <w:tc>
          <w:tcPr>
            <w:tcW w:w="2689" w:type="dxa"/>
            <w:tcBorders>
              <w:bottom w:val="single" w:sz="4" w:space="0" w:color="auto"/>
            </w:tcBorders>
            <w:vAlign w:val="center"/>
          </w:tcPr>
          <w:p w14:paraId="67FB6EC3" w14:textId="1AFA58FE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 xml:space="preserve">Zhang et al., </w:t>
            </w:r>
            <w:r w:rsidRPr="00BE6536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3D52AEC" w14:textId="64DECCB7" w:rsidR="00BF4067" w:rsidRPr="00BE6536" w:rsidRDefault="00BF4067" w:rsidP="00BF4067">
            <w:pPr>
              <w:widowControl/>
              <w:rPr>
                <w:rFonts w:ascii="Times New Roman" w:eastAsia="等线" w:hAnsi="Times New Roman" w:cs="Times New Roman"/>
                <w:color w:val="212121"/>
                <w:szCs w:val="21"/>
              </w:rPr>
            </w:pPr>
            <w:r w:rsidRPr="00BE6536">
              <w:rPr>
                <w:rFonts w:ascii="Times New Roman" w:eastAsia="等线" w:hAnsi="Times New Roman" w:cs="Times New Roman"/>
                <w:color w:val="212121"/>
                <w:szCs w:val="21"/>
              </w:rPr>
              <w:t>J Hum Genet.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13DC71C9" w14:textId="28930D0E" w:rsidR="00BF4067" w:rsidRPr="00BE6536" w:rsidRDefault="00BF4067" w:rsidP="00BF4067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Postnatal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B05DB87" w14:textId="005E33EF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TES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AC383A9" w14:textId="1A7646EF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82</w:t>
            </w:r>
          </w:p>
        </w:tc>
        <w:tc>
          <w:tcPr>
            <w:tcW w:w="2187" w:type="dxa"/>
            <w:tcBorders>
              <w:bottom w:val="single" w:sz="4" w:space="0" w:color="auto"/>
            </w:tcBorders>
            <w:vAlign w:val="center"/>
          </w:tcPr>
          <w:p w14:paraId="399EDE62" w14:textId="6239F14C" w:rsidR="00BF4067" w:rsidRPr="00BE6536" w:rsidRDefault="00BF4067" w:rsidP="00BF4067">
            <w:pPr>
              <w:rPr>
                <w:rFonts w:ascii="Times New Roman" w:hAnsi="Times New Roman" w:cs="Times New Roman"/>
                <w:szCs w:val="21"/>
              </w:rPr>
            </w:pPr>
            <w:r w:rsidRPr="00BE6536">
              <w:rPr>
                <w:rFonts w:ascii="Times New Roman" w:hAnsi="Times New Roman" w:cs="Times New Roman"/>
                <w:szCs w:val="21"/>
              </w:rPr>
              <w:t>54%</w:t>
            </w:r>
          </w:p>
        </w:tc>
      </w:tr>
    </w:tbl>
    <w:p w14:paraId="4808AC62" w14:textId="5C942ACD" w:rsidR="007A6CC8" w:rsidRPr="007A6CC8" w:rsidRDefault="00664C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WES, </w:t>
      </w:r>
      <w:r w:rsidRPr="00664C36">
        <w:rPr>
          <w:rFonts w:ascii="Times New Roman" w:hAnsi="Times New Roman" w:cs="Times New Roman"/>
        </w:rPr>
        <w:t>whole-exome sequencing;</w:t>
      </w:r>
      <w:r>
        <w:rPr>
          <w:rFonts w:ascii="Times New Roman" w:hAnsi="Times New Roman" w:cs="Times New Roman" w:hint="eastAsia"/>
        </w:rPr>
        <w:t xml:space="preserve"> WGS, </w:t>
      </w:r>
      <w:r w:rsidRPr="00664C36">
        <w:rPr>
          <w:rFonts w:ascii="Times New Roman" w:hAnsi="Times New Roman" w:cs="Times New Roman"/>
        </w:rPr>
        <w:t>whole-genome sequencing</w:t>
      </w:r>
      <w:r>
        <w:rPr>
          <w:rFonts w:ascii="Times New Roman" w:hAnsi="Times New Roman" w:cs="Times New Roman" w:hint="eastAsia"/>
        </w:rPr>
        <w:t>; SS, Sanger sequencing; MLPA, m</w:t>
      </w:r>
      <w:r w:rsidRPr="00664C36">
        <w:rPr>
          <w:rFonts w:ascii="Times New Roman" w:hAnsi="Times New Roman" w:cs="Times New Roman"/>
        </w:rPr>
        <w:t>ultiplex ligation-dependent probe amplification</w:t>
      </w:r>
      <w:r>
        <w:rPr>
          <w:rFonts w:ascii="Times New Roman" w:hAnsi="Times New Roman" w:cs="Times New Roman" w:hint="eastAsia"/>
        </w:rPr>
        <w:t>; TES, t</w:t>
      </w:r>
      <w:r w:rsidRPr="00664C36">
        <w:rPr>
          <w:rFonts w:ascii="Times New Roman" w:hAnsi="Times New Roman" w:cs="Times New Roman"/>
        </w:rPr>
        <w:t xml:space="preserve">argeted </w:t>
      </w:r>
      <w:r>
        <w:rPr>
          <w:rFonts w:ascii="Times New Roman" w:hAnsi="Times New Roman" w:cs="Times New Roman" w:hint="eastAsia"/>
        </w:rPr>
        <w:t>e</w:t>
      </w:r>
      <w:r w:rsidRPr="00664C36">
        <w:rPr>
          <w:rFonts w:ascii="Times New Roman" w:hAnsi="Times New Roman" w:cs="Times New Roman"/>
        </w:rPr>
        <w:t xml:space="preserve">xome </w:t>
      </w:r>
      <w:r>
        <w:rPr>
          <w:rFonts w:ascii="Times New Roman" w:hAnsi="Times New Roman" w:cs="Times New Roman" w:hint="eastAsia"/>
        </w:rPr>
        <w:t>s</w:t>
      </w:r>
      <w:r w:rsidRPr="00664C36">
        <w:rPr>
          <w:rFonts w:ascii="Times New Roman" w:hAnsi="Times New Roman" w:cs="Times New Roman"/>
        </w:rPr>
        <w:t>equencing</w:t>
      </w:r>
      <w:r w:rsidR="008F1C0C">
        <w:rPr>
          <w:rFonts w:ascii="Times New Roman" w:hAnsi="Times New Roman" w:cs="Times New Roman" w:hint="eastAsia"/>
        </w:rPr>
        <w:t>.</w:t>
      </w:r>
    </w:p>
    <w:sectPr w:rsidR="007A6CC8" w:rsidRPr="007A6CC8" w:rsidSect="007A6CC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9B1BF" w14:textId="77777777" w:rsidR="007A6CC8" w:rsidRDefault="007A6CC8" w:rsidP="007A6CC8">
      <w:r>
        <w:separator/>
      </w:r>
    </w:p>
  </w:endnote>
  <w:endnote w:type="continuationSeparator" w:id="0">
    <w:p w14:paraId="0A22054B" w14:textId="77777777" w:rsidR="007A6CC8" w:rsidRDefault="007A6CC8" w:rsidP="007A6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FCAC8" w14:textId="77777777" w:rsidR="007A6CC8" w:rsidRDefault="007A6CC8" w:rsidP="007A6CC8">
      <w:r>
        <w:separator/>
      </w:r>
    </w:p>
  </w:footnote>
  <w:footnote w:type="continuationSeparator" w:id="0">
    <w:p w14:paraId="2D3A0231" w14:textId="77777777" w:rsidR="007A6CC8" w:rsidRDefault="007A6CC8" w:rsidP="007A6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72"/>
    <w:rsid w:val="000711F0"/>
    <w:rsid w:val="000C2253"/>
    <w:rsid w:val="00116E95"/>
    <w:rsid w:val="00366690"/>
    <w:rsid w:val="00632C88"/>
    <w:rsid w:val="00664C36"/>
    <w:rsid w:val="006D2898"/>
    <w:rsid w:val="00700172"/>
    <w:rsid w:val="007A6CC8"/>
    <w:rsid w:val="008D48BB"/>
    <w:rsid w:val="008F1C0C"/>
    <w:rsid w:val="00A615A8"/>
    <w:rsid w:val="00AE5FD8"/>
    <w:rsid w:val="00BC6CDF"/>
    <w:rsid w:val="00BE6536"/>
    <w:rsid w:val="00BF189B"/>
    <w:rsid w:val="00BF4067"/>
    <w:rsid w:val="00C50D74"/>
    <w:rsid w:val="00CB2FE9"/>
    <w:rsid w:val="00D2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4AEC9D"/>
  <w15:chartTrackingRefBased/>
  <w15:docId w15:val="{8DC89FBD-2671-4C99-833C-2D5605F5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017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0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1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0172"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0172"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0172"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017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017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017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0172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001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001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0172"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0172"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00172"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0017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0017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0017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0017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00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017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001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01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001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01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0172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01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00172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700172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A6C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A6CC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A6C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A6CC8"/>
    <w:rPr>
      <w:sz w:val="18"/>
      <w:szCs w:val="18"/>
    </w:rPr>
  </w:style>
  <w:style w:type="character" w:styleId="af2">
    <w:name w:val="Hyperlink"/>
    <w:basedOn w:val="a0"/>
    <w:uiPriority w:val="99"/>
    <w:unhideWhenUsed/>
    <w:rsid w:val="007A6CC8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A6CC8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7A6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dcterms:created xsi:type="dcterms:W3CDTF">2025-07-09T02:30:00Z</dcterms:created>
  <dcterms:modified xsi:type="dcterms:W3CDTF">2025-07-10T02:58:00Z</dcterms:modified>
</cp:coreProperties>
</file>