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23D8B" w14:textId="68CDA6A8" w:rsidR="002A4356" w:rsidRPr="00725ED1" w:rsidRDefault="002A4356" w:rsidP="002A4356">
      <w:pPr>
        <w:pStyle w:val="NoSpacing"/>
        <w:suppressLineNumbers/>
        <w:spacing w:line="480" w:lineRule="auto"/>
        <w:rPr>
          <w:rFonts w:ascii="Times New Roman" w:hAnsi="Times New Roman" w:cs="Times New Roman"/>
          <w:b/>
          <w:bCs/>
          <w:u w:val="single"/>
          <w:lang w:val="en-US"/>
        </w:rPr>
      </w:pPr>
    </w:p>
    <w:tbl>
      <w:tblPr>
        <w:tblStyle w:val="ListTable1Light-Accent31"/>
        <w:tblW w:w="9781" w:type="dxa"/>
        <w:jc w:val="center"/>
        <w:tblLook w:val="04A0" w:firstRow="1" w:lastRow="0" w:firstColumn="1" w:lastColumn="0" w:noHBand="0" w:noVBand="1"/>
      </w:tblPr>
      <w:tblGrid>
        <w:gridCol w:w="3261"/>
        <w:gridCol w:w="1076"/>
        <w:gridCol w:w="1011"/>
        <w:gridCol w:w="913"/>
        <w:gridCol w:w="876"/>
        <w:gridCol w:w="876"/>
        <w:gridCol w:w="913"/>
        <w:gridCol w:w="855"/>
      </w:tblGrid>
      <w:tr w:rsidR="002A4356" w:rsidRPr="0015618F" w14:paraId="569E3446" w14:textId="77777777" w:rsidTr="00317D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8"/>
            <w:tcBorders>
              <w:bottom w:val="single" w:sz="4" w:space="0" w:color="auto"/>
            </w:tcBorders>
            <w:noWrap/>
            <w:vAlign w:val="center"/>
          </w:tcPr>
          <w:p w14:paraId="0DDF9D32" w14:textId="37ED255B" w:rsidR="002A4356" w:rsidRPr="00317D15" w:rsidRDefault="002A4356" w:rsidP="00AA5BB1">
            <w:pPr>
              <w:ind w:left="-113" w:right="-57"/>
              <w:rPr>
                <w:rFonts w:ascii="Times New Roman" w:eastAsia="Calibri" w:hAnsi="Times New Roman" w:cs="Times New Roman"/>
                <w:color w:val="4472C4"/>
                <w:sz w:val="20"/>
                <w:szCs w:val="20"/>
                <w:u w:val="single"/>
                <w:lang w:val="en-US"/>
              </w:rPr>
            </w:pPr>
            <w:r w:rsidRPr="0015618F">
              <w:rPr>
                <w:rFonts w:ascii="Times New Roman" w:eastAsia="Calibri" w:hAnsi="Times New Roman" w:cs="Times New Roman"/>
                <w:b w:val="0"/>
                <w:bCs w:val="0"/>
                <w:color w:val="4472C4"/>
                <w:sz w:val="20"/>
                <w:szCs w:val="20"/>
                <w:u w:val="single"/>
              </w:rPr>
              <w:br w:type="page"/>
            </w:r>
            <w:r>
              <w:rPr>
                <w:rFonts w:ascii="Times New Roman" w:eastAsia="Calibri" w:hAnsi="Times New Roman" w:cs="Times New Roman"/>
                <w:b w:val="0"/>
                <w:bCs w:val="0"/>
                <w:color w:val="4472C4"/>
                <w:sz w:val="20"/>
                <w:szCs w:val="20"/>
                <w:lang w:val="en-US"/>
              </w:rPr>
              <w:t xml:space="preserve">  </w:t>
            </w:r>
            <w:r w:rsidRPr="0015618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Supplementary Table</w:t>
            </w:r>
            <w:r w:rsidR="00317D1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 xml:space="preserve"> 1</w:t>
            </w:r>
            <w:r w:rsidRPr="0015618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17D15">
              <w:rPr>
                <w:rFonts w:ascii="Times New Roman" w:eastAsia="Calibri" w:hAnsi="Times New Roman" w:cs="Times New Roman"/>
                <w:b w:val="0"/>
                <w:bCs w:val="0"/>
                <w:color w:val="000000"/>
                <w:sz w:val="20"/>
                <w:szCs w:val="20"/>
              </w:rPr>
              <w:t>Comparison of the different features in Loeys-Dietz syndrome mouse models</w:t>
            </w:r>
          </w:p>
        </w:tc>
      </w:tr>
      <w:tr w:rsidR="002A4356" w:rsidRPr="0015618F" w14:paraId="505ADC00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E483940" w14:textId="77777777" w:rsidR="002A4356" w:rsidRPr="0015618F" w:rsidRDefault="002A4356" w:rsidP="00317D1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Systemic features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3C8FB3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Genes</w:t>
            </w:r>
          </w:p>
        </w:tc>
      </w:tr>
      <w:tr w:rsidR="002A4356" w:rsidRPr="0015618F" w14:paraId="5138DFC2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B6D679" w14:textId="77777777" w:rsidR="002A4356" w:rsidRPr="0015618F" w:rsidRDefault="002A4356" w:rsidP="00AA5BB1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  <w:noWrap/>
            <w:hideMark/>
          </w:tcPr>
          <w:p w14:paraId="294EBE12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Tgfbr1</w:t>
            </w:r>
          </w:p>
        </w:tc>
        <w:tc>
          <w:tcPr>
            <w:tcW w:w="1011" w:type="dxa"/>
            <w:tcBorders>
              <w:top w:val="single" w:sz="4" w:space="0" w:color="auto"/>
            </w:tcBorders>
            <w:noWrap/>
            <w:hideMark/>
          </w:tcPr>
          <w:p w14:paraId="4CDE7169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Tgfbr2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B19DD1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Smad3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15001825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Tgfb2</w:t>
            </w:r>
          </w:p>
        </w:tc>
        <w:tc>
          <w:tcPr>
            <w:tcW w:w="876" w:type="dxa"/>
            <w:tcBorders>
              <w:top w:val="single" w:sz="4" w:space="0" w:color="auto"/>
            </w:tcBorders>
            <w:noWrap/>
            <w:hideMark/>
          </w:tcPr>
          <w:p w14:paraId="3FAB0647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Tgfb3</w:t>
            </w:r>
          </w:p>
        </w:tc>
        <w:tc>
          <w:tcPr>
            <w:tcW w:w="913" w:type="dxa"/>
            <w:tcBorders>
              <w:top w:val="single" w:sz="4" w:space="0" w:color="auto"/>
            </w:tcBorders>
            <w:noWrap/>
            <w:hideMark/>
          </w:tcPr>
          <w:p w14:paraId="1F1CAC89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Smad2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2A13B5F9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Ipo8</w:t>
            </w:r>
          </w:p>
        </w:tc>
      </w:tr>
      <w:tr w:rsidR="002A4356" w:rsidRPr="0015618F" w14:paraId="11A95793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noWrap/>
            <w:hideMark/>
          </w:tcPr>
          <w:p w14:paraId="0DECE833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Embryonic lethality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5494B462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7D8F4DB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shd w:val="clear" w:color="auto" w:fill="auto"/>
            <w:noWrap/>
            <w:vAlign w:val="center"/>
          </w:tcPr>
          <w:p w14:paraId="09366CE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07FD5AC7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1D902AE2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3EC9E87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2E8A25B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09899DB0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14:paraId="28916610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Aortic dilatation</w:t>
            </w:r>
          </w:p>
        </w:tc>
        <w:tc>
          <w:tcPr>
            <w:tcW w:w="1076" w:type="dxa"/>
            <w:noWrap/>
            <w:vAlign w:val="center"/>
            <w:hideMark/>
          </w:tcPr>
          <w:p w14:paraId="6D054E79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noWrap/>
            <w:vAlign w:val="center"/>
            <w:hideMark/>
          </w:tcPr>
          <w:p w14:paraId="7FA06FEA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noWrap/>
            <w:vAlign w:val="center"/>
            <w:hideMark/>
          </w:tcPr>
          <w:p w14:paraId="48F25CDE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noWrap/>
            <w:vAlign w:val="center"/>
            <w:hideMark/>
          </w:tcPr>
          <w:p w14:paraId="14E18A0A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noWrap/>
            <w:vAlign w:val="center"/>
            <w:hideMark/>
          </w:tcPr>
          <w:p w14:paraId="2B796FDC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noWrap/>
            <w:vAlign w:val="center"/>
            <w:hideMark/>
          </w:tcPr>
          <w:p w14:paraId="6CC516AC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vAlign w:val="center"/>
          </w:tcPr>
          <w:p w14:paraId="6003B6D3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</w:tr>
      <w:tr w:rsidR="002A4356" w:rsidRPr="0015618F" w14:paraId="217950E7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noWrap/>
            <w:hideMark/>
          </w:tcPr>
          <w:p w14:paraId="7F732507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Arterial tortuosity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7F60714E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14:paraId="31E7AF9A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204880F0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1887306F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1559E379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347867EF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0A380089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7E947FD4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14:paraId="46216C2F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Aortic wall architecture abnormalities</w:t>
            </w:r>
          </w:p>
        </w:tc>
        <w:tc>
          <w:tcPr>
            <w:tcW w:w="1076" w:type="dxa"/>
            <w:noWrap/>
            <w:vAlign w:val="center"/>
            <w:hideMark/>
          </w:tcPr>
          <w:p w14:paraId="0B401EBE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noWrap/>
            <w:vAlign w:val="center"/>
            <w:hideMark/>
          </w:tcPr>
          <w:p w14:paraId="35E8266E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noWrap/>
            <w:vAlign w:val="center"/>
            <w:hideMark/>
          </w:tcPr>
          <w:p w14:paraId="261727C6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noWrap/>
            <w:vAlign w:val="center"/>
            <w:hideMark/>
          </w:tcPr>
          <w:p w14:paraId="615D9A4A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5EF4EE09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  <w:hideMark/>
          </w:tcPr>
          <w:p w14:paraId="755CB159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55" w:type="dxa"/>
            <w:vAlign w:val="center"/>
          </w:tcPr>
          <w:p w14:paraId="000C9A9F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</w:tr>
      <w:tr w:rsidR="002A4356" w:rsidRPr="0015618F" w14:paraId="23CB5326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noWrap/>
            <w:hideMark/>
          </w:tcPr>
          <w:p w14:paraId="21F8DF74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Aortic rupture and/or dissection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63A13AEF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14:paraId="3B5EBBD7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3C58F8DA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3C4FA38E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564248B0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47EB7A6E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FC4966B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</w:tr>
      <w:tr w:rsidR="002A4356" w:rsidRPr="0015618F" w14:paraId="490F5BC5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14:paraId="4A41AF32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Structural heart defects</w:t>
            </w:r>
          </w:p>
        </w:tc>
        <w:tc>
          <w:tcPr>
            <w:tcW w:w="1076" w:type="dxa"/>
            <w:noWrap/>
            <w:vAlign w:val="center"/>
            <w:hideMark/>
          </w:tcPr>
          <w:p w14:paraId="54EAFB90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1" w:type="dxa"/>
            <w:noWrap/>
            <w:vAlign w:val="center"/>
            <w:hideMark/>
          </w:tcPr>
          <w:p w14:paraId="55C19A74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  <w:hideMark/>
          </w:tcPr>
          <w:p w14:paraId="7F4F377E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1D10D76F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noWrap/>
            <w:vAlign w:val="center"/>
            <w:hideMark/>
          </w:tcPr>
          <w:p w14:paraId="2A257E24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noWrap/>
            <w:vAlign w:val="center"/>
            <w:hideMark/>
          </w:tcPr>
          <w:p w14:paraId="7B64E31F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vAlign w:val="center"/>
          </w:tcPr>
          <w:p w14:paraId="686A175E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1622EBDD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noWrap/>
            <w:hideMark/>
          </w:tcPr>
          <w:p w14:paraId="6D40809C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Lung developmental defects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5E92DE06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14:paraId="435C8809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4FDBA4C6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384D2229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02245DC2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482D8D4E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1692BB2A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2732C054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14:paraId="54BF3A33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Pneumothorax/hemothorax</w:t>
            </w:r>
          </w:p>
        </w:tc>
        <w:tc>
          <w:tcPr>
            <w:tcW w:w="1076" w:type="dxa"/>
            <w:noWrap/>
            <w:vAlign w:val="center"/>
            <w:hideMark/>
          </w:tcPr>
          <w:p w14:paraId="4728AA37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noWrap/>
            <w:vAlign w:val="center"/>
            <w:hideMark/>
          </w:tcPr>
          <w:p w14:paraId="7E16EB33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noWrap/>
            <w:vAlign w:val="center"/>
          </w:tcPr>
          <w:p w14:paraId="504A00F5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</w:tcPr>
          <w:p w14:paraId="4213938A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</w:tcPr>
          <w:p w14:paraId="040FFB7D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</w:tcPr>
          <w:p w14:paraId="742FA287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vAlign w:val="center"/>
          </w:tcPr>
          <w:p w14:paraId="627B171E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1753DFFB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noWrap/>
            <w:hideMark/>
          </w:tcPr>
          <w:p w14:paraId="6109159B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Bifid uvula/cleft palate</w:t>
            </w: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348EB2E7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6172085B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6EB76CFD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0DDD0F43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749F3FC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1C5F79B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15CDE842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5EC0C784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14:paraId="07C455E9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Craniosynostosis</w:t>
            </w:r>
          </w:p>
        </w:tc>
        <w:tc>
          <w:tcPr>
            <w:tcW w:w="1076" w:type="dxa"/>
            <w:noWrap/>
            <w:vAlign w:val="center"/>
            <w:hideMark/>
          </w:tcPr>
          <w:p w14:paraId="12208831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noWrap/>
            <w:vAlign w:val="center"/>
            <w:hideMark/>
          </w:tcPr>
          <w:p w14:paraId="05156A4A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noWrap/>
            <w:vAlign w:val="center"/>
            <w:hideMark/>
          </w:tcPr>
          <w:p w14:paraId="219B4BFC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5DBED7BD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7D675BA7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  <w:hideMark/>
          </w:tcPr>
          <w:p w14:paraId="01340863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vAlign w:val="center"/>
          </w:tcPr>
          <w:p w14:paraId="4432750A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42401C8C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noWrap/>
            <w:hideMark/>
          </w:tcPr>
          <w:p w14:paraId="24B2F1D0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dental anomalies</w:t>
            </w:r>
          </w:p>
        </w:tc>
        <w:tc>
          <w:tcPr>
            <w:tcW w:w="1076" w:type="dxa"/>
            <w:shd w:val="clear" w:color="auto" w:fill="auto"/>
            <w:noWrap/>
            <w:vAlign w:val="center"/>
            <w:hideMark/>
          </w:tcPr>
          <w:p w14:paraId="7FF390C0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center"/>
            <w:hideMark/>
          </w:tcPr>
          <w:p w14:paraId="3E050DEF" w14:textId="57182D77" w:rsidR="002A4356" w:rsidRPr="00850A36" w:rsidRDefault="00850A3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850A36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highlight w:val="yellow"/>
                <w:lang w:val="en-US"/>
                <w14:ligatures w14:val="none"/>
              </w:rPr>
              <w:t>+</w:t>
            </w: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62F47126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56A5AB26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  <w:hideMark/>
          </w:tcPr>
          <w:p w14:paraId="2CA3C3A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shd w:val="clear" w:color="auto" w:fill="auto"/>
            <w:noWrap/>
            <w:vAlign w:val="center"/>
            <w:hideMark/>
          </w:tcPr>
          <w:p w14:paraId="2196626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214A80E9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71DF8BC6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</w:tcPr>
          <w:p w14:paraId="3093FFA7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Retinal abnormalities</w:t>
            </w:r>
          </w:p>
        </w:tc>
        <w:tc>
          <w:tcPr>
            <w:tcW w:w="1076" w:type="dxa"/>
            <w:noWrap/>
            <w:vAlign w:val="center"/>
          </w:tcPr>
          <w:p w14:paraId="38C36683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1" w:type="dxa"/>
            <w:noWrap/>
            <w:vAlign w:val="center"/>
          </w:tcPr>
          <w:p w14:paraId="3B4075F3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</w:tcPr>
          <w:p w14:paraId="32F9B442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</w:tcPr>
          <w:p w14:paraId="30851EAB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noWrap/>
            <w:vAlign w:val="center"/>
          </w:tcPr>
          <w:p w14:paraId="7DF66607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</w:tcPr>
          <w:p w14:paraId="70B50790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vAlign w:val="center"/>
          </w:tcPr>
          <w:p w14:paraId="6BF0043D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041DB220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noWrap/>
          </w:tcPr>
          <w:p w14:paraId="28020F43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Auricular abnormalities</w:t>
            </w: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72103934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736F851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shd w:val="clear" w:color="auto" w:fill="auto"/>
            <w:noWrap/>
            <w:vAlign w:val="center"/>
          </w:tcPr>
          <w:p w14:paraId="185281E1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304D4E36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20BE2D4F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shd w:val="clear" w:color="auto" w:fill="auto"/>
            <w:noWrap/>
            <w:vAlign w:val="center"/>
          </w:tcPr>
          <w:p w14:paraId="3ADCF250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4948ACE5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5D385933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noWrap/>
            <w:hideMark/>
          </w:tcPr>
          <w:p w14:paraId="02471C71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Spine instability/abnormality</w:t>
            </w:r>
          </w:p>
        </w:tc>
        <w:tc>
          <w:tcPr>
            <w:tcW w:w="1076" w:type="dxa"/>
            <w:noWrap/>
            <w:vAlign w:val="center"/>
            <w:hideMark/>
          </w:tcPr>
          <w:p w14:paraId="7D1AD1F8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noWrap/>
            <w:vAlign w:val="center"/>
            <w:hideMark/>
          </w:tcPr>
          <w:p w14:paraId="08F61CC6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noWrap/>
            <w:vAlign w:val="center"/>
            <w:hideMark/>
          </w:tcPr>
          <w:p w14:paraId="64BA7DEB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617D7DBB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noWrap/>
            <w:vAlign w:val="center"/>
            <w:hideMark/>
          </w:tcPr>
          <w:p w14:paraId="264D5536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noWrap/>
            <w:vAlign w:val="center"/>
            <w:hideMark/>
          </w:tcPr>
          <w:p w14:paraId="7FCAD021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vAlign w:val="center"/>
          </w:tcPr>
          <w:p w14:paraId="229F8830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30A3D0E7" w14:textId="77777777" w:rsidTr="00317D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shd w:val="clear" w:color="auto" w:fill="auto"/>
            <w:noWrap/>
          </w:tcPr>
          <w:p w14:paraId="55C2E978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Abnormal bone morphology and/or mechanical strength</w:t>
            </w:r>
          </w:p>
        </w:tc>
        <w:tc>
          <w:tcPr>
            <w:tcW w:w="1076" w:type="dxa"/>
            <w:shd w:val="clear" w:color="auto" w:fill="auto"/>
            <w:noWrap/>
            <w:vAlign w:val="center"/>
          </w:tcPr>
          <w:p w14:paraId="318388A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-</w:t>
            </w:r>
          </w:p>
        </w:tc>
        <w:tc>
          <w:tcPr>
            <w:tcW w:w="1011" w:type="dxa"/>
            <w:shd w:val="clear" w:color="auto" w:fill="auto"/>
            <w:noWrap/>
            <w:vAlign w:val="center"/>
          </w:tcPr>
          <w:p w14:paraId="1E1EED6D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shd w:val="clear" w:color="auto" w:fill="auto"/>
            <w:noWrap/>
            <w:vAlign w:val="center"/>
          </w:tcPr>
          <w:p w14:paraId="23873841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1585DE4C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shd w:val="clear" w:color="auto" w:fill="auto"/>
            <w:noWrap/>
            <w:vAlign w:val="center"/>
          </w:tcPr>
          <w:p w14:paraId="4BADC46D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shd w:val="clear" w:color="auto" w:fill="auto"/>
            <w:noWrap/>
            <w:vAlign w:val="center"/>
          </w:tcPr>
          <w:p w14:paraId="645579FD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3E35CA6F" w14:textId="77777777" w:rsidR="002A4356" w:rsidRPr="0015618F" w:rsidRDefault="002A4356" w:rsidP="00317D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2A4356" w:rsidRPr="0015618F" w14:paraId="77ACAF3C" w14:textId="77777777" w:rsidTr="00317D15">
        <w:trPr>
          <w:trHeight w:val="2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auto"/>
            </w:tcBorders>
            <w:noWrap/>
          </w:tcPr>
          <w:p w14:paraId="1791F9D3" w14:textId="77777777" w:rsidR="002A4356" w:rsidRPr="0015618F" w:rsidRDefault="002A4356" w:rsidP="00AA5BB1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20"/>
                <w:szCs w:val="20"/>
                <w14:ligatures w14:val="none"/>
              </w:rPr>
              <w:t>Inflammation and/or immune dysregulation</w:t>
            </w:r>
          </w:p>
        </w:tc>
        <w:tc>
          <w:tcPr>
            <w:tcW w:w="1076" w:type="dxa"/>
            <w:tcBorders>
              <w:bottom w:val="single" w:sz="4" w:space="0" w:color="auto"/>
            </w:tcBorders>
            <w:noWrap/>
            <w:vAlign w:val="center"/>
          </w:tcPr>
          <w:p w14:paraId="5629C734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1011" w:type="dxa"/>
            <w:tcBorders>
              <w:bottom w:val="single" w:sz="4" w:space="0" w:color="auto"/>
            </w:tcBorders>
            <w:noWrap/>
            <w:vAlign w:val="center"/>
          </w:tcPr>
          <w:p w14:paraId="1BCBEE89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</w:tcPr>
          <w:p w14:paraId="798AACAC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15618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+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vAlign w:val="center"/>
          </w:tcPr>
          <w:p w14:paraId="580F3772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noWrap/>
            <w:vAlign w:val="center"/>
          </w:tcPr>
          <w:p w14:paraId="5ACEFF15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13" w:type="dxa"/>
            <w:tcBorders>
              <w:bottom w:val="single" w:sz="4" w:space="0" w:color="auto"/>
            </w:tcBorders>
            <w:noWrap/>
            <w:vAlign w:val="center"/>
          </w:tcPr>
          <w:p w14:paraId="521CAD55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31327484" w14:textId="77777777" w:rsidR="002A4356" w:rsidRPr="0015618F" w:rsidRDefault="002A4356" w:rsidP="00317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6CB9559" w14:textId="77777777" w:rsidR="002A4356" w:rsidRPr="00317D15" w:rsidRDefault="002A4356" w:rsidP="002A4356">
      <w:pPr>
        <w:suppressLineNumbers/>
        <w:spacing w:after="0" w:line="240" w:lineRule="auto"/>
        <w:ind w:left="-113" w:right="-57"/>
        <w:jc w:val="both"/>
        <w:rPr>
          <w:rFonts w:ascii="Times New Roman" w:eastAsia="Calibri" w:hAnsi="Times New Roman" w:cs="Times New Roman"/>
          <w:i/>
          <w:iCs/>
        </w:rPr>
      </w:pPr>
      <w:r w:rsidRPr="00317D15">
        <w:rPr>
          <w:rFonts w:ascii="Times New Roman" w:eastAsia="Calibri" w:hAnsi="Times New Roman" w:cs="Times New Roman"/>
          <w:i/>
          <w:iCs/>
        </w:rPr>
        <w:t xml:space="preserve">(+) indicates the presence of the feature; (-) indicates the absence of the feature and empty cells indicate that the feature was not mentioned or investigated in the model. </w:t>
      </w:r>
    </w:p>
    <w:p w14:paraId="4DE571E5" w14:textId="7985D010" w:rsidR="00653D6A" w:rsidRPr="002A4356" w:rsidRDefault="002A4356" w:rsidP="002A4356">
      <w:pPr>
        <w:suppressLineNumbers/>
        <w:spacing w:line="240" w:lineRule="auto"/>
        <w:ind w:left="-113" w:right="-5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3174E">
        <w:rPr>
          <w:rFonts w:ascii="Times New Roman" w:eastAsia="Calibri" w:hAnsi="Times New Roman" w:cs="Times New Roman"/>
          <w:i/>
          <w:iCs/>
        </w:rPr>
        <w:t xml:space="preserve">The systemic features listed in this table vary depending on the affected gene, variant type and genetic strain. Interpretations should be made in conjunction </w:t>
      </w:r>
      <w:r w:rsidRPr="00317D15">
        <w:rPr>
          <w:rFonts w:ascii="Times New Roman" w:eastAsia="Calibri" w:hAnsi="Times New Roman" w:cs="Times New Roman"/>
          <w:i/>
          <w:iCs/>
        </w:rPr>
        <w:t xml:space="preserve">with </w:t>
      </w:r>
      <w:r w:rsidRPr="00317D15">
        <w:rPr>
          <w:rFonts w:ascii="Times New Roman" w:eastAsia="Calibri" w:hAnsi="Times New Roman" w:cs="Times New Roman"/>
          <w:i/>
          <w:iCs/>
          <w:color w:val="000000" w:themeColor="text1"/>
        </w:rPr>
        <w:t>Table</w:t>
      </w:r>
      <w:r w:rsidRPr="00317D15">
        <w:rPr>
          <w:rFonts w:ascii="Times New Roman" w:eastAsia="Calibri" w:hAnsi="Times New Roman" w:cs="Times New Roman"/>
          <w:i/>
          <w:iCs/>
          <w:color w:val="0563C1"/>
        </w:rPr>
        <w:t xml:space="preserve"> 2</w:t>
      </w:r>
      <w:r w:rsidRPr="00317D15">
        <w:rPr>
          <w:rFonts w:ascii="Times New Roman" w:eastAsia="Calibri" w:hAnsi="Times New Roman" w:cs="Times New Roman"/>
          <w:i/>
          <w:iCs/>
        </w:rPr>
        <w:t>,</w:t>
      </w:r>
      <w:r w:rsidRPr="00A3174E">
        <w:rPr>
          <w:rFonts w:ascii="Times New Roman" w:eastAsia="Calibri" w:hAnsi="Times New Roman" w:cs="Times New Roman"/>
          <w:i/>
          <w:iCs/>
        </w:rPr>
        <w:t xml:space="preserve"> which provides detailed phenotypic information. </w:t>
      </w:r>
    </w:p>
    <w:sectPr w:rsidR="00653D6A" w:rsidRPr="002A4356" w:rsidSect="002A4356">
      <w:headerReference w:type="default" r:id="rId6"/>
      <w:footerReference w:type="default" r:id="rId7"/>
      <w:headerReference w:type="first" r:id="rId8"/>
      <w:pgSz w:w="11906" w:h="16838"/>
      <w:pgMar w:top="1134" w:right="1134" w:bottom="1134" w:left="1134" w:header="709" w:footer="709" w:gutter="0"/>
      <w:lnNumType w:countBy="1" w:restart="continuou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9E2D" w14:textId="77777777" w:rsidR="007F2D92" w:rsidRDefault="007F2D92">
      <w:pPr>
        <w:spacing w:after="0" w:line="240" w:lineRule="auto"/>
      </w:pPr>
      <w:r>
        <w:separator/>
      </w:r>
    </w:p>
  </w:endnote>
  <w:endnote w:type="continuationSeparator" w:id="0">
    <w:p w14:paraId="6393E189" w14:textId="77777777" w:rsidR="007F2D92" w:rsidRDefault="007F2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6947466"/>
      <w:docPartObj>
        <w:docPartGallery w:val="Page Numbers (Bottom of Page)"/>
        <w:docPartUnique/>
      </w:docPartObj>
    </w:sdtPr>
    <w:sdtEndPr/>
    <w:sdtContent>
      <w:p w14:paraId="6799CB4D" w14:textId="77777777" w:rsidR="002A4356" w:rsidRDefault="002A4356">
        <w:pPr>
          <w:pStyle w:val="Footer"/>
          <w:jc w:val="right"/>
        </w:pPr>
        <w:r w:rsidRPr="00CA601A">
          <w:rPr>
            <w:rFonts w:ascii="Times New Roman" w:hAnsi="Times New Roman" w:cs="Times New Roman"/>
          </w:rPr>
          <w:fldChar w:fldCharType="begin"/>
        </w:r>
        <w:r w:rsidRPr="00CA601A">
          <w:rPr>
            <w:rFonts w:ascii="Times New Roman" w:hAnsi="Times New Roman" w:cs="Times New Roman"/>
          </w:rPr>
          <w:instrText>PAGE   \* MERGEFORMAT</w:instrText>
        </w:r>
        <w:r w:rsidRPr="00CA601A">
          <w:rPr>
            <w:rFonts w:ascii="Times New Roman" w:hAnsi="Times New Roman" w:cs="Times New Roman"/>
          </w:rPr>
          <w:fldChar w:fldCharType="separate"/>
        </w:r>
        <w:r w:rsidRPr="00CA601A">
          <w:rPr>
            <w:rFonts w:ascii="Times New Roman" w:hAnsi="Times New Roman" w:cs="Times New Roman"/>
            <w:noProof/>
            <w:lang w:val="fr-FR"/>
          </w:rPr>
          <w:t>7</w:t>
        </w:r>
        <w:r w:rsidRPr="00CA601A">
          <w:rPr>
            <w:rFonts w:ascii="Times New Roman" w:hAnsi="Times New Roman" w:cs="Times New Roman"/>
          </w:rPr>
          <w:fldChar w:fldCharType="end"/>
        </w:r>
      </w:p>
    </w:sdtContent>
  </w:sdt>
  <w:p w14:paraId="121931F3" w14:textId="77777777" w:rsidR="002A4356" w:rsidRDefault="002A43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77EB6" w14:textId="77777777" w:rsidR="007F2D92" w:rsidRDefault="007F2D92">
      <w:pPr>
        <w:spacing w:after="0" w:line="240" w:lineRule="auto"/>
      </w:pPr>
      <w:r>
        <w:separator/>
      </w:r>
    </w:p>
  </w:footnote>
  <w:footnote w:type="continuationSeparator" w:id="0">
    <w:p w14:paraId="621EE74F" w14:textId="77777777" w:rsidR="007F2D92" w:rsidRDefault="007F2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D4367" w14:textId="77777777" w:rsidR="002A4356" w:rsidRPr="00CA601A" w:rsidRDefault="002A4356" w:rsidP="00735BB0">
    <w:pPr>
      <w:pStyle w:val="Header"/>
      <w:jc w:val="right"/>
      <w:rPr>
        <w:rFonts w:ascii="Times New Roman" w:hAnsi="Times New Roman" w:cs="Times New Roman"/>
        <w:i/>
        <w:iCs/>
      </w:rPr>
    </w:pPr>
    <w:r w:rsidRPr="00CA601A">
      <w:rPr>
        <w:rFonts w:ascii="Times New Roman" w:hAnsi="Times New Roman" w:cs="Times New Roman"/>
        <w:i/>
        <w:iCs/>
      </w:rPr>
      <w:t xml:space="preserve">Bousbaa </w:t>
    </w:r>
    <w:r w:rsidRPr="0057657D">
      <w:rPr>
        <w:rFonts w:ascii="Times New Roman" w:hAnsi="Times New Roman" w:cs="Times New Roman"/>
        <w:i/>
        <w:iCs/>
      </w:rPr>
      <w:t>et al.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4001A" w14:textId="2FE4EAC2" w:rsidR="002A4356" w:rsidRPr="00907EAA" w:rsidRDefault="006371D0" w:rsidP="006371D0">
    <w:pPr>
      <w:pStyle w:val="Header"/>
      <w:rPr>
        <w:rFonts w:ascii="Times New Roman" w:hAnsi="Times New Roman" w:cs="Times New Roman"/>
        <w:i/>
        <w:iCs/>
      </w:rPr>
    </w:pPr>
    <w:r w:rsidRPr="006371D0">
      <w:rPr>
        <w:rFonts w:ascii="Times New Roman" w:hAnsi="Times New Roman" w:cs="Times New Roman"/>
        <w:b/>
        <w:bCs/>
      </w:rPr>
      <w:t xml:space="preserve">Supplementary material                                                                                                             </w:t>
    </w:r>
    <w:r w:rsidR="002A4356" w:rsidRPr="006371D0">
      <w:rPr>
        <w:rFonts w:ascii="Times New Roman" w:hAnsi="Times New Roman" w:cs="Times New Roman"/>
        <w:i/>
        <w:iCs/>
      </w:rPr>
      <w:t>Bousbaa</w:t>
    </w:r>
    <w:r w:rsidR="002A4356" w:rsidRPr="00907EAA">
      <w:rPr>
        <w:rFonts w:ascii="Times New Roman" w:hAnsi="Times New Roman" w:cs="Times New Roman"/>
        <w:i/>
        <w:iCs/>
      </w:rPr>
      <w:t xml:space="preserve"> </w:t>
    </w:r>
    <w:r w:rsidR="002A4356" w:rsidRPr="0057657D">
      <w:rPr>
        <w:rFonts w:ascii="Times New Roman" w:hAnsi="Times New Roman" w:cs="Times New Roman"/>
        <w:i/>
        <w:iCs/>
      </w:rPr>
      <w:t>et al.</w:t>
    </w:r>
  </w:p>
  <w:p w14:paraId="5F84B2B2" w14:textId="77777777" w:rsidR="002A4356" w:rsidRDefault="002A43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60E"/>
    <w:rsid w:val="00054EDF"/>
    <w:rsid w:val="00060D98"/>
    <w:rsid w:val="001C7FEC"/>
    <w:rsid w:val="001E5F70"/>
    <w:rsid w:val="002A4356"/>
    <w:rsid w:val="002B455E"/>
    <w:rsid w:val="00317D15"/>
    <w:rsid w:val="00320F52"/>
    <w:rsid w:val="004E560E"/>
    <w:rsid w:val="006371D0"/>
    <w:rsid w:val="00653D6A"/>
    <w:rsid w:val="007F2D92"/>
    <w:rsid w:val="00850A36"/>
    <w:rsid w:val="009535FF"/>
    <w:rsid w:val="00C42D8C"/>
    <w:rsid w:val="00D61C1F"/>
    <w:rsid w:val="00F308CC"/>
    <w:rsid w:val="00FA549A"/>
    <w:rsid w:val="00FB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73662"/>
  <w15:chartTrackingRefBased/>
  <w15:docId w15:val="{3F384A1E-20EE-4381-BE58-2D1D57A92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35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56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6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6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60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60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60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60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60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60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6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6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6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6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6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6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60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60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E56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60E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E56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6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60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A4356"/>
    <w:pPr>
      <w:spacing w:after="0" w:line="240" w:lineRule="auto"/>
    </w:pPr>
    <w:rPr>
      <w:sz w:val="22"/>
      <w:szCs w:val="22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2A4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35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A43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356"/>
    <w:rPr>
      <w:sz w:val="22"/>
      <w:szCs w:val="22"/>
    </w:rPr>
  </w:style>
  <w:style w:type="table" w:customStyle="1" w:styleId="ListTable1Light-Accent31">
    <w:name w:val="List Table 1 Light - Accent 31"/>
    <w:basedOn w:val="TableNormal"/>
    <w:next w:val="ListTable1Light-Accent3"/>
    <w:uiPriority w:val="46"/>
    <w:rsid w:val="002A4356"/>
    <w:pPr>
      <w:spacing w:after="0" w:line="240" w:lineRule="auto"/>
    </w:pPr>
    <w:rPr>
      <w:sz w:val="22"/>
      <w:szCs w:val="22"/>
      <w:lang w:val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ListTable1Light-Accent3">
    <w:name w:val="List Table 1 Light Accent 3"/>
    <w:basedOn w:val="TableNormal"/>
    <w:uiPriority w:val="46"/>
    <w:rsid w:val="002A435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4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Bousbaa</dc:creator>
  <cp:keywords/>
  <dc:description/>
  <cp:lastModifiedBy>Amira Bousbaa</cp:lastModifiedBy>
  <cp:revision>5</cp:revision>
  <dcterms:created xsi:type="dcterms:W3CDTF">2026-03-10T08:57:00Z</dcterms:created>
  <dcterms:modified xsi:type="dcterms:W3CDTF">2026-05-05T11:24:00Z</dcterms:modified>
</cp:coreProperties>
</file>