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FFD09">
      <w:pPr>
        <w:jc w:val="center"/>
        <w:rPr>
          <w:rFonts w:hint="default" w:ascii="Times New Roman" w:hAnsi="Times New Roman" w:cs="Times New Roman"/>
          <w:b/>
          <w:bCs/>
          <w:sz w:val="28"/>
          <w:szCs w:val="28"/>
        </w:rPr>
      </w:pPr>
      <w:bookmarkStart w:id="0" w:name="_GoBack"/>
      <w:bookmarkEnd w:id="0"/>
      <w:r>
        <w:rPr>
          <w:rFonts w:hint="default" w:ascii="Times New Roman" w:hAnsi="Times New Roman" w:cs="Times New Roman"/>
          <w:b/>
          <w:bCs/>
          <w:sz w:val="28"/>
          <w:szCs w:val="28"/>
        </w:rPr>
        <w:t>Supplementary Material</w:t>
      </w:r>
    </w:p>
    <w:p w14:paraId="38501DFF">
      <w:pPr>
        <w:rPr>
          <w:rFonts w:hint="default" w:ascii="Times New Roman" w:hAnsi="Times New Roman" w:cs="Times New Roman"/>
          <w:sz w:val="22"/>
          <w:szCs w:val="28"/>
        </w:rPr>
      </w:pPr>
      <w:r>
        <w:rPr>
          <w:rFonts w:hint="default" w:ascii="Times New Roman" w:hAnsi="Times New Roman" w:cs="Times New Roman"/>
          <w:b/>
          <w:bCs/>
          <w:sz w:val="22"/>
          <w:szCs w:val="28"/>
        </w:rPr>
        <w:t xml:space="preserve">The </w:t>
      </w:r>
      <w:r>
        <w:rPr>
          <w:rFonts w:hint="eastAsia" w:ascii="Times New Roman" w:hAnsi="Times New Roman" w:cs="Times New Roman"/>
          <w:b/>
          <w:bCs/>
          <w:sz w:val="22"/>
          <w:szCs w:val="28"/>
          <w:lang w:val="en-US" w:eastAsia="zh-CN"/>
        </w:rPr>
        <w:t>17</w:t>
      </w:r>
      <w:r>
        <w:rPr>
          <w:rFonts w:hint="default" w:ascii="Times New Roman" w:hAnsi="Times New Roman" w:cs="Times New Roman"/>
          <w:b/>
          <w:bCs/>
          <w:sz w:val="22"/>
          <w:szCs w:val="28"/>
        </w:rPr>
        <w:t xml:space="preserve"> medical centers</w:t>
      </w:r>
    </w:p>
    <w:p w14:paraId="74935AD6">
      <w:pPr>
        <w:rPr>
          <w:rFonts w:hint="default" w:ascii="Times New Roman" w:hAnsi="Times New Roman" w:cs="Times New Roman"/>
        </w:rPr>
      </w:pPr>
      <w:r>
        <w:rPr>
          <w:rFonts w:hint="default" w:ascii="Times New Roman" w:hAnsi="Times New Roman" w:cs="Times New Roman"/>
        </w:rPr>
        <w:t xml:space="preserve">Our patients were from </w:t>
      </w:r>
      <w:r>
        <w:rPr>
          <w:rFonts w:hint="eastAsia" w:ascii="Times New Roman" w:hAnsi="Times New Roman" w:cs="Times New Roman"/>
          <w:lang w:val="en-US" w:eastAsia="zh-CN"/>
        </w:rPr>
        <w:t>17</w:t>
      </w:r>
      <w:r>
        <w:rPr>
          <w:rFonts w:hint="default" w:ascii="Times New Roman" w:hAnsi="Times New Roman" w:cs="Times New Roman"/>
        </w:rPr>
        <w:t xml:space="preserve"> different center, including Ruijin Hospital, Huashan Hospital, the Third Affiliated Hospital, Sun Yat-Sen University, Ningbo Medical Centre of Lihuili Hospital, the First Affiliated Hospital of Dalian Medical University, Guangdong Second Provincial General Hospital, the Affiliated Hospital of Hangzhou Normal University, Renji Hospital, the First Affiliated Hospital of Zhengzhou University, Pu'er People's Hospital</w:t>
      </w:r>
      <w:r>
        <w:rPr>
          <w:rFonts w:hint="eastAsia" w:ascii="Times New Roman" w:hAnsi="Times New Roman" w:cs="Times New Roman"/>
          <w:lang w:val="en-US" w:eastAsia="zh-CN"/>
        </w:rPr>
        <w:t>,</w:t>
      </w:r>
      <w:r>
        <w:rPr>
          <w:rFonts w:hint="default" w:ascii="Times New Roman" w:hAnsi="Times New Roman" w:cs="Times New Roman"/>
        </w:rPr>
        <w:t xml:space="preserve"> the People's Hospital of Guizhou Province, the Second Affiliated Hospital of Guangzhou Medical University, Huizhou Central People's Hospital, the Second Affiliated Hospital of Hainan Medical University, Qilu Hospital, Shandong University, People's Hospital of Hainan Province, </w:t>
      </w:r>
      <w:r>
        <w:rPr>
          <w:rFonts w:hint="eastAsia" w:ascii="Times New Roman" w:hAnsi="Times New Roman" w:cs="Times New Roman"/>
          <w:lang w:val="en-US" w:eastAsia="zh-CN"/>
        </w:rPr>
        <w:t xml:space="preserve">and </w:t>
      </w:r>
      <w:r>
        <w:rPr>
          <w:rFonts w:hint="default" w:ascii="Times New Roman" w:hAnsi="Times New Roman" w:cs="Times New Roman"/>
        </w:rPr>
        <w:t>Yuxi City People's Hospital.</w:t>
      </w:r>
    </w:p>
    <w:p w14:paraId="01D2343B">
      <w:pPr>
        <w:rPr>
          <w:rFonts w:hint="default" w:ascii="Times New Roman" w:hAnsi="Times New Roman" w:cs="Times New Roman"/>
        </w:rPr>
      </w:pPr>
    </w:p>
    <w:p w14:paraId="3DD30E34">
      <w:pPr>
        <w:rPr>
          <w:rFonts w:hint="default" w:ascii="Times New Roman" w:hAnsi="Times New Roman" w:cs="Times New Roman"/>
          <w:b/>
          <w:bCs/>
          <w:sz w:val="22"/>
          <w:szCs w:val="28"/>
          <w:lang w:eastAsia="zh-CN"/>
        </w:rPr>
      </w:pPr>
      <w:r>
        <w:rPr>
          <w:rFonts w:hint="eastAsia" w:ascii="Times New Roman" w:hAnsi="Times New Roman" w:cs="Times New Roman"/>
          <w:b/>
          <w:bCs/>
          <w:sz w:val="22"/>
          <w:szCs w:val="28"/>
          <w:lang w:val="en-US" w:eastAsia="zh-CN"/>
        </w:rPr>
        <w:t>M</w:t>
      </w:r>
      <w:r>
        <w:rPr>
          <w:rFonts w:hint="eastAsia" w:ascii="Times New Roman" w:hAnsi="Times New Roman" w:cs="Times New Roman"/>
          <w:b/>
          <w:bCs/>
          <w:sz w:val="22"/>
          <w:szCs w:val="28"/>
          <w:lang w:eastAsia="zh-CN"/>
        </w:rPr>
        <w:t xml:space="preserve">ethods of TBA and </w:t>
      </w:r>
      <w:r>
        <w:rPr>
          <w:rFonts w:hint="default" w:ascii="Times New Roman" w:hAnsi="Times New Roman" w:cs="Times New Roman"/>
          <w:b/>
          <w:bCs/>
          <w:sz w:val="22"/>
          <w:szCs w:val="28"/>
          <w:lang w:eastAsia="zh-CN"/>
        </w:rPr>
        <w:t>immunoprecipitation (</w:t>
      </w:r>
      <w:r>
        <w:rPr>
          <w:rFonts w:hint="eastAsia" w:ascii="Times New Roman" w:hAnsi="Times New Roman" w:cs="Times New Roman"/>
          <w:b/>
          <w:bCs/>
          <w:sz w:val="22"/>
          <w:szCs w:val="28"/>
          <w:lang w:eastAsia="zh-CN"/>
        </w:rPr>
        <w:t>IP</w:t>
      </w:r>
      <w:r>
        <w:rPr>
          <w:rFonts w:hint="default" w:ascii="Times New Roman" w:hAnsi="Times New Roman" w:cs="Times New Roman"/>
          <w:b/>
          <w:bCs/>
          <w:sz w:val="22"/>
          <w:szCs w:val="28"/>
          <w:lang w:eastAsia="zh-CN"/>
        </w:rPr>
        <w:t>)</w:t>
      </w:r>
    </w:p>
    <w:p w14:paraId="471CEF87">
      <w:pPr>
        <w:rPr>
          <w:rFonts w:hint="default" w:ascii="Times New Roman" w:hAnsi="Times New Roman" w:cs="Times New Roman"/>
          <w:lang w:eastAsia="zh-CN"/>
        </w:rPr>
      </w:pPr>
      <w:r>
        <w:rPr>
          <w:rFonts w:hint="default" w:ascii="Times New Roman" w:hAnsi="Times New Roman" w:cs="Times New Roman"/>
          <w:lang w:eastAsia="zh-CN"/>
        </w:rPr>
        <w:t>TBA used a commercially available kit (BioSystems) for tissue sections of the hippocampus and cerebellum of monkeys. The tissues are fixed on glass slides and the operation is carried out according to the instructions. Briefly, CSF without dilution is incubated on the tissue for 2 hours at room temperature. The tissue was then washed in PBS-0.1% Tween-20 three times, incubated for 30 min with fluorescein-conjugated goat anti-human IgG for one hour, washed again, and sealed with a cover glass. Finally, the fluorescence pattern was evaluated using an immunofluorescence microscope. It was validated by co-immunoprecipitation while detecting antibodies. To prepare the antibody-bound magnetic beads, Pierce Protein A/G Magnetic Beads (15 μL) were incubated with 500 μL of blocking buffer, supplemented with 20 μL of healthy control or IgLON5-positive patient sera at room temperature for 4 hours. The beads were washed with 1 mL of TBST twice. Lysates were extracted from HEK293T cells transfected with pcDNA3.1-IgLON5-Flag using the same method used in dot blotting experiments. 400 μL of lysates were subjected to IP by incubating with either control or patient sera antibody-bound magnetic beads at 4℃ overnight. The magnetic beads were washed with TBST five times and then eluted with Laemmli buffer. Finally, western blotting with a commercial IgLON5 antibody (IgLON5 polyclonal antibody, Invitrogen) was used to detect IgLON5.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lvlText w:val="%1"/>
      <w:lvlJc w:val="left"/>
      <w:pPr>
        <w:tabs>
          <w:tab w:val="left" w:pos="567"/>
        </w:tabs>
        <w:ind w:left="567" w:hanging="567"/>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lvlOverride w:ilvl="0">
      <w:lvl w:ilvl="0" w:tentative="1">
        <w:start w:val="1"/>
        <w:numFmt w:val="decimal"/>
        <w:pStyle w:val="2"/>
        <w:lvlText w:val="%1"/>
        <w:lvlJc w:val="left"/>
        <w:pPr>
          <w:tabs>
            <w:tab w:val="left" w:pos="567"/>
          </w:tabs>
          <w:ind w:left="567" w:hanging="567"/>
        </w:pPr>
        <w:rPr>
          <w:rFonts w:hint="default"/>
        </w:rPr>
      </w:lvl>
    </w:lvlOverride>
    <w:lvlOverride w:ilvl="1">
      <w:lvl w:ilvl="1" w:tentative="1">
        <w:start w:val="1"/>
        <w:numFmt w:val="decimal"/>
        <w:pStyle w:val="4"/>
        <w:lvlText w:val="%1.%2"/>
        <w:lvlJc w:val="left"/>
        <w:pPr>
          <w:tabs>
            <w:tab w:val="left" w:pos="567"/>
          </w:tabs>
          <w:ind w:left="567" w:hanging="567"/>
        </w:pPr>
        <w:rPr>
          <w:rFonts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71E71D64"/>
    <w:rsid w:val="06507DE7"/>
    <w:rsid w:val="14E27C3A"/>
    <w:rsid w:val="19F82FAA"/>
    <w:rsid w:val="293F6093"/>
    <w:rsid w:val="3B6E4E14"/>
    <w:rsid w:val="46230C02"/>
    <w:rsid w:val="50FA5B9A"/>
    <w:rsid w:val="55237204"/>
    <w:rsid w:val="56E136DC"/>
    <w:rsid w:val="6E4A3924"/>
    <w:rsid w:val="71E71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2"/>
    <w:pPr>
      <w:numPr>
        <w:ilvl w:val="0"/>
        <w:numId w:val="1"/>
      </w:numPr>
      <w:spacing w:before="240"/>
      <w:contextualSpacing w:val="0"/>
      <w:outlineLvl w:val="0"/>
    </w:pPr>
    <w:rPr>
      <w:b/>
    </w:rPr>
  </w:style>
  <w:style w:type="paragraph" w:styleId="4">
    <w:name w:val="heading 2"/>
    <w:basedOn w:val="2"/>
    <w:next w:val="1"/>
    <w:qFormat/>
    <w:uiPriority w:val="2"/>
    <w:pPr>
      <w:numPr>
        <w:ilvl w:val="1"/>
      </w:numPr>
      <w:spacing w:after="200"/>
      <w:outlineLvl w:val="1"/>
    </w:p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List Paragraph"/>
    <w:basedOn w:val="1"/>
    <w:autoRedefine/>
    <w:qFormat/>
    <w:uiPriority w:val="3"/>
    <w:pPr>
      <w:numPr>
        <w:ilvl w:val="0"/>
        <w:numId w:val="2"/>
      </w:numPr>
      <w:ind w:left="1434" w:hanging="357"/>
      <w:contextualSpacing/>
    </w:pPr>
    <w:rPr>
      <w:rFonts w:eastAsia="Cambria" w:cs="Times New Roman"/>
      <w:szCs w:val="24"/>
    </w:rPr>
  </w:style>
  <w:style w:type="character" w:styleId="7">
    <w:name w:val="Hyperlink"/>
    <w:basedOn w:val="6"/>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326</Words>
  <Characters>1954</Characters>
  <Lines>0</Lines>
  <Paragraphs>0</Paragraphs>
  <TotalTime>8</TotalTime>
  <ScaleCrop>false</ScaleCrop>
  <LinksUpToDate>false</LinksUpToDate>
  <CharactersWithSpaces>2275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2024-07-18T11:58:00Z</dcterms:created>
  <dc:creator>一宁</dc:creator>
  <cp:lastModifiedBy>一宁</cp:lastModifiedBy>
  <dcterms:modified xsi:type="dcterms:W3CDTF">2025-11-23T07:50:43Z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9C5548757D2B4ACCB13DE67CBCC37F5C_13</vt:lpwstr>
  </property>
  <property fmtid="{D5CDD505-2E9C-101B-9397-08002B2CF9AE}" pid="4" name="KSOTemplateDocerSaveRecord">
    <vt:lpwstr>eyJoZGlkIjoiZjJiYzRjZDg4ODIxMmZkMzVjYzYxNzIzMDEwYjJjY2IiLCJ1c2VySWQiOiIyNjQ1NTc1ODEifQ==</vt:lpwstr>
  </property>
</Properties>
</file>