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03A75" w14:textId="77777777" w:rsidR="00BD62B5" w:rsidRPr="00F3093B" w:rsidRDefault="00BD62B5" w:rsidP="00F3093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93B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409F50FA" w14:textId="77777777" w:rsidR="00BD62B5" w:rsidRDefault="00BD62B5" w:rsidP="0052752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FC0A192" w14:textId="77777777" w:rsidR="00F677A9" w:rsidRPr="00F3093B" w:rsidRDefault="00F677A9" w:rsidP="00F677A9">
      <w:pPr>
        <w:spacing w:after="0" w:line="480" w:lineRule="auto"/>
        <w:jc w:val="both"/>
        <w:rPr>
          <w:rFonts w:ascii="Times New Roman" w:hAnsi="Times New Roman" w:cs="Times New Roman"/>
          <w:b/>
          <w:bCs/>
          <w:szCs w:val="22"/>
        </w:rPr>
      </w:pPr>
      <w:r w:rsidRPr="00F3093B">
        <w:rPr>
          <w:rFonts w:ascii="Times New Roman" w:hAnsi="Times New Roman" w:cs="Times New Roman"/>
          <w:b/>
          <w:bCs/>
          <w:szCs w:val="22"/>
        </w:rPr>
        <w:t>Best Overall Response (BOR) Assessment</w:t>
      </w:r>
    </w:p>
    <w:p w14:paraId="1C03619E" w14:textId="77777777" w:rsidR="00F677A9" w:rsidRDefault="00F677A9" w:rsidP="00F677A9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Cs w:val="22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Cs w:val="22"/>
        </w:rPr>
        <w:t xml:space="preserve">Table </w:t>
      </w:r>
      <w:r>
        <w:rPr>
          <w:rFonts w:ascii="Times New Roman" w:hAnsi="Times New Roman" w:cs="Times New Roman" w:hint="eastAsia"/>
          <w:b/>
          <w:color w:val="000000" w:themeColor="text1"/>
          <w:szCs w:val="22"/>
        </w:rPr>
        <w:t>S1</w:t>
      </w:r>
      <w:r>
        <w:rPr>
          <w:rFonts w:ascii="Times New Roman" w:hAnsi="Times New Roman" w:cs="Times New Roman"/>
          <w:b/>
          <w:color w:val="000000" w:themeColor="text1"/>
          <w:szCs w:val="22"/>
        </w:rPr>
        <w:t>. Paired laboratory changes (Wilcoxon + HL)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454"/>
        <w:gridCol w:w="1521"/>
        <w:gridCol w:w="1544"/>
        <w:gridCol w:w="1800"/>
        <w:gridCol w:w="929"/>
      </w:tblGrid>
      <w:tr w:rsidR="00F677A9" w:rsidRPr="00F3093B" w14:paraId="6F0D7007" w14:textId="77777777" w:rsidTr="00F3093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49C60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Analyte (n=7)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FEEA2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Baseline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29BF0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Follow-up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50CEC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Change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D7F31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Hodges–Lehmann Δ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56341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Wilcoxon p</w:t>
            </w:r>
          </w:p>
        </w:tc>
      </w:tr>
      <w:tr w:rsidR="00F677A9" w:rsidRPr="00F3093B" w14:paraId="6EC74182" w14:textId="77777777" w:rsidTr="00F3093B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18FBE51" w14:textId="77777777" w:rsidR="009301D5" w:rsidRPr="00F3093B" w:rsidRDefault="00A417C3" w:rsidP="00F3093B">
            <w:pPr>
              <w:rPr>
                <w:sz w:val="16"/>
                <w:szCs w:val="16"/>
              </w:rPr>
            </w:pPr>
            <w:r w:rsidRPr="00F3093B">
              <w:rPr>
                <w:sz w:val="16"/>
                <w:szCs w:val="16"/>
              </w:rPr>
              <w:t>PLT (×10⁹/L)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851A58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62 (52–102)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750719E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169 (142–222)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4239776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128 (52–172)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765446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128 (-49 to 228)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8BC311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0.2969</w:t>
            </w:r>
          </w:p>
        </w:tc>
      </w:tr>
      <w:tr w:rsidR="00F677A9" w:rsidRPr="00F3093B" w14:paraId="41364F4D" w14:textId="77777777" w:rsidTr="00F3093B">
        <w:tc>
          <w:tcPr>
            <w:tcW w:w="0" w:type="auto"/>
            <w:vAlign w:val="center"/>
          </w:tcPr>
          <w:p w14:paraId="6D290C5D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CRP</w:t>
            </w:r>
            <w:r w:rsidRPr="00F3093B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(mg/L)</w:t>
            </w:r>
          </w:p>
        </w:tc>
        <w:tc>
          <w:tcPr>
            <w:tcW w:w="0" w:type="auto"/>
            <w:vAlign w:val="center"/>
          </w:tcPr>
          <w:p w14:paraId="5ACC3A9A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107.09 (28.86–168.51)</w:t>
            </w:r>
          </w:p>
        </w:tc>
        <w:tc>
          <w:tcPr>
            <w:tcW w:w="0" w:type="auto"/>
            <w:vAlign w:val="center"/>
          </w:tcPr>
          <w:p w14:paraId="67F118A9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 (0.59–1.75)</w:t>
            </w:r>
          </w:p>
        </w:tc>
        <w:tc>
          <w:tcPr>
            <w:tcW w:w="0" w:type="auto"/>
            <w:vAlign w:val="center"/>
          </w:tcPr>
          <w:p w14:paraId="274BE8C2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-106.95 (-167.81–-25.96)</w:t>
            </w:r>
          </w:p>
        </w:tc>
        <w:tc>
          <w:tcPr>
            <w:tcW w:w="0" w:type="auto"/>
            <w:vAlign w:val="center"/>
          </w:tcPr>
          <w:p w14:paraId="262D1A64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-106.95 (-192.75 to -24.82)</w:t>
            </w:r>
          </w:p>
        </w:tc>
        <w:tc>
          <w:tcPr>
            <w:tcW w:w="0" w:type="auto"/>
            <w:vAlign w:val="center"/>
          </w:tcPr>
          <w:p w14:paraId="2B5A45D9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0.0156</w:t>
            </w:r>
          </w:p>
        </w:tc>
      </w:tr>
      <w:tr w:rsidR="00F677A9" w:rsidRPr="00F3093B" w14:paraId="3769A73D" w14:textId="77777777" w:rsidTr="00F3093B">
        <w:tc>
          <w:tcPr>
            <w:tcW w:w="0" w:type="auto"/>
            <w:vAlign w:val="center"/>
          </w:tcPr>
          <w:p w14:paraId="5B8D2306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Albumin</w:t>
            </w:r>
            <w:r w:rsidRPr="00F3093B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(g/L)</w:t>
            </w:r>
          </w:p>
        </w:tc>
        <w:tc>
          <w:tcPr>
            <w:tcW w:w="0" w:type="auto"/>
            <w:vAlign w:val="center"/>
          </w:tcPr>
          <w:p w14:paraId="50858627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27.2 (26.4–29.1)</w:t>
            </w:r>
          </w:p>
        </w:tc>
        <w:tc>
          <w:tcPr>
            <w:tcW w:w="0" w:type="auto"/>
            <w:vAlign w:val="center"/>
          </w:tcPr>
          <w:p w14:paraId="2D78725E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42.2 (40.3–43)</w:t>
            </w:r>
          </w:p>
        </w:tc>
        <w:tc>
          <w:tcPr>
            <w:tcW w:w="0" w:type="auto"/>
            <w:vAlign w:val="center"/>
          </w:tcPr>
          <w:p w14:paraId="00C83EB8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14 (13.6–15.4)</w:t>
            </w:r>
          </w:p>
        </w:tc>
        <w:tc>
          <w:tcPr>
            <w:tcW w:w="0" w:type="auto"/>
            <w:vAlign w:val="center"/>
          </w:tcPr>
          <w:p w14:paraId="1D1ABFA9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14 (11.25 to 16.95)</w:t>
            </w:r>
          </w:p>
        </w:tc>
        <w:tc>
          <w:tcPr>
            <w:tcW w:w="0" w:type="auto"/>
            <w:vAlign w:val="center"/>
          </w:tcPr>
          <w:p w14:paraId="26376D52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0.0156</w:t>
            </w:r>
          </w:p>
        </w:tc>
      </w:tr>
      <w:tr w:rsidR="00F677A9" w:rsidRPr="00F3093B" w14:paraId="4E8A1D85" w14:textId="77777777" w:rsidTr="00F3093B">
        <w:tc>
          <w:tcPr>
            <w:tcW w:w="0" w:type="auto"/>
            <w:vAlign w:val="center"/>
          </w:tcPr>
          <w:p w14:paraId="6B419315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Scr</w:t>
            </w:r>
            <w:proofErr w:type="spellEnd"/>
            <w:r w:rsidRPr="00F3093B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μmol</w:t>
            </w:r>
            <w:proofErr w:type="spellEnd"/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/L)</w:t>
            </w:r>
          </w:p>
        </w:tc>
        <w:tc>
          <w:tcPr>
            <w:tcW w:w="0" w:type="auto"/>
            <w:vAlign w:val="center"/>
          </w:tcPr>
          <w:p w14:paraId="4DB46C89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242 (160.55–256.05)</w:t>
            </w:r>
          </w:p>
        </w:tc>
        <w:tc>
          <w:tcPr>
            <w:tcW w:w="0" w:type="auto"/>
            <w:vAlign w:val="center"/>
          </w:tcPr>
          <w:p w14:paraId="1DB4B0CB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84.8 (71.95–86.75)</w:t>
            </w:r>
          </w:p>
        </w:tc>
        <w:tc>
          <w:tcPr>
            <w:tcW w:w="0" w:type="auto"/>
            <w:vAlign w:val="center"/>
          </w:tcPr>
          <w:p w14:paraId="37EF1A3D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-165.9 (-171.63–-72.92)</w:t>
            </w:r>
          </w:p>
        </w:tc>
        <w:tc>
          <w:tcPr>
            <w:tcW w:w="0" w:type="auto"/>
            <w:vAlign w:val="center"/>
          </w:tcPr>
          <w:p w14:paraId="6ACE5C5E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-165.9 (-214.28 to -69.32)</w:t>
            </w:r>
          </w:p>
        </w:tc>
        <w:tc>
          <w:tcPr>
            <w:tcW w:w="0" w:type="auto"/>
            <w:vAlign w:val="center"/>
          </w:tcPr>
          <w:p w14:paraId="09BA638F" w14:textId="77777777" w:rsidR="00F677A9" w:rsidRPr="00F3093B" w:rsidRDefault="00F677A9" w:rsidP="00F3093B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093B">
              <w:rPr>
                <w:rFonts w:ascii="Times New Roman" w:hAnsi="Times New Roman" w:cs="Times New Roman"/>
                <w:sz w:val="16"/>
                <w:szCs w:val="16"/>
              </w:rPr>
              <w:t>0.0156</w:t>
            </w:r>
          </w:p>
        </w:tc>
      </w:tr>
    </w:tbl>
    <w:p w14:paraId="239B567A" w14:textId="77777777" w:rsidR="00F677A9" w:rsidRDefault="00F677A9" w:rsidP="00F3093B">
      <w:pPr>
        <w:spacing w:line="480" w:lineRule="auto"/>
        <w:jc w:val="both"/>
        <w:rPr>
          <w:rFonts w:ascii="Times New Roman" w:hAnsi="Times New Roman" w:cs="Times New Roman"/>
        </w:rPr>
      </w:pPr>
    </w:p>
    <w:p w14:paraId="19515406" w14:textId="77777777" w:rsidR="00F677A9" w:rsidRDefault="00F677A9" w:rsidP="00F677A9">
      <w:pPr>
        <w:spacing w:line="276" w:lineRule="auto"/>
      </w:pPr>
    </w:p>
    <w:p w14:paraId="60112B84" w14:textId="77777777" w:rsidR="00F677A9" w:rsidRDefault="00F677A9" w:rsidP="00F677A9">
      <w:pPr>
        <w:spacing w:line="276" w:lineRule="auto"/>
      </w:pPr>
      <w:r>
        <w:rPr>
          <w:rFonts w:ascii="Times New Roman" w:hAnsi="Times New Roman" w:cs="Times New Roman"/>
          <w:noProof/>
          <w14:ligatures w14:val="none"/>
        </w:rPr>
        <w:lastRenderedPageBreak/>
        <w:drawing>
          <wp:inline distT="0" distB="0" distL="0" distR="0" wp14:anchorId="30A226AA" wp14:editId="26FD60E8">
            <wp:extent cx="5269523" cy="3569799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" t="2241" r="6549" b="7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161" cy="3583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64638D" w14:textId="77777777" w:rsidR="00F677A9" w:rsidRPr="00C50FAA" w:rsidRDefault="00F677A9" w:rsidP="00F3093B">
      <w:pPr>
        <w:ind w:firstLineChars="100" w:firstLine="220"/>
        <w:rPr>
          <w:rFonts w:ascii="Times New Roman" w:hAnsi="Times New Roman" w:cs="Times New Roman"/>
        </w:rPr>
      </w:pPr>
      <w:r w:rsidRPr="00C50FAA">
        <w:rPr>
          <w:rFonts w:ascii="Times New Roman" w:hAnsi="Times New Roman" w:cs="Times New Roman"/>
        </w:rPr>
        <w:t>Supplementary Figure S1. Paired changes in laboratory parameters from baseline to best response after treatment. Each line represents one patient. (A) C-reactive protein (CRP), (B) albumin, (C) serum creatinine, and (D) platelet count.</w:t>
      </w:r>
    </w:p>
    <w:p w14:paraId="494C0565" w14:textId="77777777" w:rsidR="00F677A9" w:rsidRPr="00F677A9" w:rsidRDefault="00F677A9" w:rsidP="00527523">
      <w:pPr>
        <w:spacing w:line="276" w:lineRule="auto"/>
      </w:pPr>
    </w:p>
    <w:sectPr w:rsidR="00F677A9" w:rsidRPr="00F677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DB1BF" w14:textId="77777777" w:rsidR="00A417C3" w:rsidRDefault="00A417C3" w:rsidP="00BD62B5">
      <w:pPr>
        <w:spacing w:after="0" w:line="240" w:lineRule="auto"/>
      </w:pPr>
      <w:r>
        <w:separator/>
      </w:r>
    </w:p>
  </w:endnote>
  <w:endnote w:type="continuationSeparator" w:id="0">
    <w:p w14:paraId="39C22B50" w14:textId="77777777" w:rsidR="00A417C3" w:rsidRDefault="00A417C3" w:rsidP="00BD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A9B9CB" w14:textId="77777777" w:rsidR="00A417C3" w:rsidRDefault="00A417C3" w:rsidP="00BD62B5">
      <w:pPr>
        <w:spacing w:after="0" w:line="240" w:lineRule="auto"/>
      </w:pPr>
      <w:r>
        <w:separator/>
      </w:r>
    </w:p>
  </w:footnote>
  <w:footnote w:type="continuationSeparator" w:id="0">
    <w:p w14:paraId="2601DD64" w14:textId="77777777" w:rsidR="00A417C3" w:rsidRDefault="00A417C3" w:rsidP="00BD62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F305C59E-867D-4931-BD64-C7A545562499}"/>
    <w:docVar w:name="KY_MEDREF_VERSION" w:val="3"/>
  </w:docVars>
  <w:rsids>
    <w:rsidRoot w:val="006A15A5"/>
    <w:rsid w:val="00082F7F"/>
    <w:rsid w:val="0017798B"/>
    <w:rsid w:val="00334AC4"/>
    <w:rsid w:val="004457F2"/>
    <w:rsid w:val="004F7203"/>
    <w:rsid w:val="00527523"/>
    <w:rsid w:val="006A15A5"/>
    <w:rsid w:val="007116DB"/>
    <w:rsid w:val="008B05AE"/>
    <w:rsid w:val="008F0052"/>
    <w:rsid w:val="009301D5"/>
    <w:rsid w:val="0097080D"/>
    <w:rsid w:val="00A417C3"/>
    <w:rsid w:val="00AE74E8"/>
    <w:rsid w:val="00B17A34"/>
    <w:rsid w:val="00BB7206"/>
    <w:rsid w:val="00BD62B5"/>
    <w:rsid w:val="00C50FAA"/>
    <w:rsid w:val="00C6033F"/>
    <w:rsid w:val="00DC663E"/>
    <w:rsid w:val="00E7052F"/>
    <w:rsid w:val="00EB76E0"/>
    <w:rsid w:val="00EC054D"/>
    <w:rsid w:val="00ED0615"/>
    <w:rsid w:val="00F056ED"/>
    <w:rsid w:val="00F3093B"/>
    <w:rsid w:val="00F61D4C"/>
    <w:rsid w:val="00F6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EC6385"/>
  <w15:chartTrackingRefBased/>
  <w15:docId w15:val="{FA5B6B36-5589-497E-868D-454A299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2B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A15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5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5A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5A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5A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5A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5A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5A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">
    <w:name w:val="三线表-毕业论文"/>
    <w:basedOn w:val="a1"/>
    <w:uiPriority w:val="99"/>
    <w:rsid w:val="007116DB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14:ligatures w14:val="none"/>
    </w:rPr>
    <w:tblPr/>
  </w:style>
  <w:style w:type="table" w:customStyle="1" w:styleId="a3">
    <w:name w:val="三线表"/>
    <w:basedOn w:val="a1"/>
    <w:uiPriority w:val="99"/>
    <w:rsid w:val="007116DB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14:ligatures w14:val="none"/>
    </w:rPr>
    <w:tblPr/>
  </w:style>
  <w:style w:type="character" w:customStyle="1" w:styleId="10">
    <w:name w:val="标题 1 字符"/>
    <w:basedOn w:val="a0"/>
    <w:link w:val="1"/>
    <w:uiPriority w:val="9"/>
    <w:rsid w:val="006A15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1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1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15A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15A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A15A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15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15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15A5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6A15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6A1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A15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6A15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6A1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6A15A5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6A15A5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A15A5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A1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6A15A5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A15A5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BD62B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D62B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D62B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D62B5"/>
    <w:rPr>
      <w:sz w:val="18"/>
      <w:szCs w:val="18"/>
    </w:rPr>
  </w:style>
  <w:style w:type="paragraph" w:styleId="af3">
    <w:name w:val="Normal (Web)"/>
    <w:basedOn w:val="a"/>
    <w:uiPriority w:val="99"/>
    <w:semiHidden/>
    <w:unhideWhenUsed/>
    <w:qFormat/>
    <w:rsid w:val="00BD62B5"/>
    <w:pPr>
      <w:spacing w:beforeAutospacing="1" w:after="0" w:afterAutospacing="1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双莲 谢</dc:creator>
  <cp:keywords/>
  <dc:description/>
  <cp:lastModifiedBy>Microsoft Office User</cp:lastModifiedBy>
  <cp:revision>3</cp:revision>
  <dcterms:created xsi:type="dcterms:W3CDTF">2026-07-04T14:39:00Z</dcterms:created>
  <dcterms:modified xsi:type="dcterms:W3CDTF">2026-07-04T14:40:00Z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0140b4c4-ea65-49b5-a33b-b5a62fedccb5</vt:lpwstr>
  </property>
</Properties>
</file>