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both"/>
        <w:rPr>
          <w:rFonts w:eastAsia="Calibri"/>
          <w:b/>
          <w:bCs/>
        </w:rPr>
      </w:pPr>
      <w:r>
        <w:rPr>
          <w:rFonts w:eastAsia="Calibri"/>
          <w:b/>
          <w:bCs/>
        </w:rPr>
        <w:t>Supplemental Text 2: Additional Metabolomics Results</w:t>
      </w:r>
    </w:p>
    <w:p>
      <w:pPr>
        <w:pStyle w:val="Normal"/>
        <w:spacing w:lineRule="auto" w:line="360"/>
        <w:ind w:firstLine="720"/>
        <w:jc w:val="both"/>
        <w:rPr>
          <w:rFonts w:eastAsia="Calibri"/>
        </w:rPr>
      </w:pPr>
      <w:r>
        <w:rPr>
          <w:rFonts w:eastAsia="Calibri"/>
        </w:rPr>
        <w:t xml:space="preserve">As OPMD is heterogeneous in its presentation, several subset analyses were performed. First, PCA analysis was conducted to determine if a unique metabolite signature could distinguish participants with low disease severity (scores of one and two; </w:t>
      </w:r>
      <w:r>
        <w:rPr>
          <w:rFonts w:eastAsia="Calibri"/>
          <w:i/>
          <w:iCs/>
        </w:rPr>
        <w:t xml:space="preserve">n </w:t>
      </w:r>
      <w:r>
        <w:rPr>
          <w:rFonts w:eastAsia="Calibri"/>
        </w:rPr>
        <w:t>= seven) from controls (</w:t>
      </w:r>
      <w:r>
        <w:rPr>
          <w:rFonts w:eastAsia="Calibri"/>
          <w:i/>
          <w:iCs/>
        </w:rPr>
        <w:t xml:space="preserve">n </w:t>
      </w:r>
      <w:r>
        <w:rPr>
          <w:rFonts w:eastAsia="Calibri"/>
        </w:rPr>
        <w:t>= nine). No group-level differences were identified (</w:t>
      </w:r>
      <w:r>
        <w:rPr>
          <w:rFonts w:eastAsia="Calibri"/>
          <w:i/>
          <w:iCs/>
        </w:rPr>
        <w:t>F</w:t>
      </w:r>
      <w:r>
        <w:rPr>
          <w:rFonts w:eastAsia="Calibri"/>
        </w:rPr>
        <w:t xml:space="preserve">=1.311, </w:t>
      </w:r>
      <w:r>
        <w:rPr>
          <w:rFonts w:eastAsia="Calibri"/>
          <w:i/>
          <w:iCs/>
        </w:rPr>
        <w:t>R</w:t>
      </w:r>
      <w:r>
        <w:rPr>
          <w:rFonts w:eastAsia="Calibri"/>
        </w:rPr>
        <w:t xml:space="preserve">² = 0.086, and </w:t>
      </w:r>
      <w:r>
        <w:rPr>
          <w:rFonts w:eastAsia="Calibri"/>
          <w:i/>
          <w:iCs/>
        </w:rPr>
        <w:t>P</w:t>
      </w:r>
      <w:r>
        <w:rPr>
          <w:rFonts w:eastAsia="Calibri"/>
        </w:rPr>
        <w:t xml:space="preserve"> = 0.324 based on 999 permutations) (</w:t>
      </w:r>
      <w:r>
        <w:rPr>
          <w:rFonts w:eastAsia="Calibri"/>
          <w:b/>
          <w:bCs/>
        </w:rPr>
        <w:t>Fig. S3B</w:t>
      </w:r>
      <w:r>
        <w:rPr>
          <w:rFonts w:eastAsia="Calibri"/>
        </w:rPr>
        <w:t>). OPLS-DA revealed a modest visual separation between the groups (</w:t>
      </w:r>
      <w:r>
        <w:rPr>
          <w:rFonts w:eastAsia="Calibri"/>
          <w:i/>
          <w:iCs/>
        </w:rPr>
        <w:t>R</w:t>
      </w:r>
      <w:r>
        <w:rPr>
          <w:rFonts w:eastAsia="Calibri"/>
        </w:rPr>
        <w:t>²</w:t>
      </w:r>
      <w:r>
        <w:rPr>
          <w:rFonts w:eastAsia="Calibri"/>
          <w:i/>
          <w:iCs/>
        </w:rPr>
        <w:t>Y</w:t>
      </w:r>
      <w:r>
        <w:rPr>
          <w:rFonts w:eastAsia="Calibri"/>
        </w:rPr>
        <w:t>=0.478), and poor predictive performance (</w:t>
      </w:r>
      <w:r>
        <w:rPr>
          <w:rFonts w:eastAsia="Calibri"/>
          <w:i/>
          <w:iCs/>
        </w:rPr>
        <w:t>Q</w:t>
      </w:r>
      <w:r>
        <w:rPr>
          <w:rFonts w:eastAsia="Calibri"/>
        </w:rPr>
        <w:t>²=0.002) (</w:t>
      </w:r>
      <w:r>
        <w:rPr>
          <w:rFonts w:eastAsia="Calibri"/>
          <w:b/>
          <w:bCs/>
        </w:rPr>
        <w:t>Fig. S3C</w:t>
      </w:r>
      <w:r>
        <w:rPr>
          <w:rFonts w:eastAsia="Calibri"/>
        </w:rPr>
        <w:t>, horizontal distribution), which may be due to small sample size. We extended our analysis to univariate statistical testing, which uncovered creatinine as the only metabolite detected at higher levels in participants with less severe presentation of OPMD versus controls, whereas anthranilic acid, cytosine and quinic acid were all less abundant in this subset of the OPMD population in comparison to controls (</w:t>
      </w:r>
      <w:r>
        <w:rPr>
          <w:rFonts w:eastAsia="Calibri"/>
          <w:b/>
          <w:bCs/>
        </w:rPr>
        <w:t>Table S4</w:t>
      </w:r>
      <w:r>
        <w:rPr>
          <w:rFonts w:eastAsia="Calibri"/>
        </w:rPr>
        <w:t>).</w:t>
      </w:r>
    </w:p>
    <w:p>
      <w:pPr>
        <w:pStyle w:val="Normal"/>
        <w:spacing w:lineRule="auto" w:line="360"/>
        <w:ind w:firstLine="720"/>
        <w:jc w:val="both"/>
        <w:rPr>
          <w:rFonts w:eastAsia="Calibri"/>
        </w:rPr>
      </w:pPr>
      <w:r>
        <w:rPr>
          <w:rFonts w:eastAsia="Calibri"/>
        </w:rPr>
        <w:t>Next, we compared the metabolome of OPMD participants with a low severity score of one and two (</w:t>
      </w:r>
      <w:r>
        <w:rPr>
          <w:rFonts w:eastAsia="Calibri"/>
          <w:i/>
          <w:iCs/>
        </w:rPr>
        <w:t xml:space="preserve">n </w:t>
      </w:r>
      <w:r>
        <w:rPr>
          <w:rFonts w:eastAsia="Calibri"/>
        </w:rPr>
        <w:t>= seven) to those with a higher severity score of three and four (</w:t>
      </w:r>
      <w:r>
        <w:rPr>
          <w:rFonts w:eastAsia="Calibri"/>
          <w:i/>
          <w:iCs/>
        </w:rPr>
        <w:t>n</w:t>
      </w:r>
      <w:r>
        <w:rPr>
          <w:rFonts w:eastAsia="Calibri"/>
        </w:rPr>
        <w:t>=18). No statistically significant group-level differences were identified for PCA (</w:t>
      </w:r>
      <w:r>
        <w:rPr>
          <w:rFonts w:eastAsia="Calibri"/>
          <w:i/>
          <w:iCs/>
        </w:rPr>
        <w:t>F</w:t>
      </w:r>
      <w:r>
        <w:rPr>
          <w:rFonts w:eastAsia="Calibri"/>
        </w:rPr>
        <w:t xml:space="preserve"> = 0.814, </w:t>
      </w:r>
      <w:r>
        <w:rPr>
          <w:rFonts w:eastAsia="Calibri"/>
          <w:i/>
          <w:iCs/>
        </w:rPr>
        <w:t>R</w:t>
      </w:r>
      <w:r>
        <w:rPr>
          <w:rFonts w:eastAsia="Calibri"/>
        </w:rPr>
        <w:t xml:space="preserve">² = 0.034, and </w:t>
      </w:r>
      <w:r>
        <w:rPr>
          <w:rFonts w:eastAsia="Calibri"/>
          <w:i/>
          <w:iCs/>
        </w:rPr>
        <w:t>P</w:t>
      </w:r>
      <w:r>
        <w:rPr>
          <w:rFonts w:eastAsia="Calibri"/>
        </w:rPr>
        <w:t xml:space="preserve"> = 0.481 based on 999 permutations) (</w:t>
      </w:r>
      <w:r>
        <w:rPr>
          <w:rFonts w:eastAsia="Calibri"/>
          <w:b/>
          <w:bCs/>
        </w:rPr>
        <w:t>Fig. S3D</w:t>
      </w:r>
      <w:r>
        <w:rPr>
          <w:rFonts w:eastAsia="Calibri"/>
        </w:rPr>
        <w:t>). OPLS-DA revealed a modest visual separation between the groups (</w:t>
      </w:r>
      <w:r>
        <w:rPr>
          <w:rFonts w:eastAsia="Calibri"/>
          <w:b/>
          <w:bCs/>
        </w:rPr>
        <w:t>Fig. S3E</w:t>
      </w:r>
      <w:r>
        <w:rPr>
          <w:rFonts w:eastAsia="Calibri"/>
        </w:rPr>
        <w:t>, horizontal distribution), supported by a moderately explanatory power (</w:t>
      </w:r>
      <w:r>
        <w:rPr>
          <w:rFonts w:eastAsia="Calibri"/>
          <w:i/>
          <w:iCs/>
        </w:rPr>
        <w:t>R</w:t>
      </w:r>
      <w:r>
        <w:rPr>
          <w:rFonts w:eastAsia="Calibri"/>
        </w:rPr>
        <w:t>²</w:t>
      </w:r>
      <w:r>
        <w:rPr>
          <w:rFonts w:eastAsia="Calibri"/>
          <w:i/>
          <w:iCs/>
        </w:rPr>
        <w:t>Y</w:t>
      </w:r>
      <w:r>
        <w:rPr>
          <w:rFonts w:eastAsia="Calibri"/>
        </w:rPr>
        <w:t xml:space="preserve"> = 0.432)</w:t>
      </w:r>
      <w:r>
        <w:rPr>
          <w:rFonts w:eastAsia="Times New Roman"/>
        </w:rPr>
        <w:t>, which may be due to chance, as it is not statistically significant (</w:t>
      </w:r>
      <w:r>
        <w:rPr>
          <w:rFonts w:eastAsia="Times New Roman"/>
          <w:i/>
          <w:iCs/>
        </w:rPr>
        <w:t xml:space="preserve">P </w:t>
      </w:r>
      <w:r>
        <w:rPr>
          <w:rFonts w:eastAsia="Times New Roman"/>
        </w:rPr>
        <w:t>= 0.317). Furthermore, OPLS-DA had</w:t>
      </w:r>
      <w:r>
        <w:rPr>
          <w:rFonts w:eastAsia="Calibri"/>
        </w:rPr>
        <w:t xml:space="preserve"> poor predictive ability (</w:t>
      </w:r>
      <w:r>
        <w:rPr>
          <w:rFonts w:eastAsia="Calibri"/>
          <w:i/>
          <w:iCs/>
        </w:rPr>
        <w:t>Q</w:t>
      </w:r>
      <w:r>
        <w:rPr>
          <w:rFonts w:eastAsia="Calibri"/>
        </w:rPr>
        <w:t>² =-0.150) (</w:t>
      </w:r>
      <w:r>
        <w:rPr>
          <w:rFonts w:eastAsia="Calibri"/>
          <w:b/>
          <w:bCs/>
        </w:rPr>
        <w:t>Fig. S3E</w:t>
      </w:r>
      <w:r>
        <w:rPr>
          <w:rFonts w:eastAsia="Calibri"/>
        </w:rPr>
        <w:t>). Permutation testing was then performed (</w:t>
      </w:r>
      <w:r>
        <w:rPr>
          <w:rFonts w:eastAsia="Calibri"/>
          <w:i/>
          <w:iCs/>
        </w:rPr>
        <w:t>n</w:t>
      </w:r>
      <w:r>
        <w:rPr>
          <w:rFonts w:eastAsia="Calibri"/>
        </w:rPr>
        <w:t xml:space="preserve">=1000), yielding a statistically significant empirical </w:t>
      </w:r>
      <w:r>
        <w:rPr>
          <w:rFonts w:eastAsia="Calibri"/>
          <w:i/>
          <w:iCs/>
        </w:rPr>
        <w:t>P</w:t>
      </w:r>
      <w:r>
        <w:rPr>
          <w:rFonts w:eastAsia="Calibri"/>
        </w:rPr>
        <w:t xml:space="preserve">-value for </w:t>
      </w:r>
      <w:r>
        <w:rPr>
          <w:rFonts w:eastAsia="Calibri"/>
          <w:i/>
          <w:iCs/>
        </w:rPr>
        <w:t>Q</w:t>
      </w:r>
      <w:r>
        <w:rPr>
          <w:rFonts w:eastAsia="Calibri"/>
        </w:rPr>
        <w:t>² (</w:t>
      </w:r>
      <w:r>
        <w:rPr>
          <w:rFonts w:eastAsia="Calibri"/>
          <w:i/>
          <w:iCs/>
        </w:rPr>
        <w:t>P</w:t>
      </w:r>
      <w:r>
        <w:rPr>
          <w:rFonts w:eastAsia="Calibri"/>
        </w:rPr>
        <w:t xml:space="preserve"> = 0.032). To explore whether any differences in individual metabolites existed as a product of disease severity, univariate analysis was performed comparing OPMD patients with a low severity score to those with a high severity score (</w:t>
      </w:r>
      <w:r>
        <w:rPr>
          <w:rFonts w:eastAsia="Calibri"/>
          <w:b/>
          <w:bCs/>
        </w:rPr>
        <w:t>Table S3</w:t>
      </w:r>
      <w:r>
        <w:rPr>
          <w:rFonts w:eastAsia="Calibri"/>
        </w:rPr>
        <w:t>). This analysis revealed six metabolites, all of which were more abundant in participants with a high severity score. These metabolites included quinic acid, N-carbamyl-glutamic acid, cytosine, nicotine, dihydroxyphenyl acetic acid, and octanoyl carnitine.</w:t>
      </w:r>
    </w:p>
    <w:p>
      <w:pPr>
        <w:pStyle w:val="Normal"/>
        <w:spacing w:lineRule="auto" w:line="360"/>
        <w:ind w:firstLine="720"/>
        <w:jc w:val="both"/>
        <w:rPr>
          <w:rFonts w:eastAsia="Calibri"/>
        </w:rPr>
      </w:pPr>
      <w:r>
        <w:rPr>
          <w:rFonts w:eastAsia="Times New Roman"/>
        </w:rPr>
        <w:t>We also compared the metabolome of OPMD patients with a high severity score of three or four (</w:t>
      </w:r>
      <w:r>
        <w:rPr>
          <w:rFonts w:eastAsia="Times New Roman"/>
          <w:i/>
          <w:iCs/>
        </w:rPr>
        <w:t>n</w:t>
      </w:r>
      <w:r>
        <w:rPr>
          <w:rFonts w:eastAsia="Times New Roman"/>
        </w:rPr>
        <w:t>=18) vs controls (</w:t>
      </w:r>
      <w:r>
        <w:rPr>
          <w:rFonts w:eastAsia="Times New Roman"/>
          <w:i/>
          <w:iCs/>
        </w:rPr>
        <w:t>n</w:t>
      </w:r>
      <w:r>
        <w:rPr>
          <w:rFonts w:eastAsia="Times New Roman"/>
        </w:rPr>
        <w:t>=9). A</w:t>
      </w:r>
      <w:r>
        <w:rPr>
          <w:rFonts w:eastAsia="Times New Roman"/>
          <w:lang w:val="en-US"/>
        </w:rPr>
        <w:t xml:space="preserve"> potential trend toward group-level differences that did not reach statistical significance was found by PCA </w:t>
      </w:r>
      <w:r>
        <w:rPr>
          <w:rFonts w:eastAsia="Times New Roman"/>
        </w:rPr>
        <w:t xml:space="preserve">(F = 2.6036, </w:t>
      </w:r>
      <w:r>
        <w:rPr>
          <w:rFonts w:eastAsia="Times New Roman"/>
          <w:i/>
          <w:iCs/>
        </w:rPr>
        <w:t>R</w:t>
      </w:r>
      <w:r>
        <w:rPr>
          <w:rFonts w:eastAsia="Times New Roman"/>
        </w:rPr>
        <w:t xml:space="preserve">² = 0.09432, </w:t>
      </w:r>
      <w:r>
        <w:rPr>
          <w:rFonts w:eastAsia="Times New Roman"/>
          <w:i/>
          <w:iCs/>
        </w:rPr>
        <w:t xml:space="preserve">P </w:t>
      </w:r>
      <w:r>
        <w:rPr>
          <w:rFonts w:eastAsia="Times New Roman"/>
        </w:rPr>
        <w:t>= 0.064 based on 999 permutations) (</w:t>
      </w:r>
      <w:r>
        <w:rPr>
          <w:rFonts w:eastAsia="Times New Roman"/>
          <w:b/>
          <w:bCs/>
        </w:rPr>
        <w:t>Fig. S3F</w:t>
      </w:r>
      <w:r>
        <w:rPr>
          <w:rFonts w:eastAsia="Times New Roman"/>
        </w:rPr>
        <w:t>). OPLS-DA revealed a clear visual separation between the high severity OPMD group and CON (</w:t>
      </w:r>
      <w:r>
        <w:rPr>
          <w:rFonts w:eastAsia="Times New Roman"/>
          <w:b/>
          <w:bCs/>
        </w:rPr>
        <w:t xml:space="preserve">Fig. S3G, </w:t>
      </w:r>
      <w:r>
        <w:rPr>
          <w:rFonts w:eastAsia="Times New Roman"/>
        </w:rPr>
        <w:t>horizontal distribution). The resultant model suggests that groups can be distinguished to some extent, with weak generalizability (</w:t>
      </w:r>
      <w:r>
        <w:rPr>
          <w:rFonts w:eastAsia="Times New Roman"/>
          <w:i/>
          <w:iCs/>
        </w:rPr>
        <w:t>Q</w:t>
      </w:r>
      <w:r>
        <w:rPr>
          <w:rFonts w:eastAsia="Times New Roman"/>
        </w:rPr>
        <w:t>² = 0.126,</w:t>
      </w:r>
      <w:r>
        <w:rPr>
          <w:rFonts w:eastAsia="Times New Roman"/>
          <w:i/>
          <w:iCs/>
        </w:rPr>
        <w:t xml:space="preserve"> R</w:t>
      </w:r>
      <w:r>
        <w:rPr>
          <w:rFonts w:eastAsia="Times New Roman"/>
        </w:rPr>
        <w:t>²</w:t>
      </w:r>
      <w:r>
        <w:rPr>
          <w:rFonts w:eastAsia="Times New Roman"/>
          <w:i/>
          <w:iCs/>
        </w:rPr>
        <w:t>Y</w:t>
      </w:r>
      <w:r>
        <w:rPr>
          <w:rFonts w:eastAsia="Times New Roman"/>
        </w:rPr>
        <w:t xml:space="preserve"> = 0.391). Permutation testing (</w:t>
      </w:r>
      <w:r>
        <w:rPr>
          <w:rFonts w:eastAsia="Times New Roman"/>
          <w:i/>
          <w:iCs/>
        </w:rPr>
        <w:t>n</w:t>
      </w:r>
      <w:r>
        <w:rPr>
          <w:rFonts w:eastAsia="Times New Roman"/>
        </w:rPr>
        <w:t xml:space="preserve">=1000) yielded a statistically significant empirical </w:t>
      </w:r>
      <w:r>
        <w:rPr>
          <w:rFonts w:eastAsia="Times New Roman"/>
          <w:i/>
          <w:iCs/>
        </w:rPr>
        <w:t>P</w:t>
      </w:r>
      <w:r>
        <w:rPr>
          <w:rFonts w:eastAsia="Times New Roman"/>
        </w:rPr>
        <w:t xml:space="preserve">-value for </w:t>
      </w:r>
      <w:r>
        <w:rPr>
          <w:rFonts w:eastAsia="Times New Roman"/>
          <w:i/>
          <w:iCs/>
        </w:rPr>
        <w:t>Q</w:t>
      </w:r>
      <w:r>
        <w:rPr>
          <w:rFonts w:eastAsia="Times New Roman"/>
        </w:rPr>
        <w:t>² (</w:t>
      </w:r>
      <w:r>
        <w:rPr>
          <w:rFonts w:eastAsia="Times New Roman"/>
          <w:i/>
          <w:iCs/>
        </w:rPr>
        <w:t>P</w:t>
      </w:r>
      <w:r>
        <w:rPr>
          <w:rFonts w:eastAsia="Times New Roman"/>
        </w:rPr>
        <w:t xml:space="preserve"> = 0.052) but not for </w:t>
      </w:r>
      <w:r>
        <w:rPr>
          <w:rFonts w:eastAsia="Times New Roman"/>
          <w:lang w:val="en-US"/>
        </w:rPr>
        <w:t>R²Y (</w:t>
      </w:r>
      <w:r>
        <w:rPr>
          <w:rFonts w:eastAsia="Times New Roman"/>
          <w:i/>
          <w:iCs/>
          <w:lang w:val="en-US"/>
        </w:rPr>
        <w:t>P</w:t>
      </w:r>
      <w:r>
        <w:rPr>
          <w:rFonts w:eastAsia="Times New Roman"/>
          <w:lang w:val="en-US"/>
        </w:rPr>
        <w:t xml:space="preserve"> = 0.901). Further univariate analysis uncovered 44 metabolites that differ in OPMD with high severity versus control (</w:t>
      </w:r>
      <w:r>
        <w:rPr>
          <w:rFonts w:eastAsia="Times New Roman"/>
          <w:b/>
          <w:bCs/>
          <w:lang w:val="en-US"/>
        </w:rPr>
        <w:t>Table S4</w:t>
      </w:r>
      <w:r>
        <w:rPr>
          <w:rFonts w:eastAsia="Times New Roman"/>
          <w:lang w:val="en-US"/>
        </w:rPr>
        <w:t>).</w:t>
      </w:r>
      <w:r>
        <w:rPr>
          <w:rFonts w:eastAsia="Times New Roman"/>
        </w:rPr>
        <w:t xml:space="preserve"> </w:t>
      </w:r>
      <w:r>
        <w:rPr>
          <w:rFonts w:eastAsia="Calibri"/>
        </w:rPr>
        <w:t>Of these, 40 metabolites were found to be in common with the primary analysis (OPMD vs controls), suggesting these metabolite changes may be driven by OPMD patients with a higher severity score. The four additional metabolites were tetradecanoyl carnitine, hexadecanoyl carnitine, uracil, and pipecolic acid (</w:t>
      </w:r>
      <w:r>
        <w:rPr>
          <w:rFonts w:eastAsia="Calibri"/>
          <w:b/>
          <w:bCs/>
        </w:rPr>
        <w:t>Table S</w:t>
      </w:r>
      <w:r>
        <w:rPr>
          <w:rFonts w:eastAsia="Times New Roman"/>
          <w:b/>
          <w:bCs/>
        </w:rPr>
        <w:t>4</w:t>
      </w:r>
      <w:r>
        <w:rPr>
          <w:rFonts w:eastAsia="Calibri"/>
        </w:rPr>
        <w:t>).</w:t>
      </w:r>
    </w:p>
    <w:p>
      <w:pPr>
        <w:pStyle w:val="Normal"/>
        <w:spacing w:lineRule="auto" w:line="360"/>
        <w:ind w:firstLine="720"/>
        <w:jc w:val="both"/>
        <w:rPr>
          <w:rFonts w:eastAsia="Calibri"/>
        </w:rPr>
      </w:pPr>
      <w:r>
        <w:rPr>
          <w:rFonts w:eastAsia="Calibri"/>
        </w:rPr>
        <w:t>Metabolites exhibiting at least one significant correlation with a clinical or imaging indicator, regardless of difference between OPMD and controls, are shown in context of all clinical and imaging measures (</w:t>
      </w:r>
      <w:r>
        <w:rPr>
          <w:rFonts w:eastAsia="Calibri"/>
          <w:b/>
          <w:bCs/>
        </w:rPr>
        <w:t>Fig. S5</w:t>
      </w:r>
      <w:r>
        <w:rPr>
          <w:rFonts w:eastAsia="Calibri"/>
        </w:rPr>
        <w:t>).</w:t>
      </w:r>
      <w:r>
        <w:rPr>
          <w:rFonts w:eastAsia="Times New Roman"/>
        </w:rPr>
        <w:t xml:space="preserve"> Twenty-one metabolites had greater than three correlations with clinical and imaging measures. Of these, t</w:t>
      </w:r>
      <w:r>
        <w:rPr>
          <w:rFonts w:eastAsia="Calibri"/>
        </w:rPr>
        <w:t>he most interesting metabolite was quinic acid, which exhibited moderate negative correlations with SF36 physical functioning score and sit-to-stand count, as well as moderate positive correlations with age, years with limb weakness, clinical severity score, and soleus FF. Further investigation using scatter plots of age vs quinic acid levels revealed comparable relationships in controls and in OPMD. Previous work has found urinary quinic acid content to be markedly lower in younger individuals than middle aged individuals (Wang et al. 2021). Therefore, the identified differences in quinic acid may be caused by general aging rather than OPMD-specific processes.</w:t>
      </w:r>
      <w:r>
        <w:rPr>
          <w:rFonts w:eastAsia="Times New Roman"/>
        </w:rPr>
        <w:t xml:space="preserve"> </w:t>
      </w:r>
      <w:r>
        <w:rPr>
          <w:rFonts w:eastAsia="Calibri"/>
        </w:rPr>
        <w:t>While other significant correlations were identified between metabolites and clinical measures, these were few in number and did not prompt more detailed investigations.</w:t>
      </w:r>
    </w:p>
    <w:p>
      <w:pPr>
        <w:pStyle w:val="Normal"/>
        <w:spacing w:lineRule="auto" w:line="360"/>
        <w:jc w:val="both"/>
        <w:rPr>
          <w:b/>
          <w:bCs/>
        </w:rPr>
      </w:pPr>
      <w:r>
        <w:rPr>
          <w:b/>
          <w:bCs/>
        </w:rPr>
        <w:t>References</w:t>
      </w:r>
    </w:p>
    <w:p>
      <w:pPr>
        <w:pStyle w:val="Normal"/>
        <w:spacing w:lineRule="auto" w:line="360"/>
        <w:jc w:val="both"/>
        <w:rPr>
          <w:rFonts w:eastAsia="Calibri"/>
          <w:sz w:val="22"/>
          <w:szCs w:val="22"/>
        </w:rPr>
      </w:pPr>
      <w:r>
        <w:rPr/>
        <w:t>Wang LH, Shaw DWW, Faino A, Budech CB, Lewis LM, Statland J, et al. Longitudinal study of MRI and functional outcome measures in facioscapulohumeral muscular dystrophy. BMC Musculoskelet Disord. 2021;22(1):262.</w:t>
      </w:r>
    </w:p>
    <w:p>
      <w:pPr>
        <w:pStyle w:val="Normal"/>
        <w:rPr/>
      </w:pPr>
      <w:r>
        <w:rPr/>
      </w:r>
      <w:bookmarkStart w:id="0" w:name="_GoBack"/>
      <w:bookmarkStart w:id="1" w:name="_GoBack"/>
      <w:bookmarkEnd w:id="1"/>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IN"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56869"/>
    <w:pPr>
      <w:widowControl/>
      <w:pBdr/>
      <w:bidi w:val="0"/>
      <w:spacing w:lineRule="auto" w:line="240" w:before="0" w:after="0"/>
      <w:jc w:val="left"/>
    </w:pPr>
    <w:rPr>
      <w:rFonts w:ascii="Times New Roman" w:hAnsi="Times New Roman" w:eastAsia="Arial Unicode MS" w:cs="Times New Roman"/>
      <w:color w:val="auto"/>
      <w:kern w:val="0"/>
      <w:sz w:val="24"/>
      <w:szCs w:val="24"/>
      <w:lang w:val="en-CA" w:eastAsia="en-US" w:bidi="ar-SA"/>
    </w:rPr>
  </w:style>
  <w:style w:type="character" w:styleId="DefaultParagraphFont" w:default="1">
    <w:name w:val="Default Paragraph Font"/>
    <w:uiPriority w:val="1"/>
    <w:semiHidden/>
    <w:unhideWhenUsed/>
    <w:qFormat/>
    <w:rPr/>
  </w:style>
  <w:style w:type="character" w:styleId="BodyChar" w:customStyle="1">
    <w:name w:val="Body Char"/>
    <w:basedOn w:val="DefaultParagraphFont"/>
    <w:link w:val="Body"/>
    <w:qFormat/>
    <w:rsid w:val="00b56869"/>
    <w:rPr>
      <w:rFonts w:ascii="Calibri" w:hAnsi="Calibri" w:eastAsia="Arial Unicode MS" w:cs="Arial Unicode MS"/>
      <w:color w:val="000000"/>
      <w:u w:val="none" w:color="000000"/>
      <w:lang w:val="de-DE" w:eastAsia="en-CA"/>
      <w14:textOutline w14:w="0" w14:cap="flat" w14:cmpd="sng" w14:algn="ctr">
        <w14:noFill/>
        <w14:prstDash w14:val="solid"/>
        <w14:bevel/>
      </w14:textOutlin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ody" w:customStyle="1">
    <w:name w:val="Body"/>
    <w:link w:val="BodyChar"/>
    <w:qFormat/>
    <w:rsid w:val="00b56869"/>
    <w:pPr>
      <w:widowControl/>
      <w:pBdr/>
      <w:bidi w:val="0"/>
      <w:spacing w:lineRule="auto" w:line="259" w:before="0" w:after="160"/>
      <w:jc w:val="left"/>
    </w:pPr>
    <w:rPr>
      <w:rFonts w:ascii="Calibri" w:hAnsi="Calibri" w:eastAsia="Arial Unicode MS" w:cs="Arial Unicode MS"/>
      <w:color w:val="000000"/>
      <w:kern w:val="0"/>
      <w:sz w:val="22"/>
      <w:szCs w:val="22"/>
      <w:u w:val="none" w:color="000000"/>
      <w:lang w:val="de-DE" w:eastAsia="en-CA" w:bidi="ar-SA"/>
      <w14:textOutline w14:w="0" w14:cap="flat" w14:cmpd="sng" w14:algn="ctr">
        <w14:noFill/>
        <w14:prstDash w14:val="solid"/>
        <w14:bevel/>
      </w14:textOutli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LibreOffice/25.2.7.1$Windows_X86_64 LibreOffice_project/16e8e36d1610f10597ed778c3dcb0a5aa0ed5d6f</Application>
  <AppVersion>15.0000</AppVersion>
  <Pages>2</Pages>
  <Words>729</Words>
  <Characters>4066</Characters>
  <CharactersWithSpaces>4771</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2026-09-05T10:46:00Z</dcterms:created>
  <dc:creator>Dimanche cilicia Nepolean Dimanche (Integra)</dc:creator>
  <dc:description/>
  <dc:language>en-IN</dc:language>
  <cp:lastModifiedBy/>
  <dcterms:modified xsi:type="dcterms:W3CDTF">2026-09-10T15:37:00Z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