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C15EC" w14:textId="3B92D41A" w:rsidR="005351F7" w:rsidRPr="00CC6DB5" w:rsidRDefault="005351F7" w:rsidP="00E8367D">
      <w:pPr>
        <w:pStyle w:val="Heading2"/>
      </w:pPr>
      <w:bookmarkStart w:id="0" w:name="_Hlk213939440"/>
      <w:r w:rsidRPr="00CC6DB5">
        <w:t xml:space="preserve">Supplementary </w:t>
      </w:r>
      <w:r w:rsidR="00953B18">
        <w:rPr>
          <w:rFonts w:hint="eastAsia"/>
        </w:rPr>
        <w:t>M</w:t>
      </w:r>
      <w:r w:rsidRPr="00CC6DB5">
        <w:t>ethods</w:t>
      </w:r>
    </w:p>
    <w:p w14:paraId="2B31D979" w14:textId="77777777" w:rsidR="005351F7" w:rsidRPr="00CC6DB5" w:rsidRDefault="005351F7" w:rsidP="00E8367D">
      <w:pPr>
        <w:widowControl w:val="0"/>
        <w:spacing w:line="480" w:lineRule="auto"/>
        <w:rPr>
          <w:rFonts w:ascii="Times New Roman" w:eastAsia="SimSun" w:hAnsi="Times New Roman" w:cs="Times New Roman"/>
          <w:color w:val="auto"/>
          <w:sz w:val="24"/>
          <w:szCs w:val="20"/>
          <w:lang w:eastAsia="zh-CN"/>
        </w:rPr>
      </w:pPr>
      <w:r w:rsidRPr="00CC6DB5">
        <w:rPr>
          <w:rFonts w:ascii="Times New Roman" w:eastAsia="SimSun" w:hAnsi="Times New Roman" w:cs="Times New Roman"/>
          <w:color w:val="auto"/>
          <w:sz w:val="24"/>
          <w:szCs w:val="20"/>
          <w:lang w:eastAsia="zh-CN"/>
        </w:rPr>
        <w:t xml:space="preserve">The diagnosis of </w:t>
      </w:r>
      <w:r w:rsidRPr="00CC6DB5">
        <w:rPr>
          <w:rFonts w:ascii="Times New Roman" w:eastAsia="SimSun" w:hAnsi="Times New Roman" w:cs="Times New Roman" w:hint="eastAsia"/>
          <w:color w:val="auto"/>
          <w:sz w:val="24"/>
          <w:szCs w:val="20"/>
          <w:lang w:eastAsia="zh-CN"/>
        </w:rPr>
        <w:t>cardiac transthyretin amyloidosis (</w:t>
      </w:r>
      <w:r w:rsidRPr="00CC6DB5">
        <w:rPr>
          <w:rFonts w:ascii="Times New Roman" w:eastAsia="SimSun" w:hAnsi="Times New Roman" w:cs="Times New Roman"/>
          <w:color w:val="auto"/>
          <w:sz w:val="24"/>
          <w:szCs w:val="20"/>
          <w:lang w:eastAsia="zh-CN"/>
        </w:rPr>
        <w:t>ATTR-CM</w:t>
      </w:r>
      <w:r w:rsidRPr="00CC6DB5">
        <w:rPr>
          <w:rFonts w:ascii="Times New Roman" w:eastAsia="SimSun" w:hAnsi="Times New Roman" w:cs="Times New Roman" w:hint="eastAsia"/>
          <w:color w:val="auto"/>
          <w:sz w:val="24"/>
          <w:szCs w:val="20"/>
          <w:lang w:eastAsia="zh-CN"/>
        </w:rPr>
        <w:t>)</w:t>
      </w:r>
      <w:r w:rsidRPr="00CC6DB5">
        <w:rPr>
          <w:rFonts w:ascii="Times New Roman" w:eastAsia="SimSun" w:hAnsi="Times New Roman" w:cs="Times New Roman"/>
          <w:color w:val="auto"/>
          <w:sz w:val="24"/>
          <w:szCs w:val="20"/>
          <w:lang w:eastAsia="zh-CN"/>
        </w:rPr>
        <w:t xml:space="preserve"> needed to be made based on ​​​invasive ​​and/or​​ non-invasive criteria. The invasive diagnostic criteria were defined as (a) endomyocardial biopsy confirming transthyretin amyloid deposits by Congo red staining and amyloid typing (immunohistochemistry or mass spectrometry) irrespective of the degree of left ventricular (LV) wall thickness, and/or (b) extracardiac biopsy confirming </w:t>
      </w:r>
      <w:r w:rsidRPr="00CC6DB5">
        <w:rPr>
          <w:rFonts w:ascii="Times New Roman" w:eastAsia="SimSun" w:hAnsi="Times New Roman" w:cs="Times New Roman" w:hint="eastAsia"/>
          <w:color w:val="auto"/>
          <w:sz w:val="24"/>
          <w:szCs w:val="20"/>
          <w:lang w:eastAsia="zh-CN"/>
        </w:rPr>
        <w:t xml:space="preserve">transthyretin </w:t>
      </w:r>
      <w:r w:rsidRPr="00CC6DB5">
        <w:rPr>
          <w:rFonts w:ascii="Times New Roman" w:eastAsia="SimSun" w:hAnsi="Times New Roman" w:cs="Times New Roman"/>
          <w:color w:val="auto"/>
          <w:sz w:val="24"/>
          <w:szCs w:val="20"/>
          <w:lang w:eastAsia="zh-CN"/>
        </w:rPr>
        <w:t>amyloid by the same staining/typing methods, accompanied by characteristic features of cardiac amyloidosis either on echocardiography (in the absence of an alternative cause for increased</w:t>
      </w:r>
      <w:r w:rsidRPr="00CC6DB5">
        <w:rPr>
          <w:rFonts w:ascii="Times New Roman" w:eastAsia="SimSun" w:hAnsi="Times New Roman" w:cs="Times New Roman" w:hint="eastAsia"/>
          <w:color w:val="auto"/>
          <w:sz w:val="24"/>
          <w:szCs w:val="20"/>
          <w:lang w:eastAsia="zh-CN"/>
        </w:rPr>
        <w:t xml:space="preserve"> </w:t>
      </w:r>
      <w:r w:rsidRPr="00CC6DB5">
        <w:rPr>
          <w:rFonts w:ascii="Times New Roman" w:eastAsia="SimSun" w:hAnsi="Times New Roman" w:cs="Times New Roman"/>
          <w:color w:val="auto"/>
          <w:sz w:val="24"/>
          <w:szCs w:val="20"/>
          <w:lang w:eastAsia="zh-CN"/>
        </w:rPr>
        <w:t xml:space="preserve">LV wall thickness), or on cardiac magnetic resonance (CMR). </w:t>
      </w:r>
      <w:r w:rsidRPr="00CC6DB5">
        <w:rPr>
          <w:rFonts w:ascii="Times New Roman" w:eastAsia="SimSun" w:hAnsi="Times New Roman" w:cs="Times New Roman"/>
          <w:color w:val="auto"/>
          <w:sz w:val="24"/>
          <w:szCs w:val="24"/>
          <w:lang w:eastAsia="zh-CN"/>
        </w:rPr>
        <w:t xml:space="preserve">The non-invasive diagnostic criteria demanded typical echocardiographic/CMR findings consistent with cardiac amyloidosis, grade 2 or 3 myocardial uptake of radiotracer on </w:t>
      </w:r>
      <w:r w:rsidRPr="007A411A">
        <w:rPr>
          <w:rFonts w:ascii="Times New Roman" w:eastAsia="SimSun" w:hAnsi="Times New Roman" w:cs="Times New Roman"/>
          <w:color w:val="auto"/>
          <w:sz w:val="24"/>
          <w:szCs w:val="24"/>
          <w:vertAlign w:val="superscript"/>
          <w:lang w:eastAsia="zh-CN"/>
        </w:rPr>
        <w:t>99m</w:t>
      </w:r>
      <w:r w:rsidRPr="00CC6DB5">
        <w:rPr>
          <w:rFonts w:ascii="Times New Roman" w:eastAsia="SimSun" w:hAnsi="Times New Roman" w:cs="Times New Roman"/>
          <w:color w:val="auto"/>
          <w:sz w:val="24"/>
          <w:szCs w:val="24"/>
          <w:lang w:eastAsia="zh-CN"/>
        </w:rPr>
        <w:t xml:space="preserve">Tc-pyrophosphate (PYP), </w:t>
      </w:r>
      <w:r w:rsidRPr="007A411A">
        <w:rPr>
          <w:rFonts w:ascii="Times New Roman" w:eastAsia="SimSun" w:hAnsi="Times New Roman" w:cs="Times New Roman"/>
          <w:color w:val="auto"/>
          <w:sz w:val="24"/>
          <w:szCs w:val="24"/>
          <w:vertAlign w:val="superscript"/>
          <w:lang w:eastAsia="zh-CN"/>
        </w:rPr>
        <w:t>99m</w:t>
      </w:r>
      <w:r w:rsidRPr="00CC6DB5">
        <w:rPr>
          <w:rFonts w:ascii="Times New Roman" w:eastAsia="SimSun" w:hAnsi="Times New Roman" w:cs="Times New Roman"/>
          <w:color w:val="auto"/>
          <w:sz w:val="24"/>
          <w:szCs w:val="24"/>
          <w:lang w:eastAsia="zh-CN"/>
        </w:rPr>
        <w:t xml:space="preserve">Tc-3, 3-diphosphono-1,2-propanodicarboxylic acid or </w:t>
      </w:r>
      <w:r w:rsidRPr="007A411A">
        <w:rPr>
          <w:rFonts w:ascii="Times New Roman" w:eastAsia="SimSun" w:hAnsi="Times New Roman" w:cs="Times New Roman"/>
          <w:color w:val="auto"/>
          <w:sz w:val="24"/>
          <w:szCs w:val="24"/>
          <w:vertAlign w:val="superscript"/>
          <w:lang w:eastAsia="zh-CN"/>
        </w:rPr>
        <w:t>99m</w:t>
      </w:r>
      <w:r w:rsidRPr="00CC6DB5">
        <w:rPr>
          <w:rFonts w:ascii="Times New Roman" w:eastAsia="SimSun" w:hAnsi="Times New Roman" w:cs="Times New Roman"/>
          <w:color w:val="auto"/>
          <w:sz w:val="24"/>
          <w:szCs w:val="24"/>
          <w:lang w:eastAsia="zh-CN"/>
        </w:rPr>
        <w:t>Tc-hydroxymethylene diphosphonate scintigraphy with single-photon emission computed tomography, and exclusion of clonal dyscrasia, which was confirmed by a serum free light-chain assay within normal limits (adjusted for estimated glomerular filtration rate) and negative serum and urine protein electrophoresis with immunofixation. The diagnosis of transthyretin amyloidosis with polyneuropathy (ATTR-PN) required a positive genetic test alongside clinical suspicion of ATTR-PN that was sufficient to rule out alternative causes. If another plausible cause (e.g., a different type of amyloidosis) for the polyneuropathy existed, a confirmatory biopsy should have been performed to confirm the diagnosis of ATTR amyloidosis.</w:t>
      </w:r>
      <w:r w:rsidRPr="00CC6DB5">
        <w:rPr>
          <w:rFonts w:ascii="Times New Roman" w:eastAsia="SimSun" w:hAnsi="Times New Roman" w:cs="Times New Roman"/>
          <w:color w:val="auto"/>
          <w:sz w:val="24"/>
          <w:szCs w:val="20"/>
          <w:lang w:eastAsia="zh-CN"/>
        </w:rPr>
        <w:t xml:space="preserve"> </w:t>
      </w:r>
    </w:p>
    <w:p w14:paraId="3270CF86" w14:textId="77777777" w:rsidR="005351F7" w:rsidRPr="00CC6DB5" w:rsidRDefault="005351F7" w:rsidP="00E8367D">
      <w:pPr>
        <w:spacing w:line="480" w:lineRule="auto"/>
        <w:rPr>
          <w:rFonts w:ascii="Times New Roman" w:eastAsia="SimSun" w:hAnsi="Times New Roman" w:cs="Times New Roman"/>
          <w:color w:val="auto"/>
          <w:sz w:val="24"/>
          <w:szCs w:val="20"/>
          <w:lang w:eastAsia="zh-CN"/>
        </w:rPr>
      </w:pPr>
      <w:r w:rsidRPr="00CC6DB5">
        <w:rPr>
          <w:rFonts w:ascii="Times New Roman" w:eastAsia="SimSun" w:hAnsi="Times New Roman" w:cs="Times New Roman"/>
          <w:color w:val="auto"/>
          <w:sz w:val="24"/>
          <w:szCs w:val="20"/>
          <w:lang w:eastAsia="zh-CN"/>
        </w:rPr>
        <w:br w:type="page"/>
      </w:r>
    </w:p>
    <w:p w14:paraId="2CD615FB" w14:textId="77777777" w:rsidR="005351F7" w:rsidRPr="00CC6DB5" w:rsidRDefault="005351F7" w:rsidP="00E8367D">
      <w:pPr>
        <w:pStyle w:val="Heading2"/>
      </w:pPr>
      <w:r w:rsidRPr="00CC6DB5">
        <w:lastRenderedPageBreak/>
        <w:t>Table S1. Study objectives and outcome measures</w:t>
      </w:r>
      <w:r w:rsidRPr="00CC6DB5">
        <w:rPr>
          <w:rFonts w:hint="eastAsia"/>
        </w:rPr>
        <w:t>.</w:t>
      </w:r>
    </w:p>
    <w:tbl>
      <w:tblPr>
        <w:tblStyle w:val="CostelloTable2"/>
        <w:tblW w:w="0" w:type="auto"/>
        <w:tblBorders>
          <w:top w:val="single" w:sz="4" w:space="0" w:color="auto"/>
          <w:bottom w:val="single" w:sz="4" w:space="0" w:color="auto"/>
        </w:tblBorders>
        <w:tblLook w:val="04A0" w:firstRow="1" w:lastRow="0" w:firstColumn="1" w:lastColumn="0" w:noHBand="0" w:noVBand="1"/>
      </w:tblPr>
      <w:tblGrid>
        <w:gridCol w:w="4498"/>
        <w:gridCol w:w="4528"/>
      </w:tblGrid>
      <w:tr w:rsidR="005351F7" w:rsidRPr="00E8367D" w14:paraId="61428BF8" w14:textId="77777777" w:rsidTr="00ED03ED">
        <w:tc>
          <w:tcPr>
            <w:tcW w:w="4871" w:type="dxa"/>
            <w:tcBorders>
              <w:top w:val="single" w:sz="4" w:space="0" w:color="auto"/>
              <w:bottom w:val="single" w:sz="4" w:space="0" w:color="auto"/>
            </w:tcBorders>
          </w:tcPr>
          <w:p w14:paraId="2C1610E8" w14:textId="77777777" w:rsidR="005351F7" w:rsidRPr="00E8367D" w:rsidRDefault="005351F7" w:rsidP="00ED03ED">
            <w:pPr>
              <w:widowControl w:val="0"/>
              <w:spacing w:after="0" w:line="480" w:lineRule="auto"/>
              <w:rPr>
                <w:rFonts w:ascii="Times New Roman" w:eastAsia="SimSun" w:hAnsi="Times New Roman" w:cs="Times New Roman"/>
                <w:b/>
                <w:bCs/>
                <w:color w:val="auto"/>
                <w:szCs w:val="20"/>
                <w:lang w:eastAsia="zh-CN"/>
              </w:rPr>
            </w:pPr>
            <w:r w:rsidRPr="00E8367D">
              <w:rPr>
                <w:rFonts w:ascii="Times New Roman" w:eastAsia="SimSun" w:hAnsi="Times New Roman" w:cs="Times New Roman"/>
                <w:b/>
                <w:bCs/>
                <w:color w:val="auto"/>
                <w:szCs w:val="20"/>
                <w:lang w:eastAsia="zh-CN"/>
              </w:rPr>
              <w:t>Objectives</w:t>
            </w:r>
          </w:p>
        </w:tc>
        <w:tc>
          <w:tcPr>
            <w:tcW w:w="4871" w:type="dxa"/>
            <w:tcBorders>
              <w:top w:val="single" w:sz="4" w:space="0" w:color="auto"/>
              <w:bottom w:val="single" w:sz="4" w:space="0" w:color="auto"/>
            </w:tcBorders>
          </w:tcPr>
          <w:p w14:paraId="65935C23" w14:textId="77777777" w:rsidR="005351F7" w:rsidRPr="00E8367D" w:rsidRDefault="005351F7" w:rsidP="00ED03ED">
            <w:pPr>
              <w:widowControl w:val="0"/>
              <w:spacing w:after="0" w:line="480" w:lineRule="auto"/>
              <w:jc w:val="center"/>
              <w:rPr>
                <w:rFonts w:ascii="Times New Roman" w:eastAsia="SimSun" w:hAnsi="Times New Roman" w:cs="Times New Roman"/>
                <w:b/>
                <w:bCs/>
                <w:color w:val="auto"/>
                <w:szCs w:val="20"/>
                <w:lang w:eastAsia="zh-CN"/>
              </w:rPr>
            </w:pPr>
            <w:r w:rsidRPr="00E8367D">
              <w:rPr>
                <w:rFonts w:ascii="Times New Roman" w:eastAsia="SimSun" w:hAnsi="Times New Roman" w:cs="Times New Roman"/>
                <w:b/>
                <w:bCs/>
                <w:color w:val="auto"/>
                <w:szCs w:val="20"/>
                <w:lang w:eastAsia="zh-CN"/>
              </w:rPr>
              <w:t>Outcome measures</w:t>
            </w:r>
          </w:p>
        </w:tc>
      </w:tr>
      <w:tr w:rsidR="005351F7" w:rsidRPr="00E8367D" w14:paraId="6395C672" w14:textId="77777777" w:rsidTr="00ED03ED">
        <w:tc>
          <w:tcPr>
            <w:tcW w:w="4871" w:type="dxa"/>
            <w:tcBorders>
              <w:top w:val="single" w:sz="4" w:space="0" w:color="auto"/>
            </w:tcBorders>
          </w:tcPr>
          <w:p w14:paraId="5100A074" w14:textId="77777777" w:rsidR="005351F7" w:rsidRPr="00E8367D" w:rsidRDefault="005351F7" w:rsidP="00ED03ED">
            <w:pPr>
              <w:widowControl w:val="0"/>
              <w:spacing w:after="0" w:line="480" w:lineRule="auto"/>
              <w:rPr>
                <w:rFonts w:ascii="Times New Roman" w:eastAsia="SimSun" w:hAnsi="Times New Roman" w:cs="Times New Roman"/>
                <w:b/>
                <w:bCs/>
                <w:color w:val="auto"/>
                <w:szCs w:val="20"/>
                <w:lang w:eastAsia="zh-CN"/>
              </w:rPr>
            </w:pPr>
            <w:r w:rsidRPr="00E8367D">
              <w:rPr>
                <w:rFonts w:ascii="Times New Roman" w:eastAsia="SimSun" w:hAnsi="Times New Roman" w:cs="Times New Roman"/>
                <w:b/>
                <w:bCs/>
                <w:color w:val="auto"/>
                <w:szCs w:val="20"/>
                <w:lang w:eastAsia="zh-CN"/>
              </w:rPr>
              <w:t>Primary objectives</w:t>
            </w:r>
          </w:p>
        </w:tc>
        <w:tc>
          <w:tcPr>
            <w:tcW w:w="4871" w:type="dxa"/>
            <w:tcBorders>
              <w:top w:val="single" w:sz="4" w:space="0" w:color="auto"/>
            </w:tcBorders>
          </w:tcPr>
          <w:p w14:paraId="2018698B" w14:textId="77777777" w:rsidR="005351F7" w:rsidRPr="00E8367D" w:rsidRDefault="005351F7" w:rsidP="00ED03ED">
            <w:pPr>
              <w:widowControl w:val="0"/>
              <w:spacing w:after="0" w:line="480" w:lineRule="auto"/>
              <w:rPr>
                <w:rFonts w:ascii="Times New Roman" w:eastAsia="SimSun" w:hAnsi="Times New Roman" w:cs="Times New Roman"/>
                <w:color w:val="auto"/>
                <w:szCs w:val="20"/>
                <w:lang w:eastAsia="zh-CN"/>
              </w:rPr>
            </w:pPr>
          </w:p>
        </w:tc>
      </w:tr>
      <w:tr w:rsidR="005351F7" w:rsidRPr="00E8367D" w14:paraId="42E77114" w14:textId="77777777" w:rsidTr="00ED03ED">
        <w:tc>
          <w:tcPr>
            <w:tcW w:w="4871" w:type="dxa"/>
            <w:vMerge w:val="restart"/>
          </w:tcPr>
          <w:p w14:paraId="03EAF229" w14:textId="77777777" w:rsidR="005351F7" w:rsidRPr="00E8367D" w:rsidRDefault="005351F7" w:rsidP="005351F7">
            <w:pPr>
              <w:widowControl w:val="0"/>
              <w:numPr>
                <w:ilvl w:val="0"/>
                <w:numId w:val="2"/>
              </w:numPr>
              <w:spacing w:after="0" w:line="480" w:lineRule="auto"/>
              <w:rPr>
                <w:rFonts w:ascii="Times New Roman" w:eastAsia="SimSun" w:hAnsi="Times New Roman" w:cs="Times New Roman"/>
                <w:color w:val="auto"/>
                <w:szCs w:val="20"/>
                <w:lang w:eastAsia="zh-CN"/>
              </w:rPr>
            </w:pPr>
            <w:r w:rsidRPr="00E8367D">
              <w:rPr>
                <w:rFonts w:ascii="Times New Roman" w:eastAsia="SimSun" w:hAnsi="Times New Roman" w:cs="Times New Roman"/>
                <w:color w:val="auto"/>
                <w:szCs w:val="20"/>
                <w:lang w:eastAsia="zh-CN"/>
              </w:rPr>
              <w:t>To comprehensively describe patient characteristics, treatment patterns, disease outcomes in patients diagnosed with ATTR amyloidosis in routine clinical care for the defined domains/variables</w:t>
            </w:r>
          </w:p>
        </w:tc>
        <w:tc>
          <w:tcPr>
            <w:tcW w:w="4871" w:type="dxa"/>
          </w:tcPr>
          <w:p w14:paraId="6758D433" w14:textId="77777777" w:rsidR="005351F7" w:rsidRPr="00E8367D" w:rsidRDefault="005351F7" w:rsidP="005351F7">
            <w:pPr>
              <w:widowControl w:val="0"/>
              <w:numPr>
                <w:ilvl w:val="0"/>
                <w:numId w:val="4"/>
              </w:numPr>
              <w:spacing w:after="0" w:line="480" w:lineRule="auto"/>
              <w:rPr>
                <w:rFonts w:ascii="Times New Roman" w:eastAsia="SimSun" w:hAnsi="Times New Roman" w:cs="Times New Roman"/>
                <w:color w:val="auto"/>
                <w:szCs w:val="20"/>
                <w:lang w:eastAsia="zh-CN"/>
              </w:rPr>
            </w:pPr>
            <w:r w:rsidRPr="00E8367D">
              <w:rPr>
                <w:rFonts w:ascii="Times New Roman" w:eastAsia="SimSun" w:hAnsi="Times New Roman" w:cs="Times New Roman"/>
                <w:color w:val="auto"/>
                <w:szCs w:val="20"/>
                <w:lang w:eastAsia="zh-CN"/>
              </w:rPr>
              <w:t>Patient characteristics including:</w:t>
            </w:r>
          </w:p>
          <w:p w14:paraId="55D1A967" w14:textId="77777777" w:rsidR="005351F7" w:rsidRPr="00E8367D" w:rsidRDefault="005351F7" w:rsidP="005351F7">
            <w:pPr>
              <w:widowControl w:val="0"/>
              <w:numPr>
                <w:ilvl w:val="0"/>
                <w:numId w:val="1"/>
              </w:numPr>
              <w:spacing w:after="0" w:line="480" w:lineRule="auto"/>
              <w:rPr>
                <w:rFonts w:ascii="Times New Roman" w:eastAsia="SimSun" w:hAnsi="Times New Roman" w:cs="Times New Roman"/>
                <w:color w:val="auto"/>
                <w:szCs w:val="20"/>
                <w:lang w:eastAsia="zh-CN"/>
              </w:rPr>
            </w:pPr>
            <w:r w:rsidRPr="00E8367D">
              <w:rPr>
                <w:rFonts w:ascii="Times New Roman" w:eastAsia="SimSun" w:hAnsi="Times New Roman" w:cs="Times New Roman"/>
                <w:color w:val="auto"/>
                <w:szCs w:val="20"/>
                <w:lang w:eastAsia="zh-CN"/>
              </w:rPr>
              <w:t>Demographics</w:t>
            </w:r>
          </w:p>
          <w:p w14:paraId="675CBE70" w14:textId="77777777" w:rsidR="005351F7" w:rsidRPr="00E8367D" w:rsidRDefault="005351F7" w:rsidP="005351F7">
            <w:pPr>
              <w:widowControl w:val="0"/>
              <w:numPr>
                <w:ilvl w:val="0"/>
                <w:numId w:val="1"/>
              </w:numPr>
              <w:spacing w:after="0" w:line="480" w:lineRule="auto"/>
              <w:rPr>
                <w:rFonts w:ascii="Times New Roman" w:eastAsia="SimSun" w:hAnsi="Times New Roman" w:cs="Times New Roman"/>
                <w:color w:val="auto"/>
                <w:szCs w:val="20"/>
                <w:lang w:eastAsia="zh-CN"/>
              </w:rPr>
            </w:pPr>
            <w:r w:rsidRPr="00E8367D">
              <w:rPr>
                <w:rFonts w:ascii="Times New Roman" w:eastAsia="SimSun" w:hAnsi="Times New Roman" w:cs="Times New Roman"/>
                <w:color w:val="auto"/>
                <w:szCs w:val="20"/>
                <w:lang w:eastAsia="zh-CN"/>
              </w:rPr>
              <w:t>Family history of ATTR</w:t>
            </w:r>
            <w:r w:rsidRPr="00E8367D">
              <w:rPr>
                <w:rFonts w:ascii="Times New Roman" w:eastAsia="SimSun" w:hAnsi="Times New Roman" w:cs="Times New Roman" w:hint="eastAsia"/>
                <w:color w:val="auto"/>
                <w:szCs w:val="20"/>
                <w:lang w:eastAsia="zh-CN"/>
              </w:rPr>
              <w:t xml:space="preserve"> amyloidosis</w:t>
            </w:r>
          </w:p>
          <w:p w14:paraId="6C02CFB6" w14:textId="77777777" w:rsidR="005351F7" w:rsidRPr="00E8367D" w:rsidRDefault="005351F7" w:rsidP="005351F7">
            <w:pPr>
              <w:widowControl w:val="0"/>
              <w:numPr>
                <w:ilvl w:val="0"/>
                <w:numId w:val="1"/>
              </w:numPr>
              <w:spacing w:after="0" w:line="480" w:lineRule="auto"/>
              <w:rPr>
                <w:rFonts w:ascii="Times New Roman" w:eastAsia="SimSun" w:hAnsi="Times New Roman" w:cs="Times New Roman"/>
                <w:color w:val="auto"/>
                <w:szCs w:val="20"/>
                <w:lang w:eastAsia="zh-CN"/>
              </w:rPr>
            </w:pPr>
            <w:r w:rsidRPr="00E8367D">
              <w:rPr>
                <w:rFonts w:ascii="Times New Roman" w:eastAsia="SimSun" w:hAnsi="Times New Roman" w:cs="Times New Roman"/>
                <w:color w:val="auto"/>
                <w:szCs w:val="20"/>
                <w:lang w:eastAsia="zh-CN"/>
              </w:rPr>
              <w:t>Post-diagnosis ATTR-related clinical characteristics</w:t>
            </w:r>
          </w:p>
        </w:tc>
      </w:tr>
      <w:tr w:rsidR="005351F7" w:rsidRPr="00E8367D" w14:paraId="558C9DC9" w14:textId="77777777" w:rsidTr="00ED03ED">
        <w:tc>
          <w:tcPr>
            <w:tcW w:w="4871" w:type="dxa"/>
            <w:vMerge/>
          </w:tcPr>
          <w:p w14:paraId="43E9DEC3" w14:textId="77777777" w:rsidR="005351F7" w:rsidRPr="00E8367D" w:rsidRDefault="005351F7" w:rsidP="00ED03ED">
            <w:pPr>
              <w:widowControl w:val="0"/>
              <w:spacing w:after="0" w:line="480" w:lineRule="auto"/>
              <w:rPr>
                <w:rFonts w:ascii="Times New Roman" w:eastAsia="SimSun" w:hAnsi="Times New Roman" w:cs="Times New Roman"/>
                <w:color w:val="auto"/>
                <w:szCs w:val="20"/>
                <w:lang w:eastAsia="zh-CN"/>
              </w:rPr>
            </w:pPr>
          </w:p>
        </w:tc>
        <w:tc>
          <w:tcPr>
            <w:tcW w:w="4871" w:type="dxa"/>
          </w:tcPr>
          <w:p w14:paraId="7E13B827" w14:textId="77777777" w:rsidR="005351F7" w:rsidRPr="00E8367D" w:rsidRDefault="005351F7" w:rsidP="005351F7">
            <w:pPr>
              <w:widowControl w:val="0"/>
              <w:numPr>
                <w:ilvl w:val="0"/>
                <w:numId w:val="4"/>
              </w:numPr>
              <w:spacing w:after="0" w:line="480" w:lineRule="auto"/>
              <w:rPr>
                <w:rFonts w:ascii="Times New Roman" w:eastAsia="SimSun" w:hAnsi="Times New Roman" w:cs="Times New Roman"/>
                <w:color w:val="auto"/>
                <w:szCs w:val="20"/>
                <w:lang w:eastAsia="zh-CN"/>
              </w:rPr>
            </w:pPr>
            <w:r w:rsidRPr="00E8367D">
              <w:rPr>
                <w:rFonts w:ascii="Times New Roman" w:eastAsia="SimSun" w:hAnsi="Times New Roman" w:cs="Times New Roman"/>
                <w:color w:val="auto"/>
                <w:szCs w:val="20"/>
                <w:lang w:eastAsia="zh-CN"/>
              </w:rPr>
              <w:t>Post-diagnosis treatments</w:t>
            </w:r>
          </w:p>
        </w:tc>
      </w:tr>
      <w:tr w:rsidR="005351F7" w:rsidRPr="00E8367D" w14:paraId="7A5C9D0F" w14:textId="77777777" w:rsidTr="00ED03ED">
        <w:tc>
          <w:tcPr>
            <w:tcW w:w="4871" w:type="dxa"/>
            <w:vMerge/>
            <w:tcBorders>
              <w:bottom w:val="single" w:sz="4" w:space="0" w:color="auto"/>
            </w:tcBorders>
          </w:tcPr>
          <w:p w14:paraId="0E8E1E56" w14:textId="77777777" w:rsidR="005351F7" w:rsidRPr="00E8367D" w:rsidRDefault="005351F7" w:rsidP="00ED03ED">
            <w:pPr>
              <w:widowControl w:val="0"/>
              <w:spacing w:after="0" w:line="480" w:lineRule="auto"/>
              <w:rPr>
                <w:rFonts w:ascii="Times New Roman" w:eastAsia="SimSun" w:hAnsi="Times New Roman" w:cs="Times New Roman"/>
                <w:color w:val="auto"/>
                <w:szCs w:val="20"/>
                <w:lang w:eastAsia="zh-CN"/>
              </w:rPr>
            </w:pPr>
          </w:p>
        </w:tc>
        <w:tc>
          <w:tcPr>
            <w:tcW w:w="4871" w:type="dxa"/>
            <w:tcBorders>
              <w:bottom w:val="single" w:sz="4" w:space="0" w:color="auto"/>
            </w:tcBorders>
          </w:tcPr>
          <w:p w14:paraId="7D2E7572" w14:textId="77777777" w:rsidR="005351F7" w:rsidRPr="00E8367D" w:rsidRDefault="005351F7" w:rsidP="005351F7">
            <w:pPr>
              <w:widowControl w:val="0"/>
              <w:numPr>
                <w:ilvl w:val="0"/>
                <w:numId w:val="4"/>
              </w:numPr>
              <w:spacing w:after="0" w:line="480" w:lineRule="auto"/>
              <w:rPr>
                <w:rFonts w:ascii="Times New Roman" w:eastAsia="SimSun" w:hAnsi="Times New Roman" w:cs="Times New Roman"/>
                <w:color w:val="auto"/>
                <w:szCs w:val="20"/>
                <w:lang w:eastAsia="zh-CN"/>
              </w:rPr>
            </w:pPr>
            <w:r w:rsidRPr="00E8367D">
              <w:rPr>
                <w:rFonts w:ascii="Times New Roman" w:eastAsia="SimSun" w:hAnsi="Times New Roman" w:cs="Times New Roman"/>
                <w:color w:val="auto"/>
                <w:szCs w:val="20"/>
                <w:lang w:eastAsia="zh-CN"/>
              </w:rPr>
              <w:t>Post-diagnosis clinical outcomes</w:t>
            </w:r>
          </w:p>
        </w:tc>
      </w:tr>
      <w:tr w:rsidR="005351F7" w:rsidRPr="00E8367D" w14:paraId="25CDD7E3" w14:textId="77777777" w:rsidTr="00ED03ED">
        <w:tc>
          <w:tcPr>
            <w:tcW w:w="4871" w:type="dxa"/>
            <w:tcBorders>
              <w:top w:val="single" w:sz="4" w:space="0" w:color="auto"/>
              <w:bottom w:val="single" w:sz="4" w:space="0" w:color="auto"/>
            </w:tcBorders>
          </w:tcPr>
          <w:p w14:paraId="4E023206" w14:textId="77777777" w:rsidR="005351F7" w:rsidRPr="00E8367D" w:rsidRDefault="005351F7" w:rsidP="005351F7">
            <w:pPr>
              <w:widowControl w:val="0"/>
              <w:numPr>
                <w:ilvl w:val="0"/>
                <w:numId w:val="2"/>
              </w:numPr>
              <w:spacing w:after="0" w:line="480" w:lineRule="auto"/>
              <w:rPr>
                <w:rFonts w:ascii="Times New Roman" w:eastAsia="SimSun" w:hAnsi="Times New Roman" w:cs="Times New Roman"/>
                <w:color w:val="auto"/>
                <w:szCs w:val="20"/>
                <w:lang w:eastAsia="zh-CN"/>
              </w:rPr>
            </w:pPr>
            <w:r w:rsidRPr="00E8367D">
              <w:rPr>
                <w:rFonts w:ascii="Times New Roman" w:eastAsia="SimSun" w:hAnsi="Times New Roman" w:cs="Times New Roman"/>
                <w:color w:val="auto"/>
                <w:szCs w:val="20"/>
                <w:lang w:eastAsia="zh-CN"/>
              </w:rPr>
              <w:t>To characterize and quantify the clinical burden in patients diagnosed with ATTR amyloidosis in routine clinical care for the defined domains/variables.</w:t>
            </w:r>
          </w:p>
        </w:tc>
        <w:tc>
          <w:tcPr>
            <w:tcW w:w="4871" w:type="dxa"/>
            <w:tcBorders>
              <w:top w:val="single" w:sz="4" w:space="0" w:color="auto"/>
              <w:bottom w:val="single" w:sz="4" w:space="0" w:color="auto"/>
            </w:tcBorders>
          </w:tcPr>
          <w:p w14:paraId="4545E779" w14:textId="77777777" w:rsidR="005351F7" w:rsidRPr="00E8367D" w:rsidRDefault="005351F7" w:rsidP="005351F7">
            <w:pPr>
              <w:widowControl w:val="0"/>
              <w:numPr>
                <w:ilvl w:val="0"/>
                <w:numId w:val="5"/>
              </w:numPr>
              <w:spacing w:after="0" w:line="480" w:lineRule="auto"/>
              <w:rPr>
                <w:rFonts w:ascii="Times New Roman" w:eastAsia="SimSun" w:hAnsi="Times New Roman" w:cs="Times New Roman"/>
                <w:color w:val="auto"/>
                <w:szCs w:val="20"/>
                <w:lang w:eastAsia="zh-CN"/>
              </w:rPr>
            </w:pPr>
            <w:r w:rsidRPr="00E8367D">
              <w:rPr>
                <w:rFonts w:ascii="Times New Roman" w:eastAsia="SimSun" w:hAnsi="Times New Roman" w:cs="Times New Roman"/>
                <w:color w:val="auto"/>
                <w:szCs w:val="20"/>
                <w:lang w:eastAsia="zh-CN"/>
              </w:rPr>
              <w:t>Post-diagnosis HCRU</w:t>
            </w:r>
          </w:p>
        </w:tc>
      </w:tr>
      <w:tr w:rsidR="005351F7" w:rsidRPr="00E8367D" w14:paraId="2953C53C" w14:textId="77777777" w:rsidTr="00ED03ED">
        <w:tc>
          <w:tcPr>
            <w:tcW w:w="4871" w:type="dxa"/>
            <w:tcBorders>
              <w:top w:val="single" w:sz="4" w:space="0" w:color="auto"/>
            </w:tcBorders>
          </w:tcPr>
          <w:p w14:paraId="64DFEB84" w14:textId="77777777" w:rsidR="005351F7" w:rsidRPr="00E8367D" w:rsidRDefault="005351F7" w:rsidP="00ED03ED">
            <w:pPr>
              <w:widowControl w:val="0"/>
              <w:spacing w:after="0" w:line="480" w:lineRule="auto"/>
              <w:rPr>
                <w:rFonts w:ascii="Times New Roman" w:eastAsia="SimSun" w:hAnsi="Times New Roman" w:cs="Times New Roman"/>
                <w:b/>
                <w:bCs/>
                <w:color w:val="auto"/>
                <w:szCs w:val="20"/>
                <w:lang w:eastAsia="zh-CN"/>
              </w:rPr>
            </w:pPr>
            <w:r w:rsidRPr="00E8367D">
              <w:rPr>
                <w:rFonts w:ascii="Times New Roman" w:eastAsia="SimSun" w:hAnsi="Times New Roman" w:cs="Times New Roman"/>
                <w:b/>
                <w:bCs/>
                <w:color w:val="auto"/>
                <w:szCs w:val="20"/>
                <w:lang w:eastAsia="zh-CN"/>
              </w:rPr>
              <w:t>Secondary objectives</w:t>
            </w:r>
          </w:p>
        </w:tc>
        <w:tc>
          <w:tcPr>
            <w:tcW w:w="4871" w:type="dxa"/>
            <w:tcBorders>
              <w:top w:val="single" w:sz="4" w:space="0" w:color="auto"/>
            </w:tcBorders>
          </w:tcPr>
          <w:p w14:paraId="7D5B0ECD" w14:textId="77777777" w:rsidR="005351F7" w:rsidRPr="00E8367D" w:rsidRDefault="005351F7" w:rsidP="00ED03ED">
            <w:pPr>
              <w:widowControl w:val="0"/>
              <w:spacing w:after="0" w:line="480" w:lineRule="auto"/>
              <w:rPr>
                <w:rFonts w:ascii="Times New Roman" w:eastAsia="SimSun" w:hAnsi="Times New Roman" w:cs="Times New Roman"/>
                <w:color w:val="auto"/>
                <w:szCs w:val="20"/>
                <w:lang w:eastAsia="zh-CN"/>
              </w:rPr>
            </w:pPr>
          </w:p>
        </w:tc>
      </w:tr>
      <w:tr w:rsidR="005351F7" w:rsidRPr="00E8367D" w14:paraId="61955D52" w14:textId="77777777" w:rsidTr="00ED03ED">
        <w:tc>
          <w:tcPr>
            <w:tcW w:w="4871" w:type="dxa"/>
            <w:vMerge w:val="restart"/>
          </w:tcPr>
          <w:p w14:paraId="0DC264E5" w14:textId="77777777" w:rsidR="005351F7" w:rsidRPr="00E8367D" w:rsidRDefault="005351F7" w:rsidP="005351F7">
            <w:pPr>
              <w:widowControl w:val="0"/>
              <w:numPr>
                <w:ilvl w:val="0"/>
                <w:numId w:val="3"/>
              </w:numPr>
              <w:spacing w:after="0" w:line="480" w:lineRule="auto"/>
              <w:rPr>
                <w:rFonts w:ascii="Times New Roman" w:eastAsia="SimSun" w:hAnsi="Times New Roman" w:cs="Times New Roman"/>
                <w:color w:val="auto"/>
                <w:szCs w:val="20"/>
                <w:lang w:eastAsia="zh-CN"/>
              </w:rPr>
            </w:pPr>
            <w:r w:rsidRPr="00E8367D">
              <w:rPr>
                <w:rFonts w:ascii="Times New Roman" w:eastAsia="SimSun" w:hAnsi="Times New Roman" w:cs="Times New Roman"/>
                <w:color w:val="auto"/>
                <w:szCs w:val="20"/>
                <w:lang w:eastAsia="zh-CN"/>
              </w:rPr>
              <w:t xml:space="preserve">To describe clinical characteristics and burden in patients with ATTR amyloidosis </w:t>
            </w:r>
            <w:r w:rsidRPr="00E8367D">
              <w:rPr>
                <w:rFonts w:ascii="Times New Roman" w:eastAsia="SimSun" w:hAnsi="Times New Roman" w:cs="Times New Roman"/>
                <w:b/>
                <w:bCs/>
                <w:color w:val="auto"/>
                <w:szCs w:val="20"/>
                <w:lang w:eastAsia="zh-CN"/>
              </w:rPr>
              <w:t>before diagnosis</w:t>
            </w:r>
          </w:p>
        </w:tc>
        <w:tc>
          <w:tcPr>
            <w:tcW w:w="4871" w:type="dxa"/>
          </w:tcPr>
          <w:p w14:paraId="75A54D5A" w14:textId="77777777" w:rsidR="005351F7" w:rsidRPr="00E8367D" w:rsidRDefault="005351F7" w:rsidP="005351F7">
            <w:pPr>
              <w:widowControl w:val="0"/>
              <w:numPr>
                <w:ilvl w:val="0"/>
                <w:numId w:val="6"/>
              </w:numPr>
              <w:spacing w:after="0" w:line="480" w:lineRule="auto"/>
              <w:rPr>
                <w:rFonts w:ascii="Times New Roman" w:eastAsia="SimSun" w:hAnsi="Times New Roman" w:cs="Times New Roman"/>
                <w:color w:val="auto"/>
                <w:szCs w:val="20"/>
                <w:lang w:eastAsia="zh-CN"/>
              </w:rPr>
            </w:pPr>
            <w:r w:rsidRPr="00E8367D">
              <w:rPr>
                <w:rFonts w:ascii="Times New Roman" w:eastAsia="SimSun" w:hAnsi="Times New Roman" w:cs="Times New Roman"/>
                <w:color w:val="auto"/>
                <w:szCs w:val="20"/>
                <w:lang w:eastAsia="zh-CN"/>
              </w:rPr>
              <w:t xml:space="preserve">Pre-diagnosis ATTR-related clinical characteristics </w:t>
            </w:r>
          </w:p>
        </w:tc>
      </w:tr>
      <w:tr w:rsidR="005351F7" w:rsidRPr="00E8367D" w14:paraId="32C178B8" w14:textId="77777777" w:rsidTr="00ED03ED">
        <w:tc>
          <w:tcPr>
            <w:tcW w:w="4871" w:type="dxa"/>
            <w:vMerge/>
          </w:tcPr>
          <w:p w14:paraId="3A29F4B9" w14:textId="77777777" w:rsidR="005351F7" w:rsidRPr="00E8367D" w:rsidRDefault="005351F7" w:rsidP="00ED03ED">
            <w:pPr>
              <w:widowControl w:val="0"/>
              <w:spacing w:after="0" w:line="480" w:lineRule="auto"/>
              <w:rPr>
                <w:rFonts w:ascii="Times New Roman" w:eastAsia="SimSun" w:hAnsi="Times New Roman" w:cs="Times New Roman"/>
                <w:color w:val="auto"/>
                <w:szCs w:val="20"/>
                <w:lang w:eastAsia="zh-CN"/>
              </w:rPr>
            </w:pPr>
          </w:p>
        </w:tc>
        <w:tc>
          <w:tcPr>
            <w:tcW w:w="4871" w:type="dxa"/>
          </w:tcPr>
          <w:p w14:paraId="769E2031" w14:textId="77777777" w:rsidR="005351F7" w:rsidRPr="00E8367D" w:rsidRDefault="005351F7" w:rsidP="005351F7">
            <w:pPr>
              <w:widowControl w:val="0"/>
              <w:numPr>
                <w:ilvl w:val="0"/>
                <w:numId w:val="6"/>
              </w:numPr>
              <w:spacing w:after="0" w:line="480" w:lineRule="auto"/>
              <w:rPr>
                <w:rFonts w:ascii="Times New Roman" w:eastAsia="SimSun" w:hAnsi="Times New Roman" w:cs="Times New Roman"/>
                <w:color w:val="auto"/>
                <w:szCs w:val="20"/>
                <w:lang w:eastAsia="zh-CN"/>
              </w:rPr>
            </w:pPr>
            <w:r w:rsidRPr="00E8367D">
              <w:rPr>
                <w:rFonts w:ascii="Times New Roman" w:eastAsia="SimSun" w:hAnsi="Times New Roman" w:cs="Times New Roman"/>
                <w:color w:val="auto"/>
                <w:szCs w:val="20"/>
                <w:lang w:eastAsia="zh-CN"/>
              </w:rPr>
              <w:t xml:space="preserve">Pre-diagnosis HCRU </w:t>
            </w:r>
          </w:p>
          <w:p w14:paraId="2B45E07A" w14:textId="77777777" w:rsidR="005351F7" w:rsidRPr="00E8367D" w:rsidRDefault="005351F7" w:rsidP="00ED03ED">
            <w:pPr>
              <w:widowControl w:val="0"/>
              <w:spacing w:after="0" w:line="480" w:lineRule="auto"/>
              <w:rPr>
                <w:rFonts w:ascii="Times New Roman" w:eastAsia="SimSun" w:hAnsi="Times New Roman" w:cs="Times New Roman"/>
                <w:color w:val="auto"/>
                <w:szCs w:val="20"/>
                <w:lang w:eastAsia="zh-CN"/>
              </w:rPr>
            </w:pPr>
          </w:p>
        </w:tc>
      </w:tr>
    </w:tbl>
    <w:p w14:paraId="434100DD" w14:textId="77777777" w:rsidR="005351F7" w:rsidRPr="00E8367D" w:rsidRDefault="005351F7" w:rsidP="005351F7">
      <w:pPr>
        <w:widowControl w:val="0"/>
        <w:spacing w:after="0" w:line="360" w:lineRule="auto"/>
        <w:rPr>
          <w:rFonts w:ascii="Times New Roman" w:eastAsia="SimSun" w:hAnsi="Times New Roman" w:cs="Times New Roman"/>
          <w:color w:val="EEECE1"/>
          <w:sz w:val="18"/>
          <w:szCs w:val="18"/>
          <w:lang w:eastAsia="zh-CN"/>
        </w:rPr>
      </w:pPr>
      <w:r w:rsidRPr="00E8367D">
        <w:rPr>
          <w:rFonts w:ascii="Times New Roman" w:eastAsia="SimSun" w:hAnsi="Times New Roman" w:cs="Times New Roman"/>
          <w:color w:val="auto"/>
          <w:sz w:val="18"/>
          <w:szCs w:val="18"/>
          <w:lang w:eastAsia="zh-CN"/>
        </w:rPr>
        <w:t>Abbreviations: ATTR, transthyretin amyloidosis; HCRU, healthcare resource utilisation.</w:t>
      </w:r>
    </w:p>
    <w:p w14:paraId="2FCAE5D8" w14:textId="77777777" w:rsidR="005351F7" w:rsidRPr="00CC6DB5" w:rsidRDefault="005351F7" w:rsidP="005351F7">
      <w:pPr>
        <w:widowControl w:val="0"/>
        <w:spacing w:after="200" w:line="276" w:lineRule="auto"/>
        <w:rPr>
          <w:rFonts w:ascii="Times New Roman" w:eastAsia="SimSun" w:hAnsi="Times New Roman" w:cs="Times New Roman"/>
          <w:color w:val="auto"/>
          <w:sz w:val="24"/>
          <w:szCs w:val="24"/>
          <w:lang w:eastAsia="zh-CN"/>
        </w:rPr>
      </w:pPr>
      <w:r w:rsidRPr="00CC6DB5">
        <w:rPr>
          <w:rFonts w:ascii="Times New Roman" w:eastAsia="SimSun" w:hAnsi="Times New Roman" w:cs="Times New Roman"/>
          <w:color w:val="auto"/>
          <w:sz w:val="24"/>
          <w:szCs w:val="24"/>
          <w:lang w:eastAsia="zh-CN"/>
        </w:rPr>
        <w:br w:type="page"/>
      </w:r>
    </w:p>
    <w:p w14:paraId="15E054DB" w14:textId="11DCF7B9" w:rsidR="005351F7" w:rsidRPr="00CC6DB5" w:rsidRDefault="007A411A" w:rsidP="005351F7">
      <w:pPr>
        <w:widowControl w:val="0"/>
        <w:spacing w:after="0" w:line="360" w:lineRule="auto"/>
        <w:jc w:val="center"/>
        <w:rPr>
          <w:rFonts w:ascii="Times New Roman" w:eastAsia="SimSun" w:hAnsi="Times New Roman" w:cs="Times New Roman"/>
          <w:color w:val="auto"/>
          <w:sz w:val="24"/>
          <w:szCs w:val="24"/>
          <w:lang w:eastAsia="zh-CN"/>
        </w:rPr>
      </w:pPr>
      <w:r>
        <w:rPr>
          <w:rFonts w:ascii="Times New Roman" w:eastAsia="SimSun" w:hAnsi="Times New Roman" w:cs="Times New Roman"/>
          <w:noProof/>
          <w:color w:val="auto"/>
          <w:sz w:val="24"/>
          <w:szCs w:val="24"/>
          <w:lang w:eastAsia="zh-CN"/>
          <w14:ligatures w14:val="standardContextual"/>
        </w:rPr>
        <w:lastRenderedPageBreak/>
        <w:drawing>
          <wp:inline distT="0" distB="0" distL="0" distR="0" wp14:anchorId="65181C84" wp14:editId="764A44F4">
            <wp:extent cx="5731510" cy="8279130"/>
            <wp:effectExtent l="0" t="0" r="2540" b="7620"/>
            <wp:docPr id="504496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96942" name="Picture 50449694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8279130"/>
                    </a:xfrm>
                    <a:prstGeom prst="rect">
                      <a:avLst/>
                    </a:prstGeom>
                  </pic:spPr>
                </pic:pic>
              </a:graphicData>
            </a:graphic>
          </wp:inline>
        </w:drawing>
      </w:r>
    </w:p>
    <w:p w14:paraId="2DB89061" w14:textId="54D631FB" w:rsidR="00E02C64" w:rsidRPr="005351F7" w:rsidRDefault="005351F7" w:rsidP="005351F7">
      <w:pPr>
        <w:widowControl w:val="0"/>
        <w:spacing w:before="360" w:after="60" w:line="480" w:lineRule="auto"/>
        <w:ind w:right="567"/>
        <w:contextualSpacing/>
        <w:outlineLvl w:val="1"/>
        <w:rPr>
          <w:rFonts w:ascii="Times New Roman" w:eastAsia="SimSun" w:hAnsi="Times New Roman" w:cs="Times New Roman"/>
          <w:color w:val="auto"/>
          <w:sz w:val="24"/>
          <w:szCs w:val="24"/>
          <w:lang w:eastAsia="zh-CN"/>
        </w:rPr>
      </w:pPr>
      <w:r w:rsidRPr="00CC6DB5">
        <w:rPr>
          <w:rFonts w:ascii="Times New Roman" w:eastAsia="SimSun" w:hAnsi="Times New Roman" w:cs="Times New Roman"/>
          <w:b/>
          <w:bCs/>
          <w:color w:val="auto"/>
          <w:sz w:val="24"/>
          <w:szCs w:val="24"/>
          <w:lang w:eastAsia="zh-CN"/>
        </w:rPr>
        <w:t>Fig</w:t>
      </w:r>
      <w:r w:rsidR="00463F81">
        <w:rPr>
          <w:rFonts w:ascii="Times New Roman" w:eastAsia="SimSun" w:hAnsi="Times New Roman" w:cs="Times New Roman" w:hint="eastAsia"/>
          <w:b/>
          <w:bCs/>
          <w:color w:val="auto"/>
          <w:sz w:val="24"/>
          <w:szCs w:val="24"/>
          <w:lang w:eastAsia="zh-CN"/>
        </w:rPr>
        <w:t>.</w:t>
      </w:r>
      <w:r w:rsidRPr="00CC6DB5">
        <w:rPr>
          <w:rFonts w:ascii="Times New Roman" w:eastAsia="SimSun" w:hAnsi="Times New Roman" w:cs="Times New Roman"/>
          <w:b/>
          <w:bCs/>
          <w:color w:val="auto"/>
          <w:sz w:val="24"/>
          <w:szCs w:val="24"/>
          <w:lang w:eastAsia="zh-CN"/>
        </w:rPr>
        <w:t xml:space="preserve"> S1 Time to (A) new amyloidosis manifestation, (B) all-cause</w:t>
      </w:r>
      <w:r w:rsidRPr="00CC6DB5">
        <w:rPr>
          <w:rFonts w:ascii="Times New Roman" w:eastAsia="SimSun" w:hAnsi="Times New Roman" w:cs="Times New Roman" w:hint="eastAsia"/>
          <w:b/>
          <w:bCs/>
          <w:color w:val="auto"/>
          <w:sz w:val="24"/>
          <w:szCs w:val="24"/>
          <w:lang w:eastAsia="zh-CN"/>
        </w:rPr>
        <w:t xml:space="preserve"> </w:t>
      </w:r>
      <w:r w:rsidRPr="00CC6DB5">
        <w:rPr>
          <w:rFonts w:ascii="Times New Roman" w:eastAsia="SimSun" w:hAnsi="Times New Roman" w:cs="Times New Roman"/>
          <w:b/>
          <w:bCs/>
          <w:color w:val="auto"/>
          <w:sz w:val="24"/>
          <w:szCs w:val="24"/>
          <w:lang w:eastAsia="zh-CN"/>
        </w:rPr>
        <w:t xml:space="preserve">hospitalisation, </w:t>
      </w:r>
      <w:r w:rsidRPr="00CC6DB5">
        <w:rPr>
          <w:rFonts w:ascii="Times New Roman" w:eastAsia="SimSun" w:hAnsi="Times New Roman" w:cs="Times New Roman"/>
          <w:b/>
          <w:bCs/>
          <w:color w:val="auto"/>
          <w:sz w:val="24"/>
          <w:szCs w:val="24"/>
          <w:lang w:eastAsia="zh-CN"/>
        </w:rPr>
        <w:lastRenderedPageBreak/>
        <w:t>and (C) all-cause mortality in patients with ATTR amyloidosis (post-diagnosis) by genotype and phenotype</w:t>
      </w:r>
      <w:r w:rsidRPr="00CC6DB5">
        <w:rPr>
          <w:rFonts w:ascii="Times New Roman" w:eastAsia="SimSun" w:hAnsi="Times New Roman" w:cs="Times New Roman" w:hint="eastAsia"/>
          <w:b/>
          <w:bCs/>
          <w:color w:val="auto"/>
          <w:sz w:val="24"/>
          <w:szCs w:val="24"/>
          <w:lang w:eastAsia="zh-CN"/>
        </w:rPr>
        <w:t>.</w:t>
      </w:r>
      <w:r w:rsidRPr="00CC6DB5">
        <w:rPr>
          <w:rFonts w:ascii="Times New Roman" w:eastAsia="SimSun" w:hAnsi="Times New Roman" w:cs="Times New Roman" w:hint="eastAsia"/>
          <w:color w:val="auto"/>
          <w:sz w:val="24"/>
          <w:szCs w:val="24"/>
          <w:lang w:eastAsia="zh-CN"/>
        </w:rPr>
        <w:t xml:space="preserve"> </w:t>
      </w:r>
      <w:r w:rsidRPr="00CC6DB5">
        <w:rPr>
          <w:rFonts w:ascii="Times New Roman" w:eastAsia="SimSun" w:hAnsi="Times New Roman" w:cs="Times New Roman"/>
          <w:color w:val="auto"/>
          <w:sz w:val="24"/>
          <w:szCs w:val="24"/>
          <w:lang w:eastAsia="zh-CN"/>
        </w:rPr>
        <w:t>AJ, Aalen-</w:t>
      </w:r>
      <w:proofErr w:type="spellStart"/>
      <w:r w:rsidRPr="00CC6DB5">
        <w:rPr>
          <w:rFonts w:ascii="Times New Roman" w:eastAsia="SimSun" w:hAnsi="Times New Roman" w:cs="Times New Roman"/>
          <w:color w:val="auto"/>
          <w:sz w:val="24"/>
          <w:szCs w:val="24"/>
          <w:lang w:eastAsia="zh-CN"/>
        </w:rPr>
        <w:t>Joansen</w:t>
      </w:r>
      <w:proofErr w:type="spellEnd"/>
      <w:r w:rsidRPr="00CC6DB5">
        <w:rPr>
          <w:rFonts w:ascii="Times New Roman" w:eastAsia="SimSun" w:hAnsi="Times New Roman" w:cs="Times New Roman"/>
          <w:color w:val="auto"/>
          <w:sz w:val="24"/>
          <w:szCs w:val="24"/>
          <w:lang w:eastAsia="zh-CN"/>
        </w:rPr>
        <w:t xml:space="preserve"> method; ATTR, transthyretin amyloidosis; </w:t>
      </w:r>
      <w:proofErr w:type="spellStart"/>
      <w:r w:rsidRPr="00CC6DB5">
        <w:rPr>
          <w:rFonts w:ascii="Times New Roman" w:eastAsia="SimSun" w:hAnsi="Times New Roman" w:cs="Times New Roman"/>
          <w:color w:val="auto"/>
          <w:sz w:val="24"/>
          <w:szCs w:val="24"/>
          <w:lang w:eastAsia="zh-CN"/>
        </w:rPr>
        <w:t>ATTRv</w:t>
      </w:r>
      <w:proofErr w:type="spellEnd"/>
      <w:r w:rsidRPr="00CC6DB5">
        <w:rPr>
          <w:rFonts w:ascii="Times New Roman" w:eastAsia="SimSun" w:hAnsi="Times New Roman" w:cs="Times New Roman"/>
          <w:color w:val="auto"/>
          <w:sz w:val="24"/>
          <w:szCs w:val="24"/>
          <w:lang w:eastAsia="zh-CN"/>
        </w:rPr>
        <w:t xml:space="preserve">, hereditary transthyretin amyloidosis; </w:t>
      </w:r>
      <w:proofErr w:type="spellStart"/>
      <w:r w:rsidRPr="00CC6DB5">
        <w:rPr>
          <w:rFonts w:ascii="Times New Roman" w:eastAsia="SimSun" w:hAnsi="Times New Roman" w:cs="Times New Roman"/>
          <w:color w:val="auto"/>
          <w:sz w:val="24"/>
          <w:szCs w:val="24"/>
          <w:lang w:eastAsia="zh-CN"/>
        </w:rPr>
        <w:t>ATTRwt</w:t>
      </w:r>
      <w:proofErr w:type="spellEnd"/>
      <w:r w:rsidRPr="00CC6DB5">
        <w:rPr>
          <w:rFonts w:ascii="Times New Roman" w:eastAsia="SimSun" w:hAnsi="Times New Roman" w:cs="Times New Roman"/>
          <w:color w:val="auto"/>
          <w:sz w:val="24"/>
          <w:szCs w:val="24"/>
          <w:lang w:eastAsia="zh-CN"/>
        </w:rPr>
        <w:t>, wild-type transthyretin amyloidosis; CM, cardiomyopathy; KM, Kaplan-Meier; PN, polyneuropathy.</w:t>
      </w:r>
      <w:bookmarkEnd w:id="0"/>
    </w:p>
    <w:sectPr w:rsidR="00E02C64" w:rsidRPr="005351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554BD"/>
    <w:multiLevelType w:val="hybridMultilevel"/>
    <w:tmpl w:val="8DBCE7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257A8E"/>
    <w:multiLevelType w:val="hybridMultilevel"/>
    <w:tmpl w:val="DCDC65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A6B693B"/>
    <w:multiLevelType w:val="hybridMultilevel"/>
    <w:tmpl w:val="78B88F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EF7CCD"/>
    <w:multiLevelType w:val="hybridMultilevel"/>
    <w:tmpl w:val="5F1C2B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A96DB9"/>
    <w:multiLevelType w:val="hybridMultilevel"/>
    <w:tmpl w:val="CB14503A"/>
    <w:lvl w:ilvl="0" w:tplc="56A8D37C">
      <w:start w:val="1"/>
      <w:numFmt w:val="decimal"/>
      <w:lvlText w:val="%1."/>
      <w:lvlJc w:val="left"/>
      <w:pPr>
        <w:ind w:left="530" w:hanging="360"/>
      </w:pPr>
      <w:rPr>
        <w:rFonts w:hint="default"/>
      </w:rPr>
    </w:lvl>
    <w:lvl w:ilvl="1" w:tplc="08090019" w:tentative="1">
      <w:start w:val="1"/>
      <w:numFmt w:val="lowerLetter"/>
      <w:lvlText w:val="%2."/>
      <w:lvlJc w:val="lef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5" w15:restartNumberingAfterBreak="0">
    <w:nsid w:val="7E4E4F24"/>
    <w:multiLevelType w:val="hybridMultilevel"/>
    <w:tmpl w:val="9E3E55E8"/>
    <w:lvl w:ilvl="0" w:tplc="73CE0470">
      <w:start w:val="1"/>
      <w:numFmt w:val="decimal"/>
      <w:lvlText w:val="%1."/>
      <w:lvlJc w:val="left"/>
      <w:pPr>
        <w:ind w:left="530" w:hanging="360"/>
      </w:pPr>
      <w:rPr>
        <w:rFonts w:hint="default"/>
      </w:rPr>
    </w:lvl>
    <w:lvl w:ilvl="1" w:tplc="08090019" w:tentative="1">
      <w:start w:val="1"/>
      <w:numFmt w:val="lowerLetter"/>
      <w:lvlText w:val="%2."/>
      <w:lvlJc w:val="lef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num w:numId="1" w16cid:durableId="1248416770">
    <w:abstractNumId w:val="1"/>
  </w:num>
  <w:num w:numId="2" w16cid:durableId="1702122338">
    <w:abstractNumId w:val="4"/>
  </w:num>
  <w:num w:numId="3" w16cid:durableId="1072196069">
    <w:abstractNumId w:val="5"/>
  </w:num>
  <w:num w:numId="4" w16cid:durableId="1537505105">
    <w:abstractNumId w:val="2"/>
  </w:num>
  <w:num w:numId="5" w16cid:durableId="175964704">
    <w:abstractNumId w:val="3"/>
  </w:num>
  <w:num w:numId="6" w16cid:durableId="1539664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1F7"/>
    <w:rsid w:val="00347711"/>
    <w:rsid w:val="00463F81"/>
    <w:rsid w:val="00497F7A"/>
    <w:rsid w:val="005351F7"/>
    <w:rsid w:val="006A28C9"/>
    <w:rsid w:val="007A411A"/>
    <w:rsid w:val="00890866"/>
    <w:rsid w:val="00893BA2"/>
    <w:rsid w:val="00951989"/>
    <w:rsid w:val="00953B18"/>
    <w:rsid w:val="00A4046F"/>
    <w:rsid w:val="00AE28FA"/>
    <w:rsid w:val="00B36247"/>
    <w:rsid w:val="00BB6107"/>
    <w:rsid w:val="00C01CE4"/>
    <w:rsid w:val="00CF4BBE"/>
    <w:rsid w:val="00E02C64"/>
    <w:rsid w:val="00E8367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385ED"/>
  <w15:chartTrackingRefBased/>
  <w15:docId w15:val="{CF3EC50A-A687-4B8B-A6D1-8FBA45319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5"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5351F7"/>
    <w:pPr>
      <w:spacing w:after="120" w:line="252" w:lineRule="auto"/>
    </w:pPr>
    <w:rPr>
      <w:color w:val="000000"/>
      <w:kern w:val="0"/>
      <w:sz w:val="20"/>
      <w:szCs w:val="22"/>
      <w:lang w:eastAsia="en-US"/>
      <w14:ligatures w14:val="none"/>
    </w:rPr>
  </w:style>
  <w:style w:type="paragraph" w:styleId="Heading1">
    <w:name w:val="heading 1"/>
    <w:basedOn w:val="Normal"/>
    <w:next w:val="Normal"/>
    <w:link w:val="Heading1Char"/>
    <w:uiPriority w:val="9"/>
    <w:qFormat/>
    <w:rsid w:val="00E8367D"/>
    <w:pPr>
      <w:keepNext/>
      <w:spacing w:before="360" w:after="240" w:line="360" w:lineRule="auto"/>
      <w:ind w:right="567"/>
      <w:contextualSpacing/>
      <w:outlineLvl w:val="0"/>
    </w:pPr>
    <w:rPr>
      <w:rFonts w:ascii="Times New Roman" w:eastAsia="SimSun" w:hAnsi="Times New Roman" w:cs="Arial"/>
      <w:b/>
      <w:bCs/>
      <w:color w:val="auto"/>
      <w:kern w:val="32"/>
      <w:sz w:val="28"/>
      <w:szCs w:val="36"/>
      <w:lang w:eastAsia="en-GB"/>
    </w:rPr>
  </w:style>
  <w:style w:type="paragraph" w:styleId="Heading2">
    <w:name w:val="heading 2"/>
    <w:basedOn w:val="Normal"/>
    <w:next w:val="Normal"/>
    <w:link w:val="Heading2Char"/>
    <w:uiPriority w:val="9"/>
    <w:unhideWhenUsed/>
    <w:qFormat/>
    <w:rsid w:val="00E8367D"/>
    <w:pPr>
      <w:widowControl w:val="0"/>
      <w:spacing w:before="360" w:after="60" w:line="480" w:lineRule="auto"/>
      <w:ind w:right="567"/>
      <w:contextualSpacing/>
      <w:outlineLvl w:val="1"/>
    </w:pPr>
    <w:rPr>
      <w:rFonts w:ascii="Times New Roman" w:eastAsia="SimSun" w:hAnsi="Times New Roman" w:cs="Times New Roman"/>
      <w:b/>
      <w:bCs/>
      <w:color w:val="auto"/>
      <w:sz w:val="24"/>
      <w:szCs w:val="24"/>
      <w:lang w:eastAsia="zh-CN"/>
    </w:rPr>
  </w:style>
  <w:style w:type="paragraph" w:styleId="Heading3">
    <w:name w:val="heading 3"/>
    <w:basedOn w:val="Normal"/>
    <w:next w:val="Normal"/>
    <w:link w:val="Heading3Char"/>
    <w:uiPriority w:val="9"/>
    <w:semiHidden/>
    <w:unhideWhenUsed/>
    <w:qFormat/>
    <w:rsid w:val="005351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51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51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51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51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51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51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67D"/>
    <w:rPr>
      <w:rFonts w:ascii="Times New Roman" w:eastAsia="SimSun" w:hAnsi="Times New Roman" w:cs="Arial"/>
      <w:b/>
      <w:bCs/>
      <w:kern w:val="32"/>
      <w:sz w:val="28"/>
      <w:szCs w:val="36"/>
      <w:lang w:eastAsia="en-GB"/>
      <w14:ligatures w14:val="none"/>
    </w:rPr>
  </w:style>
  <w:style w:type="character" w:customStyle="1" w:styleId="Heading2Char">
    <w:name w:val="Heading 2 Char"/>
    <w:basedOn w:val="DefaultParagraphFont"/>
    <w:link w:val="Heading2"/>
    <w:uiPriority w:val="9"/>
    <w:rsid w:val="00E8367D"/>
    <w:rPr>
      <w:rFonts w:ascii="Times New Roman" w:eastAsia="SimSun" w:hAnsi="Times New Roman" w:cs="Times New Roman"/>
      <w:b/>
      <w:bCs/>
      <w:kern w:val="0"/>
      <w14:ligatures w14:val="none"/>
    </w:rPr>
  </w:style>
  <w:style w:type="character" w:customStyle="1" w:styleId="Heading3Char">
    <w:name w:val="Heading 3 Char"/>
    <w:basedOn w:val="DefaultParagraphFont"/>
    <w:link w:val="Heading3"/>
    <w:uiPriority w:val="9"/>
    <w:semiHidden/>
    <w:rsid w:val="005351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51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51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51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51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51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51F7"/>
    <w:rPr>
      <w:rFonts w:eastAsiaTheme="majorEastAsia" w:cstheme="majorBidi"/>
      <w:color w:val="272727" w:themeColor="text1" w:themeTint="D8"/>
    </w:rPr>
  </w:style>
  <w:style w:type="paragraph" w:styleId="Title">
    <w:name w:val="Title"/>
    <w:basedOn w:val="Normal"/>
    <w:next w:val="Normal"/>
    <w:link w:val="TitleChar"/>
    <w:uiPriority w:val="10"/>
    <w:qFormat/>
    <w:rsid w:val="005351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51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51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51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51F7"/>
    <w:pPr>
      <w:spacing w:before="160"/>
      <w:jc w:val="center"/>
    </w:pPr>
    <w:rPr>
      <w:i/>
      <w:iCs/>
      <w:color w:val="404040" w:themeColor="text1" w:themeTint="BF"/>
    </w:rPr>
  </w:style>
  <w:style w:type="character" w:customStyle="1" w:styleId="QuoteChar">
    <w:name w:val="Quote Char"/>
    <w:basedOn w:val="DefaultParagraphFont"/>
    <w:link w:val="Quote"/>
    <w:uiPriority w:val="29"/>
    <w:rsid w:val="005351F7"/>
    <w:rPr>
      <w:i/>
      <w:iCs/>
      <w:color w:val="404040" w:themeColor="text1" w:themeTint="BF"/>
    </w:rPr>
  </w:style>
  <w:style w:type="paragraph" w:styleId="ListParagraph">
    <w:name w:val="List Paragraph"/>
    <w:basedOn w:val="Normal"/>
    <w:uiPriority w:val="34"/>
    <w:qFormat/>
    <w:rsid w:val="005351F7"/>
    <w:pPr>
      <w:ind w:left="720"/>
      <w:contextualSpacing/>
    </w:pPr>
  </w:style>
  <w:style w:type="character" w:styleId="IntenseEmphasis">
    <w:name w:val="Intense Emphasis"/>
    <w:basedOn w:val="DefaultParagraphFont"/>
    <w:uiPriority w:val="21"/>
    <w:qFormat/>
    <w:rsid w:val="005351F7"/>
    <w:rPr>
      <w:i/>
      <w:iCs/>
      <w:color w:val="0F4761" w:themeColor="accent1" w:themeShade="BF"/>
    </w:rPr>
  </w:style>
  <w:style w:type="paragraph" w:styleId="IntenseQuote">
    <w:name w:val="Intense Quote"/>
    <w:basedOn w:val="Normal"/>
    <w:next w:val="Normal"/>
    <w:link w:val="IntenseQuoteChar"/>
    <w:uiPriority w:val="30"/>
    <w:qFormat/>
    <w:rsid w:val="005351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51F7"/>
    <w:rPr>
      <w:i/>
      <w:iCs/>
      <w:color w:val="0F4761" w:themeColor="accent1" w:themeShade="BF"/>
    </w:rPr>
  </w:style>
  <w:style w:type="character" w:styleId="IntenseReference">
    <w:name w:val="Intense Reference"/>
    <w:basedOn w:val="DefaultParagraphFont"/>
    <w:uiPriority w:val="32"/>
    <w:qFormat/>
    <w:rsid w:val="005351F7"/>
    <w:rPr>
      <w:b/>
      <w:bCs/>
      <w:smallCaps/>
      <w:color w:val="0F4761" w:themeColor="accent1" w:themeShade="BF"/>
      <w:spacing w:val="5"/>
    </w:rPr>
  </w:style>
  <w:style w:type="table" w:styleId="TableGrid">
    <w:name w:val="Table Grid"/>
    <w:basedOn w:val="TableNormal"/>
    <w:uiPriority w:val="39"/>
    <w:rsid w:val="005351F7"/>
    <w:pPr>
      <w:spacing w:after="0" w:line="240" w:lineRule="auto"/>
    </w:pPr>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stelloTable2">
    <w:name w:val="Costello Table 2"/>
    <w:basedOn w:val="TableNormal"/>
    <w:uiPriority w:val="99"/>
    <w:rsid w:val="005351F7"/>
    <w:pPr>
      <w:spacing w:after="0" w:line="240" w:lineRule="auto"/>
    </w:pPr>
    <w:rPr>
      <w:kern w:val="0"/>
      <w:sz w:val="22"/>
      <w:szCs w:val="22"/>
      <w:lang w:eastAsia="en-US"/>
      <w14:ligatures w14:val="none"/>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432</Words>
  <Characters>2632</Characters>
  <Application>Microsoft Office Word</Application>
  <DocSecurity>0</DocSecurity>
  <Lines>43</Lines>
  <Paragraphs>11</Paragraphs>
  <ScaleCrop>false</ScaleCrop>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 Kiat Lim</dc:creator>
  <cp:keywords/>
  <dc:description/>
  <cp:lastModifiedBy>Chun Kiat Lim</cp:lastModifiedBy>
  <cp:revision>8</cp:revision>
  <dcterms:created xsi:type="dcterms:W3CDTF">2025-12-10T07:50:00Z</dcterms:created>
  <dcterms:modified xsi:type="dcterms:W3CDTF">2026-01-07T06:15:00Z</dcterms:modified>
</cp:coreProperties>
</file>