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ind w:firstLine="0" w:firstLineChars="0"/>
        <w:rPr>
          <w:rFonts w:hint="default" w:ascii="Times New Roman Bold Italic" w:hAnsi="Times New Roman Bold Italic" w:eastAsia="宋体" w:cs="Times New Roman Bold Italic"/>
          <w:b/>
          <w:bCs/>
          <w:i/>
          <w:iCs/>
          <w:sz w:val="20"/>
          <w:szCs w:val="20"/>
          <w:lang w:val="en-US" w:eastAsia="zh-CN"/>
        </w:rPr>
      </w:pPr>
      <w:r>
        <w:rPr>
          <w:rFonts w:hint="default" w:ascii="Times New Roman Bold Italic" w:hAnsi="Times New Roman Bold Italic" w:eastAsia="宋体" w:cs="Times New Roman Bold Italic"/>
          <w:b/>
          <w:bCs/>
          <w:i/>
          <w:iCs/>
          <w:sz w:val="20"/>
          <w:szCs w:val="20"/>
          <w:lang w:val="en-US" w:eastAsia="zh-CN"/>
        </w:rPr>
        <w:t>Genetic Sequencing and Variant Assessment</w:t>
      </w:r>
    </w:p>
    <w:p>
      <w:pPr>
        <w:spacing w:line="480" w:lineRule="auto"/>
        <w:ind w:firstLine="0" w:firstLineChars="0"/>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Genomic DNA was extracted from peripheral blood. Exonic and flanking intronic regions were enriched (NimbleGen SeqCap EZ 2.0) and sequenced (Illumina HiSeq 2500; 150-bp paired-end reads). Reads were aligned to GRCh37/hg19 (BWA-MEM), consistent with our previous PCD cohort analyses [2], and variants were called (SAMtools/Pindel) and filtered (minor allele frequency &gt;5% in dbSNP/gnomAD). Missense pathogenicity was assessed using SIFT, PolyPhen-2, and MutationTaster; splice-site alterations were assessed with MaxEntScan and dbscSNV. Variant classification followed ACMG/Association for Molecular Pathology (AMP) guidelines. For the two patients with hemizygous OFD1 variants, maternal carrier status was confirmed by Sanger sequencing. Both mothers were found to carry the respective heterozygous variants, consistent with X-linked recessive inheritance.</w:t>
      </w:r>
    </w:p>
    <w:p>
      <w:pPr>
        <w:spacing w:line="480" w:lineRule="auto"/>
        <w:rPr>
          <w:rFonts w:ascii="Times New Roman Regular" w:hAnsi="Times New Roman Regular" w:cs="Times New Roman Regular"/>
          <w:sz w:val="20"/>
          <w:szCs w:val="20"/>
        </w:rPr>
      </w:pPr>
      <w:r>
        <w:rPr>
          <w:rFonts w:ascii="Times New Roman Regular" w:hAnsi="Times New Roman Regular" w:cs="Times New Roman Regular"/>
          <w:b/>
          <w:bCs/>
          <w:i/>
          <w:iCs/>
          <w:sz w:val="20"/>
          <w:szCs w:val="20"/>
        </w:rPr>
        <w:t>Transmission Electron Microscopy</w:t>
      </w:r>
      <w:r>
        <w:rPr>
          <w:rFonts w:ascii="Times New Roman Regular" w:hAnsi="Times New Roman Regular" w:cs="Times New Roman Regular"/>
          <w:sz w:val="20"/>
          <w:szCs w:val="20"/>
        </w:rPr>
        <w:t xml:space="preserve"> </w:t>
      </w:r>
    </w:p>
    <w:p>
      <w:pPr>
        <w:spacing w:line="480" w:lineRule="auto"/>
        <w:ind w:firstLine="400" w:firstLineChars="200"/>
        <w:rPr>
          <w:rFonts w:ascii="Times New Roman Regular" w:hAnsi="Times New Roman Regular" w:cs="Times New Roman Regular"/>
          <w:color w:val="auto"/>
          <w:sz w:val="20"/>
          <w:szCs w:val="20"/>
        </w:rPr>
      </w:pPr>
      <w:r>
        <w:rPr>
          <w:rFonts w:ascii="Times New Roman Regular" w:hAnsi="Times New Roman Regular" w:cs="Times New Roman Regular"/>
          <w:color w:val="auto"/>
          <w:sz w:val="20"/>
          <w:szCs w:val="20"/>
          <w:lang w:val="en-US" w:eastAsia="zh-CN"/>
        </w:rPr>
        <w:t>Transmission electron microscopy (TEM) was performed as part of the clinical diagnostic workup in a subset of patients, but was not required for study inclusion. Available TEM findings (including outer and/or inner dynein arm defects with microtubular disorganisation) [19] were recorded and correlated with genetic results, yet did not influence diagnostic classification for this study.</w:t>
      </w:r>
    </w:p>
    <w:p>
      <w:pPr>
        <w:spacing w:line="480" w:lineRule="auto"/>
        <w:ind w:firstLine="400" w:firstLineChars="200"/>
        <w:rPr>
          <w:rFonts w:ascii="Times New Roman Regular" w:hAnsi="Times New Roman Regular" w:cs="Times New Roman Regular"/>
          <w:sz w:val="20"/>
          <w:szCs w:val="20"/>
        </w:rPr>
      </w:pPr>
      <w:r>
        <w:rPr>
          <w:rFonts w:ascii="Times New Roman Regular" w:hAnsi="Times New Roman Regular" w:cs="Times New Roman Regular"/>
          <w:sz w:val="20"/>
          <w:szCs w:val="20"/>
          <w:lang w:val="en-US" w:eastAsia="zh-CN"/>
        </w:rPr>
        <w:t>For TEM processing, bronchial biopsy specimens were immediately fixed in glutaraldehyde at 4°C, washed overnight, and then post-fixed in 1% osmium tetroxide. After dehydration, samples were embedded in epoxy resin. Following polymerisation, ultrathin sections were mounted on copper grids and double-stained with aqueous uranyl acetate and Reynold's lead citrate. Ciliary ultrastructure was examined using a transmission electron microscope (JEM-1400; Jeol).</w:t>
      </w:r>
    </w:p>
    <w:p>
      <w:pPr>
        <w:spacing w:line="480" w:lineRule="auto"/>
        <w:rPr>
          <w:rFonts w:ascii="Times New Roman Regular" w:hAnsi="Times New Roman Regular" w:cs="Times New Roman Regular"/>
          <w:sz w:val="20"/>
          <w:szCs w:val="20"/>
        </w:rPr>
      </w:pPr>
      <w:r>
        <w:rPr>
          <w:rFonts w:ascii="Times New Roman Regular" w:hAnsi="Times New Roman Regular" w:cs="Times New Roman Regular"/>
          <w:sz w:val="20"/>
          <w:szCs w:val="20"/>
          <w:lang w:val="en-US" w:eastAsia="zh-CN"/>
        </w:rPr>
        <w:t>Among the 26 patients who underwent clinically indicated TEM, 9 (34.6%) yielded inadequate specimens for definitive ultrastructural classification. Common reasons included insufficient ciliated cells in the bronchial biopsy (low epithelial yield), poor tis</w:t>
      </w:r>
      <w:bookmarkStart w:id="0" w:name="_GoBack"/>
      <w:bookmarkEnd w:id="0"/>
      <w:r>
        <w:rPr>
          <w:rFonts w:ascii="Times New Roman Regular" w:hAnsi="Times New Roman Regular" w:cs="Times New Roman Regular"/>
          <w:sz w:val="20"/>
          <w:szCs w:val="20"/>
          <w:lang w:val="en-US" w:eastAsia="zh-CN"/>
        </w:rPr>
        <w:t>sue orientation precluding accurate axonemal assessment, or suboptimal fixation quality. Consequently, only 17 patients (65.4%) had interpretable TEM results.</w:t>
      </w:r>
    </w:p>
    <w:p>
      <w:pPr>
        <w:spacing w:line="480" w:lineRule="auto"/>
        <w:ind w:firstLine="0" w:firstLineChars="0"/>
        <w:rPr>
          <w:rFonts w:hint="default" w:ascii="Times New Roman Regular" w:hAnsi="Times New Roman Regular" w:eastAsia="宋体" w:cs="Times New Roman Regular"/>
          <w:sz w:val="20"/>
          <w:szCs w:val="20"/>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Bold Italic">
    <w:panose1 w:val="02020603050405020304"/>
    <w:charset w:val="00"/>
    <w:family w:val="auto"/>
    <w:pitch w:val="default"/>
    <w:sig w:usb0="E0002AEF" w:usb1="C0007841" w:usb2="00000009" w:usb3="00000000" w:csb0="400001FF" w:csb1="FFFF0000"/>
  </w:font>
  <w:font w:name="Times New Roman Regular">
    <w:panose1 w:val="02020603050405020304"/>
    <w:charset w:val="00"/>
    <w:family w:val="auto"/>
    <w:pitch w:val="default"/>
    <w:sig w:usb0="E0002AEF" w:usb1="C0007841"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FF6765"/>
    <w:rsid w:val="0777087C"/>
    <w:rsid w:val="736F9770"/>
    <w:rsid w:val="7EFF6765"/>
    <w:rsid w:val="857FEA36"/>
    <w:rsid w:val="AB6F0BB9"/>
    <w:rsid w:val="FEF96B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Office_6.5.2.8766_F1E327BC-269C-435d-A152-05C5408002CA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2026-06-17T18:44:00Z</dcterms:created>
  <dc:creator>Z1416386247</dc:creator>
  <cp:lastModifiedBy>Z1416386247</cp:lastModifiedBy>
  <dcterms:modified xsi:type="dcterms:W3CDTF">2026-07-01T14:07:59Z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3C633485561BFC5DBFAE446ACC4AB018_43</vt:lpwstr>
  </property>
</Properties>
</file>