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FFB" w:rsidRPr="004722DC" w:rsidRDefault="001C3637" w:rsidP="00136FFB">
      <w:pPr>
        <w:widowControl/>
        <w:wordWrap/>
        <w:autoSpaceDE/>
        <w:spacing w:before="100" w:beforeAutospacing="1" w:after="100" w:afterAutospacing="1" w:line="480" w:lineRule="auto"/>
        <w:rPr>
          <w:rFonts w:ascii="Times New Roman" w:hAnsi="Times New Roman"/>
          <w:b/>
          <w:sz w:val="24"/>
          <w:szCs w:val="24"/>
        </w:rPr>
      </w:pPr>
      <w:r>
        <w:rPr>
          <w:rFonts w:ascii="Times New Roman" w:hAnsi="Times New Roman"/>
          <w:b/>
          <w:sz w:val="24"/>
          <w:szCs w:val="24"/>
        </w:rPr>
        <w:t>Additional file 3</w:t>
      </w:r>
    </w:p>
    <w:p w:rsidR="00795371" w:rsidRDefault="00136FFB" w:rsidP="00795371">
      <w:pPr>
        <w:widowControl/>
        <w:wordWrap/>
        <w:autoSpaceDE/>
        <w:autoSpaceDN/>
        <w:spacing w:before="100" w:beforeAutospacing="1" w:after="100" w:afterAutospacing="1" w:line="360" w:lineRule="auto"/>
        <w:rPr>
          <w:rFonts w:ascii="Times New Roman" w:eastAsia="Gulim" w:hAnsi="Times New Roman"/>
          <w:color w:val="000000" w:themeColor="text1"/>
          <w:kern w:val="0"/>
          <w:szCs w:val="20"/>
        </w:rPr>
      </w:pPr>
      <w:r w:rsidRPr="008302CD">
        <w:rPr>
          <w:rFonts w:ascii="Times New Roman" w:eastAsia="Gulim" w:hAnsi="Times New Roman"/>
          <w:b/>
          <w:bCs/>
          <w:iCs/>
          <w:color w:val="000000" w:themeColor="text1"/>
          <w:kern w:val="0"/>
          <w:szCs w:val="20"/>
        </w:rPr>
        <w:t xml:space="preserve">EAE induction and </w:t>
      </w:r>
      <w:r w:rsidRPr="008302CD">
        <w:rPr>
          <w:rFonts w:ascii="Times New Roman" w:hAnsi="Times New Roman"/>
          <w:b/>
          <w:bCs/>
          <w:color w:val="000000" w:themeColor="text1"/>
          <w:kern w:val="0"/>
          <w:szCs w:val="20"/>
        </w:rPr>
        <w:t>clinical evaluation</w:t>
      </w:r>
      <w:r w:rsidRPr="008302CD">
        <w:rPr>
          <w:rFonts w:ascii="Times New Roman" w:eastAsia="Gulim" w:hAnsi="Times New Roman"/>
          <w:color w:val="000000" w:themeColor="text1"/>
          <w:kern w:val="0"/>
          <w:szCs w:val="20"/>
        </w:rPr>
        <w:t xml:space="preserve"> </w:t>
      </w:r>
    </w:p>
    <w:p w:rsidR="00136FFB" w:rsidRPr="008302CD" w:rsidRDefault="00136FFB" w:rsidP="00795371">
      <w:pPr>
        <w:widowControl/>
        <w:wordWrap/>
        <w:autoSpaceDE/>
        <w:autoSpaceDN/>
        <w:spacing w:before="100" w:beforeAutospacing="1" w:after="100" w:afterAutospacing="1" w:line="360" w:lineRule="auto"/>
        <w:rPr>
          <w:rFonts w:ascii="Times New Roman" w:eastAsia="Gulim" w:hAnsi="Times New Roman"/>
          <w:color w:val="000000" w:themeColor="text1"/>
          <w:kern w:val="0"/>
          <w:szCs w:val="20"/>
        </w:rPr>
      </w:pPr>
      <w:r w:rsidRPr="008302CD">
        <w:rPr>
          <w:rStyle w:val="Emphasis"/>
          <w:rFonts w:ascii="Times New Roman" w:hAnsi="Times New Roman"/>
          <w:i w:val="0"/>
          <w:iCs/>
          <w:color w:val="000000" w:themeColor="text1"/>
          <w:szCs w:val="20"/>
        </w:rPr>
        <w:t xml:space="preserve">Adult female </w:t>
      </w:r>
      <w:r w:rsidRPr="008302CD">
        <w:rPr>
          <w:rStyle w:val="Emphasis"/>
          <w:rFonts w:ascii="Times New Roman" w:hAnsi="Times New Roman"/>
          <w:iCs/>
          <w:color w:val="000000" w:themeColor="text1"/>
          <w:szCs w:val="20"/>
        </w:rPr>
        <w:t>LysM-Cre/Ikkβ</w:t>
      </w:r>
      <w:r w:rsidRPr="008302CD">
        <w:rPr>
          <w:rStyle w:val="Emphasis"/>
          <w:rFonts w:ascii="Times New Roman" w:hAnsi="Times New Roman"/>
          <w:iCs/>
          <w:color w:val="000000" w:themeColor="text1"/>
          <w:szCs w:val="20"/>
          <w:vertAlign w:val="superscript"/>
        </w:rPr>
        <w:t>F/F</w:t>
      </w:r>
      <w:r w:rsidRPr="008302CD">
        <w:rPr>
          <w:rFonts w:ascii="Times New Roman" w:eastAsia="Gulim" w:hAnsi="Times New Roman"/>
          <w:color w:val="000000" w:themeColor="text1"/>
          <w:kern w:val="0"/>
          <w:szCs w:val="20"/>
        </w:rPr>
        <w:t xml:space="preserve"> and </w:t>
      </w:r>
      <w:r w:rsidRPr="008302CD">
        <w:rPr>
          <w:rFonts w:ascii="Times New Roman" w:hAnsi="Times New Roman"/>
          <w:color w:val="000000" w:themeColor="text1"/>
          <w:szCs w:val="20"/>
        </w:rPr>
        <w:t>WT mice</w:t>
      </w:r>
      <w:r w:rsidRPr="008302CD">
        <w:rPr>
          <w:rFonts w:ascii="Times New Roman" w:hAnsi="Times New Roman"/>
          <w:color w:val="000000" w:themeColor="text1"/>
          <w:kern w:val="0"/>
          <w:szCs w:val="20"/>
        </w:rPr>
        <w:t xml:space="preserve"> </w:t>
      </w:r>
      <w:r w:rsidRPr="008302CD">
        <w:rPr>
          <w:rFonts w:ascii="Times New Roman" w:eastAsia="Gulim" w:hAnsi="Times New Roman"/>
          <w:color w:val="000000" w:themeColor="text1"/>
          <w:kern w:val="0"/>
          <w:szCs w:val="20"/>
        </w:rPr>
        <w:t xml:space="preserve">were immunized subcutaneously with </w:t>
      </w:r>
      <w:r w:rsidRPr="008302CD">
        <w:rPr>
          <w:rFonts w:ascii="Times New Roman" w:hAnsi="Times New Roman"/>
          <w:color w:val="000000" w:themeColor="text1"/>
          <w:szCs w:val="20"/>
        </w:rPr>
        <w:t xml:space="preserve">an emulsion containing 200 µg </w:t>
      </w:r>
      <w:bookmarkStart w:id="0" w:name="OLE_LINK8"/>
      <w:bookmarkStart w:id="1" w:name="OLE_LINK9"/>
      <w:r w:rsidRPr="008302CD">
        <w:rPr>
          <w:rFonts w:ascii="Times New Roman" w:hAnsi="Times New Roman"/>
          <w:color w:val="000000" w:themeColor="text1"/>
          <w:szCs w:val="20"/>
        </w:rPr>
        <w:t>myelin oligodendrocyte glycoprotein (MOG)</w:t>
      </w:r>
      <w:r w:rsidRPr="008302CD">
        <w:rPr>
          <w:rFonts w:ascii="Times New Roman" w:hAnsi="Times New Roman"/>
          <w:color w:val="000000" w:themeColor="text1"/>
          <w:szCs w:val="20"/>
          <w:vertAlign w:val="subscript"/>
        </w:rPr>
        <w:t>35-55</w:t>
      </w:r>
      <w:r w:rsidRPr="008302CD">
        <w:rPr>
          <w:rFonts w:ascii="Times New Roman" w:hAnsi="Times New Roman"/>
          <w:color w:val="000000" w:themeColor="text1"/>
          <w:szCs w:val="20"/>
        </w:rPr>
        <w:t xml:space="preserve"> </w:t>
      </w:r>
      <w:bookmarkEnd w:id="0"/>
      <w:bookmarkEnd w:id="1"/>
      <w:r w:rsidRPr="008302CD">
        <w:rPr>
          <w:rFonts w:ascii="Times New Roman" w:hAnsi="Times New Roman"/>
          <w:color w:val="000000" w:themeColor="text1"/>
          <w:szCs w:val="20"/>
        </w:rPr>
        <w:t xml:space="preserve">peptide (Sigma-Aldrich, St. Louis, MO, USA) and 400 µg of </w:t>
      </w:r>
      <w:r w:rsidRPr="008302CD">
        <w:rPr>
          <w:rStyle w:val="Emphasis"/>
          <w:rFonts w:ascii="Times New Roman" w:hAnsi="Times New Roman"/>
          <w:iCs/>
          <w:color w:val="000000" w:themeColor="text1"/>
          <w:szCs w:val="20"/>
        </w:rPr>
        <w:t>mycobacterium tuberculosis</w:t>
      </w:r>
      <w:r w:rsidRPr="008302CD">
        <w:rPr>
          <w:rFonts w:ascii="Times New Roman" w:hAnsi="Times New Roman"/>
          <w:color w:val="000000" w:themeColor="text1"/>
          <w:szCs w:val="20"/>
        </w:rPr>
        <w:t xml:space="preserve"> (Difco, Detroit, MI, USA) per ml of Incomplete Freud's Adjuvant (IFA; Difco). Mice </w:t>
      </w:r>
      <w:r w:rsidRPr="008302CD">
        <w:rPr>
          <w:rFonts w:ascii="Times New Roman" w:hAnsi="Times New Roman"/>
          <w:color w:val="000000" w:themeColor="text1"/>
          <w:kern w:val="0"/>
          <w:szCs w:val="20"/>
        </w:rPr>
        <w:t xml:space="preserve">(n=3-7 per group) </w:t>
      </w:r>
      <w:r w:rsidRPr="008302CD">
        <w:rPr>
          <w:rFonts w:ascii="Times New Roman" w:hAnsi="Times New Roman"/>
          <w:color w:val="000000" w:themeColor="text1"/>
          <w:szCs w:val="20"/>
        </w:rPr>
        <w:t xml:space="preserve">received intraperitoneal injections of 200 ng pertussis toxin (PTX; List Biologic, Campbell, CA, USA) on day 0 of immunization and on day 2 after immunization. Mice in the normal </w:t>
      </w:r>
      <w:r w:rsidRPr="008302CD">
        <w:rPr>
          <w:rFonts w:ascii="Times New Roman" w:eastAsia="Arial Unicode MS" w:hAnsi="Times New Roman"/>
          <w:color w:val="000000" w:themeColor="text1"/>
          <w:kern w:val="0"/>
          <w:szCs w:val="20"/>
        </w:rPr>
        <w:t>control</w:t>
      </w:r>
      <w:r w:rsidRPr="008302CD">
        <w:rPr>
          <w:rFonts w:ascii="Times New Roman" w:hAnsi="Times New Roman"/>
          <w:color w:val="000000" w:themeColor="text1"/>
          <w:szCs w:val="20"/>
        </w:rPr>
        <w:t xml:space="preserve"> group were treated with saline alone instead of MOG</w:t>
      </w:r>
      <w:r w:rsidRPr="008302CD">
        <w:rPr>
          <w:rFonts w:ascii="Times New Roman" w:hAnsi="Times New Roman"/>
          <w:color w:val="000000" w:themeColor="text1"/>
          <w:szCs w:val="20"/>
          <w:vertAlign w:val="subscript"/>
        </w:rPr>
        <w:t>35-55</w:t>
      </w:r>
      <w:r w:rsidRPr="008302CD">
        <w:rPr>
          <w:rFonts w:ascii="Times New Roman" w:hAnsi="Times New Roman"/>
          <w:color w:val="000000" w:themeColor="text1"/>
          <w:szCs w:val="20"/>
        </w:rPr>
        <w:t xml:space="preserve"> peptide or PTX. </w:t>
      </w:r>
      <w:r w:rsidRPr="008302CD">
        <w:rPr>
          <w:rFonts w:ascii="Times New Roman" w:eastAsia="Gulim" w:hAnsi="Times New Roman"/>
          <w:color w:val="000000" w:themeColor="text1"/>
          <w:kern w:val="0"/>
          <w:szCs w:val="20"/>
        </w:rPr>
        <w:t xml:space="preserve">Clinical signs of EAE were evaluated daily and scored </w:t>
      </w:r>
      <w:r w:rsidRPr="008302CD">
        <w:rPr>
          <w:rFonts w:ascii="Times New Roman" w:hAnsi="Times New Roman"/>
          <w:color w:val="000000" w:themeColor="text1"/>
          <w:szCs w:val="20"/>
        </w:rPr>
        <w:t>using the clinical scoring scale (grade 0, absence of symptoms; grade 1,</w:t>
      </w:r>
      <w:r w:rsidRPr="008302CD">
        <w:rPr>
          <w:rFonts w:ascii="Times New Roman" w:eastAsia="Gulim" w:hAnsi="Times New Roman"/>
          <w:color w:val="000000" w:themeColor="text1"/>
          <w:kern w:val="24"/>
          <w:szCs w:val="20"/>
        </w:rPr>
        <w:t xml:space="preserve"> </w:t>
      </w:r>
      <w:r w:rsidRPr="008302CD">
        <w:rPr>
          <w:rFonts w:ascii="Times New Roman" w:hAnsi="Times New Roman"/>
          <w:color w:val="000000" w:themeColor="text1"/>
          <w:szCs w:val="20"/>
        </w:rPr>
        <w:t>partial loss of tail tonus; grade 2,</w:t>
      </w:r>
      <w:r w:rsidRPr="008302CD">
        <w:rPr>
          <w:rFonts w:ascii="Times New Roman" w:eastAsia="Gulim" w:hAnsi="Times New Roman"/>
          <w:color w:val="000000" w:themeColor="text1"/>
          <w:kern w:val="24"/>
          <w:szCs w:val="20"/>
        </w:rPr>
        <w:t xml:space="preserve"> </w:t>
      </w:r>
      <w:r w:rsidRPr="008302CD">
        <w:rPr>
          <w:rFonts w:ascii="Times New Roman" w:hAnsi="Times New Roman"/>
          <w:color w:val="000000" w:themeColor="text1"/>
          <w:szCs w:val="20"/>
        </w:rPr>
        <w:t>paralysis of tail; grade 3,</w:t>
      </w:r>
      <w:r w:rsidRPr="008302CD">
        <w:rPr>
          <w:rFonts w:ascii="Times New Roman" w:eastAsia="Gulim" w:hAnsi="Times New Roman"/>
          <w:color w:val="000000" w:themeColor="text1"/>
          <w:kern w:val="24"/>
          <w:szCs w:val="20"/>
        </w:rPr>
        <w:t xml:space="preserve"> </w:t>
      </w:r>
      <w:r w:rsidRPr="008302CD">
        <w:rPr>
          <w:rFonts w:ascii="Times New Roman" w:hAnsi="Times New Roman"/>
          <w:color w:val="000000" w:themeColor="text1"/>
          <w:szCs w:val="20"/>
        </w:rPr>
        <w:t>paraparesis; grade 4,</w:t>
      </w:r>
      <w:r w:rsidRPr="008302CD">
        <w:rPr>
          <w:rFonts w:ascii="Times New Roman" w:eastAsia="Gulim" w:hAnsi="Times New Roman"/>
          <w:color w:val="000000" w:themeColor="text1"/>
          <w:kern w:val="24"/>
          <w:szCs w:val="20"/>
        </w:rPr>
        <w:t xml:space="preserve"> </w:t>
      </w:r>
      <w:r w:rsidRPr="008302CD">
        <w:rPr>
          <w:rFonts w:ascii="Times New Roman" w:hAnsi="Times New Roman"/>
          <w:color w:val="000000" w:themeColor="text1"/>
          <w:szCs w:val="20"/>
        </w:rPr>
        <w:t>paraplegia; grade 5,</w:t>
      </w:r>
      <w:r w:rsidRPr="008302CD">
        <w:rPr>
          <w:rFonts w:ascii="Times New Roman" w:eastAsia="Gulim" w:hAnsi="Times New Roman"/>
          <w:color w:val="000000" w:themeColor="text1"/>
          <w:kern w:val="24"/>
          <w:szCs w:val="20"/>
        </w:rPr>
        <w:t xml:space="preserve"> </w:t>
      </w:r>
      <w:r w:rsidRPr="008302CD">
        <w:rPr>
          <w:rFonts w:ascii="Times New Roman" w:hAnsi="Times New Roman"/>
          <w:color w:val="000000" w:themeColor="text1"/>
          <w:szCs w:val="20"/>
        </w:rPr>
        <w:t>tetraparesis; grade 6,</w:t>
      </w:r>
      <w:r w:rsidRPr="008302CD">
        <w:rPr>
          <w:rFonts w:ascii="Times New Roman" w:eastAsia="Gulim" w:hAnsi="Times New Roman"/>
          <w:color w:val="000000" w:themeColor="text1"/>
          <w:kern w:val="24"/>
          <w:szCs w:val="20"/>
        </w:rPr>
        <w:t xml:space="preserve"> </w:t>
      </w:r>
      <w:r w:rsidRPr="008302CD">
        <w:rPr>
          <w:rFonts w:ascii="Times New Roman" w:hAnsi="Times New Roman"/>
          <w:color w:val="000000" w:themeColor="text1"/>
          <w:szCs w:val="20"/>
        </w:rPr>
        <w:t xml:space="preserve">tetraplegia; grade 7, death). </w:t>
      </w:r>
      <w:r w:rsidRPr="008302CD">
        <w:rPr>
          <w:rFonts w:ascii="Times New Roman" w:hAnsi="Times New Roman"/>
          <w:color w:val="000000" w:themeColor="text1"/>
          <w:kern w:val="0"/>
          <w:szCs w:val="20"/>
        </w:rPr>
        <w:t xml:space="preserve">Mice were scored according to their clinical severity with 0.5 points for intermediate clinical findings. </w:t>
      </w:r>
      <w:r w:rsidRPr="008302CD">
        <w:rPr>
          <w:rFonts w:ascii="Times New Roman" w:hAnsi="Times New Roman"/>
          <w:color w:val="000000" w:themeColor="text1"/>
          <w:szCs w:val="20"/>
        </w:rPr>
        <w:t xml:space="preserve">Paralyzed mice were assisted with easier access to food and water. </w:t>
      </w:r>
      <w:r w:rsidRPr="008302CD">
        <w:rPr>
          <w:rFonts w:ascii="Times New Roman" w:hAnsi="Times New Roman"/>
          <w:color w:val="000000" w:themeColor="text1"/>
          <w:kern w:val="0"/>
          <w:szCs w:val="20"/>
        </w:rPr>
        <w:t>Several parameters for EAE were examined to evaluate the severity of EAE including mean clinical score, body weight, incidence, mean day of onset, mean maximal clinical score, sum of clinical score, and mortality (Table 3)</w:t>
      </w:r>
      <w:r w:rsidRPr="008302CD">
        <w:rPr>
          <w:rFonts w:ascii="Times New Roman" w:hAnsi="Times New Roman"/>
          <w:color w:val="000000" w:themeColor="text1"/>
          <w:szCs w:val="20"/>
        </w:rPr>
        <w:t>.</w:t>
      </w:r>
    </w:p>
    <w:p w:rsidR="00136FFB" w:rsidRPr="008302CD" w:rsidRDefault="00136FFB" w:rsidP="008302CD">
      <w:pPr>
        <w:spacing w:line="360" w:lineRule="auto"/>
        <w:rPr>
          <w:rFonts w:ascii="Times New Roman" w:hAnsi="Times New Roman"/>
          <w:b/>
          <w:color w:val="000000" w:themeColor="text1"/>
          <w:szCs w:val="20"/>
        </w:rPr>
      </w:pPr>
    </w:p>
    <w:p w:rsidR="00136FFB" w:rsidRPr="008302CD" w:rsidRDefault="00136FFB" w:rsidP="008302CD">
      <w:pPr>
        <w:spacing w:line="360" w:lineRule="auto"/>
        <w:rPr>
          <w:rFonts w:ascii="Times New Roman" w:eastAsia="WarnockPro-Regular" w:hAnsi="Times New Roman"/>
          <w:b/>
          <w:color w:val="000000" w:themeColor="text1"/>
          <w:szCs w:val="20"/>
        </w:rPr>
      </w:pPr>
      <w:r w:rsidRPr="008302CD">
        <w:rPr>
          <w:rFonts w:ascii="Times New Roman" w:hAnsi="Times New Roman"/>
          <w:b/>
          <w:color w:val="000000" w:themeColor="text1"/>
          <w:szCs w:val="20"/>
        </w:rPr>
        <w:t xml:space="preserve">Quantification of demyelination and cell </w:t>
      </w:r>
      <w:r w:rsidRPr="008302CD">
        <w:rPr>
          <w:rFonts w:ascii="Times New Roman" w:eastAsia="WarnockPro-Regular" w:hAnsi="Times New Roman"/>
          <w:b/>
          <w:color w:val="000000" w:themeColor="text1"/>
          <w:szCs w:val="20"/>
        </w:rPr>
        <w:t>recruitment/infiltration</w:t>
      </w:r>
    </w:p>
    <w:p w:rsidR="00136FFB" w:rsidRDefault="00136FFB" w:rsidP="00795371">
      <w:pPr>
        <w:pStyle w:val="NormalWeb"/>
        <w:spacing w:line="360" w:lineRule="auto"/>
        <w:jc w:val="both"/>
        <w:rPr>
          <w:rFonts w:ascii="Times New Roman" w:hAnsi="Times New Roman" w:cs="Times New Roman"/>
          <w:color w:val="000000" w:themeColor="text1"/>
          <w:sz w:val="20"/>
          <w:szCs w:val="20"/>
        </w:rPr>
      </w:pPr>
      <w:r w:rsidRPr="008302CD">
        <w:rPr>
          <w:rFonts w:ascii="Times New Roman" w:hAnsi="Times New Roman" w:cs="Times New Roman"/>
          <w:color w:val="000000" w:themeColor="text1"/>
          <w:sz w:val="20"/>
          <w:szCs w:val="20"/>
        </w:rPr>
        <w:t xml:space="preserve">The level of demyelination (by LFB staining) was scored as previously described </w:t>
      </w:r>
      <w:r w:rsidR="003B711E" w:rsidRPr="008302CD">
        <w:rPr>
          <w:rFonts w:ascii="Times New Roman" w:hAnsi="Times New Roman" w:cs="Times New Roman"/>
          <w:color w:val="000000" w:themeColor="text1"/>
          <w:sz w:val="20"/>
          <w:szCs w:val="20"/>
        </w:rPr>
        <w:t>[1]</w:t>
      </w:r>
      <w:r w:rsidRPr="008302CD">
        <w:rPr>
          <w:rFonts w:ascii="Times New Roman" w:hAnsi="Times New Roman" w:cs="Times New Roman"/>
          <w:color w:val="000000" w:themeColor="text1"/>
          <w:sz w:val="20"/>
          <w:szCs w:val="20"/>
        </w:rPr>
        <w:t xml:space="preserve">: 0, no demyelination; 1, little demyelination, only around infiltrates and involving ≤ 25% of the white matter; 2, demyelination involving ≤ 50% of the white matter; and 3, diffuse and widespread demyelination involving ≤ 50% of the white matter. Cell </w:t>
      </w:r>
      <w:r w:rsidRPr="008302CD">
        <w:rPr>
          <w:rFonts w:ascii="Times New Roman" w:eastAsia="WarnockPro-Regular" w:hAnsi="Times New Roman" w:cs="Times New Roman"/>
          <w:color w:val="000000" w:themeColor="text1"/>
          <w:sz w:val="20"/>
          <w:szCs w:val="20"/>
        </w:rPr>
        <w:t>recruitment/infiltration</w:t>
      </w:r>
      <w:r w:rsidRPr="008302CD">
        <w:rPr>
          <w:rFonts w:ascii="Times New Roman" w:hAnsi="Times New Roman" w:cs="Times New Roman"/>
          <w:color w:val="000000" w:themeColor="text1"/>
          <w:sz w:val="20"/>
          <w:szCs w:val="20"/>
        </w:rPr>
        <w:t xml:space="preserve"> (H&amp;E staining) was evaluated according to the following criteria (Fissolo et al., 2012): 0, no lesion; 1, cellular </w:t>
      </w:r>
      <w:r w:rsidRPr="008302CD">
        <w:rPr>
          <w:rFonts w:ascii="Times New Roman" w:eastAsia="WarnockPro-Regular" w:hAnsi="Times New Roman" w:cs="Times New Roman"/>
          <w:color w:val="000000" w:themeColor="text1"/>
          <w:sz w:val="20"/>
          <w:szCs w:val="20"/>
        </w:rPr>
        <w:t>recruitment/infiltration</w:t>
      </w:r>
      <w:r w:rsidRPr="008302CD">
        <w:rPr>
          <w:rFonts w:ascii="Times New Roman" w:hAnsi="Times New Roman" w:cs="Times New Roman"/>
          <w:color w:val="000000" w:themeColor="text1"/>
          <w:sz w:val="20"/>
          <w:szCs w:val="20"/>
        </w:rPr>
        <w:t xml:space="preserve"> only in the meninges; 2, very discrete and superficial infiltrates in parenchyma; 3, moderate infiltrate (≤ 25%) in the white matter; 4, severe infiltrates (≤ 50%) in the white matter; 5, more severe infiltrates (≤ 50%) in the white matter. </w:t>
      </w:r>
    </w:p>
    <w:p w:rsidR="00795371" w:rsidRPr="008302CD" w:rsidRDefault="00795371" w:rsidP="00795371">
      <w:pPr>
        <w:pStyle w:val="NormalWeb"/>
        <w:spacing w:line="360" w:lineRule="auto"/>
        <w:jc w:val="both"/>
        <w:rPr>
          <w:rFonts w:ascii="Times New Roman" w:hAnsi="Times New Roman" w:cs="Times New Roman"/>
          <w:color w:val="000000" w:themeColor="text1"/>
          <w:sz w:val="20"/>
          <w:szCs w:val="20"/>
        </w:rPr>
      </w:pPr>
    </w:p>
    <w:p w:rsidR="00136FFB" w:rsidRPr="008302CD" w:rsidRDefault="00136FFB" w:rsidP="008302CD">
      <w:pPr>
        <w:wordWrap/>
        <w:adjustRightInd w:val="0"/>
        <w:spacing w:line="360" w:lineRule="auto"/>
        <w:rPr>
          <w:rFonts w:ascii="Times New Roman" w:hAnsi="Times New Roman"/>
          <w:b/>
          <w:bCs/>
          <w:color w:val="000000" w:themeColor="text1"/>
          <w:kern w:val="0"/>
          <w:szCs w:val="20"/>
        </w:rPr>
      </w:pPr>
      <w:r w:rsidRPr="008302CD">
        <w:rPr>
          <w:rFonts w:ascii="Times New Roman" w:hAnsi="Times New Roman"/>
          <w:b/>
          <w:bCs/>
          <w:color w:val="000000" w:themeColor="text1"/>
          <w:kern w:val="0"/>
          <w:szCs w:val="20"/>
        </w:rPr>
        <w:t>Histopathological analysis of spinal cord</w:t>
      </w:r>
    </w:p>
    <w:p w:rsidR="00136FFB" w:rsidRPr="008302CD" w:rsidRDefault="00136FFB" w:rsidP="00795371">
      <w:pPr>
        <w:widowControl/>
        <w:wordWrap/>
        <w:autoSpaceDE/>
        <w:autoSpaceDN/>
        <w:spacing w:before="100" w:beforeAutospacing="1" w:after="100" w:afterAutospacing="1" w:line="360" w:lineRule="auto"/>
        <w:rPr>
          <w:rFonts w:ascii="Times New Roman" w:hAnsi="Times New Roman"/>
          <w:bCs/>
          <w:color w:val="000000" w:themeColor="text1"/>
          <w:kern w:val="0"/>
          <w:szCs w:val="20"/>
        </w:rPr>
      </w:pPr>
      <w:r w:rsidRPr="008302CD">
        <w:rPr>
          <w:rFonts w:ascii="Times New Roman" w:hAnsi="Times New Roman"/>
          <w:color w:val="000000" w:themeColor="text1"/>
          <w:szCs w:val="20"/>
        </w:rPr>
        <w:t xml:space="preserve">To investigate the effect of </w:t>
      </w:r>
      <w:r w:rsidRPr="008302CD">
        <w:rPr>
          <w:rFonts w:ascii="Times New Roman" w:eastAsia="Gulim" w:hAnsi="Times New Roman"/>
          <w:color w:val="000000" w:themeColor="text1"/>
          <w:kern w:val="0"/>
          <w:szCs w:val="20"/>
        </w:rPr>
        <w:t xml:space="preserve">myeloid cell type-specific IKK-β-deficiency in normal myelination, </w:t>
      </w:r>
      <w:r w:rsidRPr="008302CD">
        <w:rPr>
          <w:rFonts w:ascii="Times New Roman" w:hAnsi="Times New Roman"/>
          <w:color w:val="000000" w:themeColor="text1"/>
          <w:kern w:val="0"/>
          <w:szCs w:val="20"/>
        </w:rPr>
        <w:t>adult male mice (10-11 weeks after birth; n=5 per group) were deeply anesthetized with an intraperitoneal overdose of sodium pentobarbital</w:t>
      </w:r>
      <w:r w:rsidRPr="008302CD">
        <w:rPr>
          <w:rFonts w:ascii="Times New Roman" w:hAnsi="Times New Roman"/>
          <w:color w:val="000000" w:themeColor="text1"/>
          <w:szCs w:val="20"/>
        </w:rPr>
        <w:t xml:space="preserve"> (50 mg/kg, body weight),</w:t>
      </w:r>
      <w:r w:rsidRPr="008302CD">
        <w:rPr>
          <w:rFonts w:ascii="Times New Roman" w:eastAsia="Gulim" w:hAnsi="Times New Roman"/>
          <w:color w:val="000000" w:themeColor="text1"/>
          <w:szCs w:val="20"/>
          <w:lang w:bidi="th-TH"/>
        </w:rPr>
        <w:t xml:space="preserve"> perfused intracardially with saline, and perfused with a </w:t>
      </w:r>
      <w:r w:rsidRPr="008302CD">
        <w:rPr>
          <w:rFonts w:ascii="Times New Roman" w:eastAsia="Gulim" w:hAnsi="Times New Roman"/>
          <w:color w:val="000000" w:themeColor="text1"/>
          <w:kern w:val="0"/>
          <w:szCs w:val="20"/>
        </w:rPr>
        <w:t xml:space="preserve">fixative containing 2% paraformaldehyde and 2.5% glutaraldehyde in 0.1 M </w:t>
      </w:r>
      <w:r w:rsidRPr="008302CD">
        <w:rPr>
          <w:rFonts w:ascii="Times New Roman" w:eastAsia="Gulim" w:hAnsi="Times New Roman"/>
          <w:color w:val="000000" w:themeColor="text1"/>
          <w:szCs w:val="20"/>
          <w:lang w:bidi="th-TH"/>
        </w:rPr>
        <w:t>phosphate buffer (PB, pH 7.4)</w:t>
      </w:r>
      <w:r w:rsidRPr="008302CD">
        <w:rPr>
          <w:rFonts w:ascii="Times New Roman" w:eastAsia="Gulim" w:hAnsi="Times New Roman"/>
          <w:color w:val="000000" w:themeColor="text1"/>
          <w:kern w:val="0"/>
          <w:szCs w:val="20"/>
        </w:rPr>
        <w:t xml:space="preserve">. </w:t>
      </w:r>
      <w:r w:rsidRPr="008302CD">
        <w:rPr>
          <w:rFonts w:ascii="Times New Roman" w:hAnsi="Times New Roman"/>
          <w:color w:val="000000" w:themeColor="text1"/>
          <w:kern w:val="0"/>
          <w:szCs w:val="20"/>
        </w:rPr>
        <w:t xml:space="preserve">The lumbar parts of the spinal cords were </w:t>
      </w:r>
      <w:r w:rsidRPr="008302CD">
        <w:rPr>
          <w:rFonts w:ascii="Times New Roman" w:eastAsia="Gulim" w:hAnsi="Times New Roman"/>
          <w:color w:val="000000" w:themeColor="text1"/>
          <w:szCs w:val="20"/>
          <w:lang w:bidi="th-TH"/>
        </w:rPr>
        <w:t xml:space="preserve">immediately removed and post-fixed overnight in the same </w:t>
      </w:r>
      <w:r w:rsidRPr="008302CD">
        <w:rPr>
          <w:rFonts w:ascii="Times New Roman" w:eastAsia="Gulim" w:hAnsi="Times New Roman"/>
          <w:color w:val="000000" w:themeColor="text1"/>
          <w:kern w:val="0"/>
          <w:szCs w:val="20"/>
        </w:rPr>
        <w:t xml:space="preserve">fixative </w:t>
      </w:r>
      <w:r w:rsidRPr="008302CD">
        <w:rPr>
          <w:rFonts w:ascii="Times New Roman" w:eastAsia="Gulim" w:hAnsi="Times New Roman"/>
          <w:color w:val="000000" w:themeColor="text1"/>
          <w:szCs w:val="20"/>
          <w:lang w:bidi="th-TH"/>
        </w:rPr>
        <w:t>at 4°C</w:t>
      </w:r>
      <w:r w:rsidRPr="008302CD">
        <w:rPr>
          <w:rFonts w:ascii="Times New Roman" w:hAnsi="Times New Roman"/>
          <w:color w:val="000000" w:themeColor="text1"/>
          <w:szCs w:val="20"/>
        </w:rPr>
        <w:t>.</w:t>
      </w:r>
      <w:r w:rsidRPr="008302CD">
        <w:rPr>
          <w:rFonts w:ascii="Times New Roman" w:eastAsia="Gulim" w:hAnsi="Times New Roman"/>
          <w:color w:val="000000" w:themeColor="text1"/>
          <w:kern w:val="0"/>
          <w:szCs w:val="20"/>
        </w:rPr>
        <w:t xml:space="preserve"> The fixed lumbar segments were rinsed and cut coronally at 2 mm-thickness. The segments were post-fixed in 2% phosphate-buffered osmium tetroxide solution for 2 hours, dehydrated in an ethanol series, passed through propylene oxide, and embedded in epoxy resin. Coronal semithin sections (1.0 μm thick) were placed onto glass </w:t>
      </w:r>
      <w:r w:rsidRPr="008302CD">
        <w:rPr>
          <w:rFonts w:ascii="Times New Roman" w:eastAsia="Gulim" w:hAnsi="Times New Roman"/>
          <w:color w:val="000000" w:themeColor="text1"/>
          <w:kern w:val="0"/>
          <w:szCs w:val="20"/>
        </w:rPr>
        <w:lastRenderedPageBreak/>
        <w:t xml:space="preserve">slides, dried on a hot plate, and stained with 1% toluidine blue. </w:t>
      </w:r>
      <w:r w:rsidRPr="008302CD">
        <w:rPr>
          <w:rFonts w:ascii="Times New Roman" w:hAnsi="Times New Roman"/>
          <w:color w:val="000000" w:themeColor="text1"/>
          <w:szCs w:val="20"/>
        </w:rPr>
        <w:t>All sections were captured using a DP70 image analysis system (Olympus, Tokyo, Japan).</w:t>
      </w:r>
    </w:p>
    <w:p w:rsidR="00136FFB" w:rsidRPr="008302CD" w:rsidRDefault="00136FFB" w:rsidP="00795371">
      <w:pPr>
        <w:widowControl/>
        <w:wordWrap/>
        <w:autoSpaceDE/>
        <w:autoSpaceDN/>
        <w:spacing w:before="100" w:beforeAutospacing="1" w:after="100" w:afterAutospacing="1" w:line="360" w:lineRule="auto"/>
        <w:rPr>
          <w:rFonts w:ascii="Times New Roman" w:hAnsi="Times New Roman"/>
          <w:color w:val="000000" w:themeColor="text1"/>
          <w:kern w:val="0"/>
          <w:szCs w:val="20"/>
        </w:rPr>
      </w:pPr>
      <w:r w:rsidRPr="008302CD">
        <w:rPr>
          <w:rFonts w:ascii="Times New Roman" w:hAnsi="Times New Roman"/>
          <w:color w:val="000000" w:themeColor="text1"/>
          <w:kern w:val="0"/>
          <w:szCs w:val="20"/>
        </w:rPr>
        <w:t xml:space="preserve">For histopathological evidence of EAE, mice (n=8 per group) were anesthetized </w:t>
      </w:r>
      <w:r w:rsidRPr="008302CD">
        <w:rPr>
          <w:rFonts w:ascii="Times New Roman" w:hAnsi="Times New Roman"/>
          <w:color w:val="000000" w:themeColor="text1"/>
          <w:szCs w:val="20"/>
        </w:rPr>
        <w:t>and then</w:t>
      </w:r>
      <w:r w:rsidRPr="008302CD">
        <w:rPr>
          <w:rFonts w:ascii="Times New Roman" w:eastAsia="Gulim" w:hAnsi="Times New Roman"/>
          <w:color w:val="000000" w:themeColor="text1"/>
          <w:szCs w:val="20"/>
          <w:lang w:bidi="th-TH"/>
        </w:rPr>
        <w:t xml:space="preserve"> perfused with cold 4% paraformaldehyde in 0.1 </w:t>
      </w:r>
      <w:r w:rsidRPr="008302CD">
        <w:rPr>
          <w:rFonts w:ascii="Times New Roman" w:eastAsia="Gulim" w:hAnsi="Times New Roman"/>
          <w:caps/>
          <w:color w:val="000000" w:themeColor="text1"/>
          <w:szCs w:val="20"/>
          <w:lang w:bidi="th-TH"/>
        </w:rPr>
        <w:t>m</w:t>
      </w:r>
      <w:r w:rsidRPr="008302CD">
        <w:rPr>
          <w:rFonts w:ascii="Times New Roman" w:eastAsia="Gulim" w:hAnsi="Times New Roman"/>
          <w:color w:val="000000" w:themeColor="text1"/>
          <w:szCs w:val="20"/>
          <w:lang w:bidi="th-TH"/>
        </w:rPr>
        <w:t xml:space="preserve"> PB </w:t>
      </w:r>
      <w:r w:rsidRPr="008302CD">
        <w:rPr>
          <w:rFonts w:ascii="Times New Roman" w:hAnsi="Times New Roman"/>
          <w:color w:val="000000" w:themeColor="text1"/>
          <w:kern w:val="0"/>
          <w:szCs w:val="20"/>
        </w:rPr>
        <w:t>on the onset day (7-8 days post-immunization) or after the peak day of neurological impairment (15-18 days post-immunization)</w:t>
      </w:r>
      <w:r w:rsidRPr="008302CD">
        <w:rPr>
          <w:rFonts w:ascii="Times New Roman" w:eastAsia="Gulim" w:hAnsi="Times New Roman"/>
          <w:color w:val="000000" w:themeColor="text1"/>
          <w:szCs w:val="20"/>
          <w:lang w:bidi="th-TH"/>
        </w:rPr>
        <w:t xml:space="preserve">. </w:t>
      </w:r>
      <w:r w:rsidRPr="008302CD">
        <w:rPr>
          <w:rFonts w:ascii="Times New Roman" w:hAnsi="Times New Roman"/>
          <w:color w:val="000000" w:themeColor="text1"/>
          <w:kern w:val="0"/>
          <w:szCs w:val="20"/>
        </w:rPr>
        <w:t xml:space="preserve">The lumbar spinal cords </w:t>
      </w:r>
      <w:r w:rsidRPr="008302CD">
        <w:rPr>
          <w:rFonts w:ascii="Times New Roman" w:eastAsia="Gulim" w:hAnsi="Times New Roman"/>
          <w:color w:val="000000" w:themeColor="text1"/>
          <w:szCs w:val="20"/>
          <w:lang w:bidi="th-TH"/>
        </w:rPr>
        <w:t>were immediately removed, post-fixed overnight in the same fixative at 4°C, rinsed with PBS, and cryoprotected in 10, 20, and 30% sucrose in PBS serially for 48 hours at 4°C. C</w:t>
      </w:r>
      <w:r w:rsidRPr="008302CD">
        <w:rPr>
          <w:rFonts w:ascii="Times New Roman" w:hAnsi="Times New Roman"/>
          <w:color w:val="000000" w:themeColor="text1"/>
          <w:szCs w:val="20"/>
        </w:rPr>
        <w:t>oronal sections of 10 μm thickness were prepared on a model CM3050S freezing microtome (Leica,</w:t>
      </w:r>
      <w:r w:rsidRPr="008302CD">
        <w:rPr>
          <w:rFonts w:ascii="Times New Roman" w:hAnsi="Times New Roman"/>
          <w:color w:val="000000" w:themeColor="text1"/>
          <w:kern w:val="0"/>
          <w:szCs w:val="20"/>
        </w:rPr>
        <w:t xml:space="preserve"> Heidelberger, Nussloch,</w:t>
      </w:r>
      <w:r w:rsidRPr="008302CD">
        <w:rPr>
          <w:rFonts w:ascii="Times New Roman" w:hAnsi="Times New Roman"/>
          <w:color w:val="000000" w:themeColor="text1"/>
          <w:szCs w:val="20"/>
        </w:rPr>
        <w:t xml:space="preserve"> Germany) and the sections were attached to gelatine-coated slides then stored at </w:t>
      </w:r>
      <w:r w:rsidRPr="008302CD">
        <w:rPr>
          <w:rFonts w:ascii="Times New Roman" w:eastAsia="Batang" w:hAnsi="Times New Roman"/>
          <w:color w:val="000000" w:themeColor="text1"/>
          <w:szCs w:val="20"/>
        </w:rPr>
        <w:t>−</w:t>
      </w:r>
      <w:r w:rsidRPr="008302CD">
        <w:rPr>
          <w:rFonts w:ascii="Times New Roman" w:hAnsi="Times New Roman"/>
          <w:color w:val="000000" w:themeColor="text1"/>
          <w:szCs w:val="20"/>
        </w:rPr>
        <w:t xml:space="preserve">20°C. </w:t>
      </w:r>
      <w:r w:rsidRPr="008302CD">
        <w:rPr>
          <w:rFonts w:ascii="Times New Roman" w:hAnsi="Times New Roman"/>
          <w:bCs/>
          <w:color w:val="000000" w:themeColor="text1"/>
          <w:kern w:val="0"/>
          <w:szCs w:val="20"/>
        </w:rPr>
        <w:t xml:space="preserve">Histopathological evaluation was performed as described in a recent report </w:t>
      </w:r>
      <w:r w:rsidR="003B711E" w:rsidRPr="008302CD">
        <w:rPr>
          <w:rFonts w:ascii="Times New Roman" w:hAnsi="Times New Roman"/>
          <w:bCs/>
          <w:color w:val="000000" w:themeColor="text1"/>
          <w:kern w:val="0"/>
          <w:szCs w:val="20"/>
        </w:rPr>
        <w:t>[2-4]</w:t>
      </w:r>
      <w:r w:rsidRPr="008302CD">
        <w:rPr>
          <w:rFonts w:ascii="Times New Roman" w:hAnsi="Times New Roman"/>
          <w:bCs/>
          <w:color w:val="000000" w:themeColor="text1"/>
          <w:kern w:val="0"/>
          <w:szCs w:val="20"/>
        </w:rPr>
        <w:t xml:space="preserve">. </w:t>
      </w:r>
      <w:r w:rsidRPr="008302CD">
        <w:rPr>
          <w:rFonts w:ascii="Times New Roman" w:hAnsi="Times New Roman"/>
          <w:color w:val="000000" w:themeColor="text1"/>
          <w:kern w:val="0"/>
          <w:szCs w:val="20"/>
        </w:rPr>
        <w:t xml:space="preserve">Two series of </w:t>
      </w:r>
      <w:r w:rsidRPr="008302CD">
        <w:rPr>
          <w:rFonts w:ascii="Times New Roman" w:hAnsi="Times New Roman"/>
          <w:color w:val="000000" w:themeColor="text1"/>
          <w:szCs w:val="20"/>
        </w:rPr>
        <w:t xml:space="preserve">5 randomly selected </w:t>
      </w:r>
      <w:r w:rsidRPr="008302CD">
        <w:rPr>
          <w:rFonts w:ascii="Times New Roman" w:hAnsi="Times New Roman"/>
          <w:color w:val="000000" w:themeColor="text1"/>
          <w:kern w:val="0"/>
          <w:szCs w:val="20"/>
        </w:rPr>
        <w:t xml:space="preserve">sections per spinal cord were processed for evaluation of spinal demyelinatiom using </w:t>
      </w:r>
      <w:r w:rsidRPr="008302CD">
        <w:rPr>
          <w:rFonts w:ascii="Times New Roman" w:hAnsi="Times New Roman"/>
          <w:color w:val="000000" w:themeColor="text1"/>
          <w:szCs w:val="20"/>
        </w:rPr>
        <w:t xml:space="preserve">luxol fast blue (LFB) stain </w:t>
      </w:r>
      <w:r w:rsidRPr="008302CD">
        <w:rPr>
          <w:rFonts w:ascii="Times New Roman" w:hAnsi="Times New Roman"/>
          <w:color w:val="000000" w:themeColor="text1"/>
          <w:kern w:val="0"/>
          <w:szCs w:val="20"/>
        </w:rPr>
        <w:t>and for evaluation of lymphocyte infiltration using hematoxylin and eosin (H&amp;E) stain. S</w:t>
      </w:r>
      <w:r w:rsidRPr="008302CD">
        <w:rPr>
          <w:rFonts w:ascii="Times New Roman" w:hAnsi="Times New Roman"/>
          <w:color w:val="000000" w:themeColor="text1"/>
          <w:szCs w:val="20"/>
        </w:rPr>
        <w:t xml:space="preserve">ections were captured using a DP70 image analysis system (Olympus) and </w:t>
      </w:r>
      <w:r w:rsidRPr="008302CD">
        <w:rPr>
          <w:rFonts w:ascii="Times New Roman" w:eastAsia="AdvTT5843c571" w:hAnsi="Times New Roman"/>
          <w:color w:val="000000" w:themeColor="text1"/>
          <w:szCs w:val="20"/>
          <w:lang w:bidi="th-TH"/>
        </w:rPr>
        <w:t xml:space="preserve">analyzed using the NIH </w:t>
      </w:r>
      <w:r w:rsidRPr="008302CD">
        <w:rPr>
          <w:rFonts w:ascii="Times New Roman" w:hAnsi="Times New Roman"/>
          <w:color w:val="000000" w:themeColor="text1"/>
          <w:szCs w:val="20"/>
        </w:rPr>
        <w:t>Image J program (</w:t>
      </w:r>
      <w:hyperlink r:id="rId7" w:history="1">
        <w:r w:rsidRPr="008302CD">
          <w:rPr>
            <w:rStyle w:val="Hyperlink"/>
            <w:rFonts w:ascii="Times New Roman" w:hAnsi="Times New Roman"/>
            <w:color w:val="000000" w:themeColor="text1"/>
            <w:szCs w:val="20"/>
          </w:rPr>
          <w:t>http://rsbweb.nih.gov/ij/</w:t>
        </w:r>
      </w:hyperlink>
      <w:r w:rsidRPr="008302CD">
        <w:rPr>
          <w:rFonts w:ascii="Times New Roman" w:hAnsi="Times New Roman"/>
          <w:color w:val="000000" w:themeColor="text1"/>
          <w:szCs w:val="20"/>
        </w:rPr>
        <w:t>).</w:t>
      </w:r>
    </w:p>
    <w:p w:rsidR="00136FFB" w:rsidRPr="008302CD" w:rsidRDefault="00136FFB" w:rsidP="008302CD">
      <w:pPr>
        <w:widowControl/>
        <w:wordWrap/>
        <w:autoSpaceDE/>
        <w:autoSpaceDN/>
        <w:spacing w:before="100" w:beforeAutospacing="1" w:after="100" w:afterAutospacing="1" w:line="360" w:lineRule="auto"/>
        <w:rPr>
          <w:rFonts w:ascii="Times New Roman" w:hAnsi="Times New Roman"/>
          <w:color w:val="000000" w:themeColor="text1"/>
          <w:kern w:val="0"/>
          <w:szCs w:val="20"/>
        </w:rPr>
      </w:pPr>
    </w:p>
    <w:p w:rsidR="00136FFB" w:rsidRPr="008302CD" w:rsidRDefault="00136FFB" w:rsidP="008302CD">
      <w:pPr>
        <w:widowControl/>
        <w:wordWrap/>
        <w:autoSpaceDE/>
        <w:autoSpaceDN/>
        <w:spacing w:before="100" w:beforeAutospacing="1" w:after="100" w:afterAutospacing="1" w:line="360" w:lineRule="auto"/>
        <w:rPr>
          <w:rFonts w:ascii="Times New Roman" w:hAnsi="Times New Roman"/>
          <w:color w:val="000000" w:themeColor="text1"/>
          <w:kern w:val="0"/>
          <w:szCs w:val="20"/>
        </w:rPr>
      </w:pPr>
      <w:r w:rsidRPr="008302CD">
        <w:rPr>
          <w:rFonts w:ascii="Times New Roman" w:hAnsi="Times New Roman"/>
          <w:b/>
          <w:color w:val="000000" w:themeColor="text1"/>
          <w:szCs w:val="20"/>
        </w:rPr>
        <w:t>Immunohistochemical analysis</w:t>
      </w:r>
    </w:p>
    <w:p w:rsidR="00136FFB" w:rsidRPr="008302CD" w:rsidRDefault="00136FFB" w:rsidP="00795371">
      <w:pPr>
        <w:pStyle w:val="norm13"/>
        <w:shd w:val="clear" w:color="auto" w:fill="FFFFFF"/>
        <w:spacing w:line="360" w:lineRule="auto"/>
        <w:jc w:val="both"/>
        <w:rPr>
          <w:rFonts w:ascii="Times New Roman" w:hAnsi="Times New Roman" w:cs="Times New Roman"/>
          <w:color w:val="000000" w:themeColor="text1"/>
          <w:sz w:val="20"/>
          <w:szCs w:val="20"/>
        </w:rPr>
      </w:pPr>
      <w:r w:rsidRPr="008302CD">
        <w:rPr>
          <w:rFonts w:ascii="Times New Roman" w:hAnsi="Times New Roman" w:cs="Times New Roman"/>
          <w:color w:val="000000" w:themeColor="text1"/>
          <w:sz w:val="20"/>
          <w:szCs w:val="20"/>
        </w:rPr>
        <w:t xml:space="preserve">Immunohistochemical analysis was performed as previously described </w:t>
      </w:r>
      <w:r w:rsidR="003B711E" w:rsidRPr="008302CD">
        <w:rPr>
          <w:rFonts w:ascii="Times New Roman" w:hAnsi="Times New Roman" w:cs="Times New Roman"/>
          <w:color w:val="000000" w:themeColor="text1"/>
          <w:sz w:val="20"/>
          <w:szCs w:val="20"/>
        </w:rPr>
        <w:t>[5]</w:t>
      </w:r>
      <w:r w:rsidRPr="008302CD">
        <w:rPr>
          <w:rFonts w:ascii="Times New Roman" w:hAnsi="Times New Roman" w:cs="Times New Roman"/>
          <w:color w:val="000000" w:themeColor="text1"/>
          <w:sz w:val="20"/>
          <w:szCs w:val="20"/>
        </w:rPr>
        <w:t>. Briefly, spinal cord sections (10 μm thick) were incubated for 20 minutes with 3% H</w:t>
      </w:r>
      <w:r w:rsidRPr="008302CD">
        <w:rPr>
          <w:rFonts w:ascii="Times New Roman" w:hAnsi="Times New Roman" w:cs="Times New Roman"/>
          <w:color w:val="000000" w:themeColor="text1"/>
          <w:sz w:val="20"/>
          <w:szCs w:val="20"/>
          <w:vertAlign w:val="subscript"/>
        </w:rPr>
        <w:t>2</w:t>
      </w:r>
      <w:r w:rsidRPr="008302CD">
        <w:rPr>
          <w:rFonts w:ascii="Times New Roman" w:hAnsi="Times New Roman" w:cs="Times New Roman"/>
          <w:color w:val="000000" w:themeColor="text1"/>
          <w:sz w:val="20"/>
          <w:szCs w:val="20"/>
        </w:rPr>
        <w:t>O</w:t>
      </w:r>
      <w:r w:rsidRPr="008302CD">
        <w:rPr>
          <w:rFonts w:ascii="Times New Roman" w:hAnsi="Times New Roman" w:cs="Times New Roman"/>
          <w:color w:val="000000" w:themeColor="text1"/>
          <w:sz w:val="20"/>
          <w:szCs w:val="20"/>
          <w:vertAlign w:val="subscript"/>
        </w:rPr>
        <w:t>2</w:t>
      </w:r>
      <w:r w:rsidRPr="008302CD">
        <w:rPr>
          <w:rFonts w:ascii="Times New Roman" w:hAnsi="Times New Roman" w:cs="Times New Roman"/>
          <w:color w:val="000000" w:themeColor="text1"/>
          <w:sz w:val="20"/>
          <w:szCs w:val="20"/>
        </w:rPr>
        <w:t xml:space="preserve"> in PBS to remove endogenous peroxidase activity followed by washing in PBS. Sections were then blocked with a solution containing 5% normal goat/or horse serum, 2% bovine serum albumin, 2% fetal bovine serum (FBS), and 0.1% Triton X-100 for 2 hours at room temperature (RT). The sections were incubated overnight at 4˚C with rabbit anti-myelin basic protein (MBP) (1:1,000; Sigma Aldrich), rabbit anti-</w:t>
      </w:r>
      <w:r w:rsidRPr="008302CD">
        <w:rPr>
          <w:rStyle w:val="st1"/>
          <w:rFonts w:ascii="Times New Roman" w:hAnsi="Times New Roman" w:cs="Times New Roman"/>
          <w:color w:val="000000" w:themeColor="text1"/>
          <w:sz w:val="20"/>
          <w:szCs w:val="20"/>
        </w:rPr>
        <w:t>ionized calcium binding adaptor molecule-1 (</w:t>
      </w:r>
      <w:r w:rsidRPr="008302CD">
        <w:rPr>
          <w:rFonts w:ascii="Times New Roman" w:hAnsi="Times New Roman" w:cs="Times New Roman"/>
          <w:color w:val="000000" w:themeColor="text1"/>
          <w:sz w:val="20"/>
          <w:szCs w:val="20"/>
        </w:rPr>
        <w:t xml:space="preserve">Iba-1) (1:2,000; WAKO, Osaka, Japan), and rat anti-CD68 (1:500; Serotec, Oxford, UK). The sections were incubated overnight at 4˚C and washed in PBS. The sections were then incubated with biotinylated rabbit IgG antibody (1:200; Vector Laboratories, Burlingame, CA, USA) for 1 hour at RT. After rinsing, the sections were incubated with avidin-biotinylated horseradish peroxidase (HRP)-complex (1:200; Vector Laboratories) for 1 hour at RT and visualized with 3,3'-diaminobenzidine. The sections were rinsed, dehydrated, and cover-slipped with Permount. </w:t>
      </w:r>
      <w:r w:rsidRPr="008302CD">
        <w:rPr>
          <w:rFonts w:ascii="Times New Roman" w:hAnsi="Times New Roman" w:cs="Times New Roman"/>
          <w:color w:val="000000" w:themeColor="text1"/>
          <w:sz w:val="20"/>
          <w:szCs w:val="20"/>
          <w:lang w:val="en-GB"/>
        </w:rPr>
        <w:t xml:space="preserve">For double immunofluorescent staining, sections were incubated overnight at 4°C with a mixture of </w:t>
      </w:r>
      <w:r w:rsidRPr="008302CD">
        <w:rPr>
          <w:rFonts w:ascii="Times New Roman" w:hAnsi="Times New Roman" w:cs="Times New Roman"/>
          <w:color w:val="000000" w:themeColor="text1"/>
          <w:sz w:val="20"/>
          <w:szCs w:val="20"/>
        </w:rPr>
        <w:t>mouse anti-platelet endothelial cell adhesion molecule [PECAM-1 (CD31); 1: 500; Santa Cruz biotechnology, Santa Cruz, CA, USA), rabbit anti-fibronectin (1: 500; Santa Cruz biotechnology),</w:t>
      </w:r>
      <w:r w:rsidRPr="008302CD">
        <w:rPr>
          <w:rFonts w:ascii="Times New Roman" w:hAnsi="Times New Roman" w:cs="Times New Roman"/>
          <w:color w:val="000000" w:themeColor="text1"/>
          <w:sz w:val="20"/>
          <w:szCs w:val="20"/>
          <w:lang w:val="en-GB"/>
        </w:rPr>
        <w:t xml:space="preserve"> mouse anti-GFAP (1:500; </w:t>
      </w:r>
      <w:r w:rsidRPr="008302CD">
        <w:rPr>
          <w:rFonts w:ascii="Times New Roman" w:hAnsi="Times New Roman" w:cs="Times New Roman"/>
          <w:color w:val="000000" w:themeColor="text1"/>
          <w:sz w:val="20"/>
          <w:szCs w:val="20"/>
        </w:rPr>
        <w:t>Dako</w:t>
      </w:r>
      <w:r w:rsidRPr="008302CD">
        <w:rPr>
          <w:rFonts w:ascii="Times New Roman" w:hAnsi="Times New Roman" w:cs="Times New Roman"/>
          <w:color w:val="000000" w:themeColor="text1"/>
          <w:sz w:val="20"/>
          <w:szCs w:val="20"/>
          <w:lang w:val="en-GB"/>
        </w:rPr>
        <w:t xml:space="preserve">), and rabbit anti-GFAP (1:500; Millipore, </w:t>
      </w:r>
      <w:r w:rsidRPr="008302CD">
        <w:rPr>
          <w:rFonts w:ascii="Times New Roman" w:hAnsi="Times New Roman" w:cs="Times New Roman"/>
          <w:color w:val="000000" w:themeColor="text1"/>
          <w:sz w:val="20"/>
          <w:szCs w:val="20"/>
        </w:rPr>
        <w:t>Darmstadt, Germany</w:t>
      </w:r>
      <w:r w:rsidRPr="008302CD">
        <w:rPr>
          <w:rFonts w:ascii="Times New Roman" w:hAnsi="Times New Roman" w:cs="Times New Roman"/>
          <w:color w:val="000000" w:themeColor="text1"/>
          <w:sz w:val="20"/>
          <w:szCs w:val="20"/>
          <w:lang w:val="en-GB"/>
        </w:rPr>
        <w:t>) antibodies. The sections were incubated for 1 hour at RT with a mixture of Cy3- and FITC-conjugated mouse/rabbit IgG antibodies (1:200; Jackson ImmunoResearch, U.S.A.), and visualized by confocal imaging (LSM 5 PASCAL; Carl Zeiss, Germany).</w:t>
      </w:r>
    </w:p>
    <w:p w:rsidR="00136FFB" w:rsidRPr="008302CD" w:rsidRDefault="00136FFB" w:rsidP="00795371">
      <w:pPr>
        <w:pStyle w:val="norm13"/>
        <w:shd w:val="clear" w:color="auto" w:fill="FFFFFF"/>
        <w:spacing w:line="360" w:lineRule="auto"/>
        <w:jc w:val="both"/>
        <w:rPr>
          <w:rFonts w:ascii="Times New Roman" w:hAnsi="Times New Roman" w:cs="Times New Roman"/>
          <w:color w:val="000000" w:themeColor="text1"/>
          <w:sz w:val="20"/>
          <w:szCs w:val="20"/>
          <w:lang w:val="en-GB"/>
        </w:rPr>
      </w:pPr>
      <w:r w:rsidRPr="008302CD">
        <w:rPr>
          <w:rFonts w:ascii="Times New Roman" w:hAnsi="Times New Roman" w:cs="Times New Roman"/>
          <w:color w:val="000000" w:themeColor="text1"/>
          <w:sz w:val="20"/>
          <w:szCs w:val="20"/>
        </w:rPr>
        <w:t>The regions of interest in each section were captured. I</w:t>
      </w:r>
      <w:r w:rsidRPr="008302CD">
        <w:rPr>
          <w:rFonts w:ascii="Times New Roman" w:hAnsi="Times New Roman" w:cs="Times New Roman"/>
          <w:bCs/>
          <w:color w:val="000000" w:themeColor="text1"/>
          <w:sz w:val="20"/>
          <w:szCs w:val="20"/>
        </w:rPr>
        <w:t xml:space="preserve">mmunopositive cells were quantified as previously detailed </w:t>
      </w:r>
      <w:r w:rsidR="008302CD" w:rsidRPr="008302CD">
        <w:rPr>
          <w:rFonts w:ascii="Times New Roman" w:hAnsi="Times New Roman" w:cs="Times New Roman"/>
          <w:bCs/>
          <w:color w:val="000000" w:themeColor="text1"/>
          <w:sz w:val="20"/>
          <w:szCs w:val="20"/>
        </w:rPr>
        <w:t>[6]</w:t>
      </w:r>
      <w:bookmarkStart w:id="2" w:name="article1.body1.sec2.sec5.p1"/>
      <w:bookmarkEnd w:id="2"/>
      <w:r w:rsidRPr="008302CD">
        <w:rPr>
          <w:rFonts w:ascii="Times New Roman" w:hAnsi="Times New Roman" w:cs="Times New Roman"/>
          <w:bCs/>
          <w:color w:val="000000" w:themeColor="text1"/>
          <w:sz w:val="20"/>
          <w:szCs w:val="20"/>
        </w:rPr>
        <w:t>. W</w:t>
      </w:r>
      <w:r w:rsidRPr="008302CD">
        <w:rPr>
          <w:rFonts w:ascii="Times New Roman" w:hAnsi="Times New Roman" w:cs="Times New Roman"/>
          <w:color w:val="000000" w:themeColor="text1"/>
          <w:sz w:val="20"/>
          <w:szCs w:val="20"/>
        </w:rPr>
        <w:t xml:space="preserve">hite matter of the lumbar spinal cord was captured from 6 randomly selected sections for each mouse in each group (n = 5). Semiquantitative histological evaluation for Iba-1 antibody (40× magnified </w:t>
      </w:r>
      <w:r w:rsidRPr="008302CD">
        <w:rPr>
          <w:rFonts w:ascii="Times New Roman" w:hAnsi="Times New Roman" w:cs="Times New Roman"/>
          <w:color w:val="000000" w:themeColor="text1"/>
          <w:sz w:val="20"/>
          <w:szCs w:val="20"/>
        </w:rPr>
        <w:lastRenderedPageBreak/>
        <w:t xml:space="preserve">microscope field) was conducted and scored blindly by 2 observers using the following scale </w:t>
      </w:r>
      <w:r w:rsidR="003B711E" w:rsidRPr="008302CD">
        <w:rPr>
          <w:rFonts w:ascii="Times New Roman" w:hAnsi="Times New Roman" w:cs="Times New Roman"/>
          <w:color w:val="000000" w:themeColor="text1"/>
          <w:sz w:val="20"/>
          <w:szCs w:val="20"/>
        </w:rPr>
        <w:t>[6]</w:t>
      </w:r>
      <w:r w:rsidRPr="008302CD">
        <w:rPr>
          <w:rFonts w:ascii="Times New Roman" w:hAnsi="Times New Roman" w:cs="Times New Roman"/>
          <w:color w:val="000000" w:themeColor="text1"/>
          <w:sz w:val="20"/>
          <w:szCs w:val="20"/>
        </w:rPr>
        <w:t xml:space="preserve">: resting microglia, </w:t>
      </w:r>
      <w:r w:rsidRPr="008302CD">
        <w:rPr>
          <w:rFonts w:ascii="Times New Roman" w:hAnsi="Times New Roman" w:cs="Times New Roman"/>
          <w:color w:val="000000" w:themeColor="text1"/>
          <w:sz w:val="20"/>
          <w:szCs w:val="20"/>
          <w:lang w:val="en-GB"/>
        </w:rPr>
        <w:t>mildly activated microglia, and moderately activated microglia.</w:t>
      </w:r>
    </w:p>
    <w:p w:rsidR="00136FFB" w:rsidRPr="008302CD" w:rsidRDefault="00136FFB" w:rsidP="008302CD">
      <w:pPr>
        <w:wordWrap/>
        <w:adjustRightInd w:val="0"/>
        <w:spacing w:line="360" w:lineRule="auto"/>
        <w:rPr>
          <w:rFonts w:ascii="Times New Roman" w:hAnsi="Times New Roman"/>
          <w:b/>
          <w:color w:val="000000" w:themeColor="text1"/>
          <w:szCs w:val="20"/>
        </w:rPr>
      </w:pPr>
    </w:p>
    <w:p w:rsidR="00136FFB" w:rsidRPr="008302CD" w:rsidRDefault="00136FFB" w:rsidP="008302CD">
      <w:pPr>
        <w:wordWrap/>
        <w:adjustRightInd w:val="0"/>
        <w:spacing w:line="360" w:lineRule="auto"/>
        <w:rPr>
          <w:rFonts w:ascii="Times New Roman" w:hAnsi="Times New Roman"/>
          <w:b/>
          <w:color w:val="000000" w:themeColor="text1"/>
          <w:szCs w:val="20"/>
        </w:rPr>
      </w:pPr>
      <w:r w:rsidRPr="008302CD">
        <w:rPr>
          <w:rFonts w:ascii="Times New Roman" w:hAnsi="Times New Roman"/>
          <w:b/>
          <w:color w:val="000000" w:themeColor="text1"/>
          <w:szCs w:val="20"/>
        </w:rPr>
        <w:t xml:space="preserve">T cell culture and proliferation </w:t>
      </w:r>
    </w:p>
    <w:p w:rsidR="00136FFB" w:rsidRPr="008302CD" w:rsidRDefault="00136FFB" w:rsidP="00795371">
      <w:pPr>
        <w:wordWrap/>
        <w:adjustRightInd w:val="0"/>
        <w:spacing w:line="360" w:lineRule="auto"/>
        <w:rPr>
          <w:rFonts w:ascii="Times New Roman" w:hAnsi="Times New Roman"/>
          <w:color w:val="000000" w:themeColor="text1"/>
          <w:szCs w:val="20"/>
        </w:rPr>
      </w:pPr>
      <w:r w:rsidRPr="008302CD">
        <w:rPr>
          <w:rFonts w:ascii="Times New Roman" w:hAnsi="Times New Roman"/>
          <w:color w:val="000000" w:themeColor="text1"/>
          <w:szCs w:val="20"/>
        </w:rPr>
        <w:t>Spleen mononuclear cells from WT mice were suspended in culture medium containing Dulbecco's modification of Eagle medium (Gibco, Paisley, UK) supplemented with 1% (v/v) minimum essential medium (Gibco), 2 mM glutamine (Flow Laboratory, Irvine, CA, USA), 50 IU/ml penicillin, 50 mg/ml streptomycin and 10% (v/v) fetal calf serum (both from Gibco). Spleen mononuclear cell suspensions containing 4 × 105 cells in 200 μl culture medium were placed in 96-well round-bottom microtiter plates (Nunc, Copenhagen, Denmark). 10 μl of MOG35–55 peptide (10 μg/ml) or concanavalin A (5 μg/ml; Sigma-Aldrich) was then added to triplicate wells. After 2 and 3 days of incubation, the cells were pulsed for 18 hours with 10 μl aliquots containing 1 μCi of 3H-methylthymidine (specific activity 42 Ci/mmol; Amersham, Arlington Heights, IL, USA). Cells were harvested onto glass fiber filters, and thymidine incorporation was measured. The results were expressed as counts per minute.</w:t>
      </w:r>
    </w:p>
    <w:p w:rsidR="00136FFB" w:rsidRDefault="00136FFB" w:rsidP="008302CD">
      <w:pPr>
        <w:wordWrap/>
        <w:adjustRightInd w:val="0"/>
        <w:spacing w:line="360" w:lineRule="auto"/>
        <w:rPr>
          <w:rFonts w:ascii="Times New Roman" w:hAnsi="Times New Roman"/>
          <w:color w:val="000000" w:themeColor="text1"/>
          <w:szCs w:val="20"/>
        </w:rPr>
      </w:pPr>
    </w:p>
    <w:p w:rsidR="00795371" w:rsidRPr="008302CD" w:rsidRDefault="00795371" w:rsidP="008302CD">
      <w:pPr>
        <w:wordWrap/>
        <w:adjustRightInd w:val="0"/>
        <w:spacing w:line="360" w:lineRule="auto"/>
        <w:rPr>
          <w:rFonts w:ascii="Times New Roman" w:hAnsi="Times New Roman"/>
          <w:color w:val="000000" w:themeColor="text1"/>
          <w:szCs w:val="20"/>
        </w:rPr>
      </w:pPr>
    </w:p>
    <w:p w:rsidR="00136FFB" w:rsidRPr="008302CD" w:rsidRDefault="00136FFB" w:rsidP="008302CD">
      <w:pPr>
        <w:spacing w:line="360" w:lineRule="auto"/>
        <w:rPr>
          <w:rFonts w:ascii="Times New Roman" w:hAnsi="Times New Roman"/>
          <w:b/>
          <w:bCs/>
          <w:color w:val="000000" w:themeColor="text1"/>
          <w:szCs w:val="20"/>
        </w:rPr>
      </w:pPr>
      <w:r w:rsidRPr="008302CD">
        <w:rPr>
          <w:rFonts w:ascii="Times New Roman" w:hAnsi="Times New Roman"/>
          <w:b/>
          <w:bCs/>
          <w:color w:val="000000" w:themeColor="text1"/>
          <w:szCs w:val="20"/>
        </w:rPr>
        <w:t>Western blot analysis</w:t>
      </w:r>
    </w:p>
    <w:p w:rsidR="00136FFB" w:rsidRPr="008302CD" w:rsidRDefault="00136FFB" w:rsidP="00795371">
      <w:pPr>
        <w:wordWrap/>
        <w:adjustRightInd w:val="0"/>
        <w:spacing w:line="360" w:lineRule="auto"/>
        <w:rPr>
          <w:rFonts w:ascii="Times New Roman" w:hAnsi="Times New Roman"/>
          <w:color w:val="000000" w:themeColor="text1"/>
          <w:szCs w:val="20"/>
        </w:rPr>
      </w:pPr>
      <w:r w:rsidRPr="008302CD">
        <w:rPr>
          <w:rFonts w:ascii="Times New Roman" w:hAnsi="Times New Roman"/>
          <w:color w:val="000000" w:themeColor="text1"/>
          <w:szCs w:val="20"/>
        </w:rPr>
        <w:t>After the peak of neurological impairment, mice (n=5 per group) were anesthetized, and the lumbar spinal cords were removed with lysis buffer (50 m</w:t>
      </w:r>
      <w:r w:rsidRPr="008302CD">
        <w:rPr>
          <w:rFonts w:ascii="Times New Roman" w:hAnsi="Times New Roman"/>
          <w:caps/>
          <w:color w:val="000000" w:themeColor="text1"/>
          <w:szCs w:val="20"/>
        </w:rPr>
        <w:t>m</w:t>
      </w:r>
      <w:r w:rsidRPr="008302CD">
        <w:rPr>
          <w:rFonts w:ascii="Times New Roman" w:hAnsi="Times New Roman"/>
          <w:color w:val="000000" w:themeColor="text1"/>
          <w:szCs w:val="20"/>
        </w:rPr>
        <w:t xml:space="preserve"> Tris-Cl, pH 7.5, 150 m</w:t>
      </w:r>
      <w:r w:rsidRPr="008302CD">
        <w:rPr>
          <w:rFonts w:ascii="Times New Roman" w:hAnsi="Times New Roman"/>
          <w:caps/>
          <w:color w:val="000000" w:themeColor="text1"/>
          <w:szCs w:val="20"/>
        </w:rPr>
        <w:t>m</w:t>
      </w:r>
      <w:r w:rsidRPr="008302CD">
        <w:rPr>
          <w:rFonts w:ascii="Times New Roman" w:hAnsi="Times New Roman"/>
          <w:color w:val="000000" w:themeColor="text1"/>
          <w:szCs w:val="20"/>
        </w:rPr>
        <w:t xml:space="preserve"> NaCl, 1% Triton X-100, 10% glycerol, and protease inhibitor mixture). Western blot analysis was performed as previously described </w:t>
      </w:r>
      <w:r w:rsidR="008302CD" w:rsidRPr="008302CD">
        <w:rPr>
          <w:rFonts w:ascii="Times New Roman" w:hAnsi="Times New Roman"/>
          <w:color w:val="000000" w:themeColor="text1"/>
          <w:szCs w:val="20"/>
        </w:rPr>
        <w:t>[2-4]</w:t>
      </w:r>
      <w:r w:rsidRPr="008302CD">
        <w:rPr>
          <w:rFonts w:ascii="Times New Roman" w:hAnsi="Times New Roman"/>
          <w:color w:val="000000" w:themeColor="text1"/>
          <w:szCs w:val="20"/>
        </w:rPr>
        <w:t xml:space="preserve">. Briefly, </w:t>
      </w:r>
      <w:r w:rsidRPr="008302CD">
        <w:rPr>
          <w:rFonts w:ascii="Times New Roman" w:hAnsi="Times New Roman"/>
          <w:color w:val="000000" w:themeColor="text1"/>
          <w:kern w:val="0"/>
          <w:szCs w:val="20"/>
        </w:rPr>
        <w:t>proteins were transferred to polyvinylidene fluoride membranes and the membranes</w:t>
      </w:r>
      <w:r w:rsidRPr="008302CD">
        <w:rPr>
          <w:rFonts w:ascii="Times New Roman" w:hAnsi="Times New Roman"/>
          <w:color w:val="000000" w:themeColor="text1"/>
          <w:szCs w:val="20"/>
        </w:rPr>
        <w:t xml:space="preserve"> were probed overnight with primary antibodies (Table 1) at 4°C, followed by incubation with HRP-conjugated secondary antibody at RT for 1 hour prior to </w:t>
      </w:r>
      <w:r w:rsidRPr="008302CD">
        <w:rPr>
          <w:rFonts w:ascii="Times New Roman" w:eastAsia="UtopiaStd-Regular" w:hAnsi="Times New Roman"/>
          <w:color w:val="000000" w:themeColor="text1"/>
          <w:szCs w:val="20"/>
        </w:rPr>
        <w:t xml:space="preserve">enhanced chemiluminescence </w:t>
      </w:r>
      <w:r w:rsidRPr="008302CD">
        <w:rPr>
          <w:rFonts w:ascii="Times New Roman" w:hAnsi="Times New Roman"/>
          <w:color w:val="000000" w:themeColor="text1"/>
          <w:szCs w:val="20"/>
        </w:rPr>
        <w:t>(</w:t>
      </w:r>
      <w:r w:rsidRPr="008302CD">
        <w:rPr>
          <w:rFonts w:ascii="Times New Roman" w:eastAsia="UtopiaStd-Regular" w:hAnsi="Times New Roman"/>
          <w:color w:val="000000" w:themeColor="text1"/>
          <w:szCs w:val="20"/>
        </w:rPr>
        <w:t>Amersham Pharmacia</w:t>
      </w:r>
      <w:r w:rsidRPr="008302CD">
        <w:rPr>
          <w:rFonts w:ascii="Times New Roman" w:eastAsia="AdvGulliv-R" w:hAnsi="Times New Roman"/>
          <w:color w:val="000000" w:themeColor="text1"/>
          <w:szCs w:val="20"/>
        </w:rPr>
        <w:t xml:space="preserve"> Biotechnology</w:t>
      </w:r>
      <w:r w:rsidRPr="008302CD">
        <w:rPr>
          <w:rFonts w:ascii="Times New Roman" w:hAnsi="Times New Roman"/>
          <w:color w:val="000000" w:themeColor="text1"/>
          <w:szCs w:val="20"/>
        </w:rPr>
        <w:t>,</w:t>
      </w:r>
      <w:r w:rsidRPr="008302CD">
        <w:rPr>
          <w:rStyle w:val="CharChar2"/>
          <w:rFonts w:ascii="Times New Roman" w:hAnsi="Times New Roman"/>
          <w:bCs/>
          <w:color w:val="000000" w:themeColor="text1"/>
          <w:sz w:val="20"/>
          <w:szCs w:val="20"/>
        </w:rPr>
        <w:t xml:space="preserve"> </w:t>
      </w:r>
      <w:r w:rsidRPr="008302CD">
        <w:rPr>
          <w:rStyle w:val="st1"/>
          <w:rFonts w:ascii="Times New Roman" w:hAnsi="Times New Roman"/>
          <w:color w:val="000000" w:themeColor="text1"/>
          <w:szCs w:val="20"/>
        </w:rPr>
        <w:t>Piscataway, NJ,</w:t>
      </w:r>
      <w:r w:rsidRPr="008302CD">
        <w:rPr>
          <w:rFonts w:ascii="Times New Roman" w:hAnsi="Times New Roman"/>
          <w:color w:val="000000" w:themeColor="text1"/>
          <w:szCs w:val="20"/>
        </w:rPr>
        <w:t xml:space="preserve"> U</w:t>
      </w:r>
      <w:r w:rsidRPr="008302CD">
        <w:rPr>
          <w:rFonts w:ascii="Times New Roman" w:eastAsia="UtopiaStd-Regular" w:hAnsi="Times New Roman"/>
          <w:color w:val="000000" w:themeColor="text1"/>
          <w:szCs w:val="20"/>
        </w:rPr>
        <w:t>SA</w:t>
      </w:r>
      <w:r w:rsidRPr="008302CD">
        <w:rPr>
          <w:rFonts w:ascii="Times New Roman" w:hAnsi="Times New Roman"/>
          <w:color w:val="000000" w:themeColor="text1"/>
          <w:szCs w:val="20"/>
        </w:rPr>
        <w:t>) treatment and exposure to X-ray film. For normalization of the antibody signal, the membranes were stripped and reprobed with antibodies for actin (1:2,000; Cell Signaling Technology) or glyceraldehyde 3-phosphate dehydrogenase (GAPDH) (1:1000; Cell Signaling Technology)</w:t>
      </w:r>
      <w:r w:rsidRPr="008302CD">
        <w:rPr>
          <w:rFonts w:ascii="Times New Roman" w:eastAsia="Gulim" w:hAnsi="Times New Roman"/>
          <w:color w:val="000000" w:themeColor="text1"/>
          <w:szCs w:val="20"/>
        </w:rPr>
        <w:t>.</w:t>
      </w:r>
      <w:r w:rsidRPr="008302CD">
        <w:rPr>
          <w:rFonts w:ascii="Times New Roman" w:hAnsi="Times New Roman"/>
          <w:color w:val="000000" w:themeColor="text1"/>
          <w:szCs w:val="20"/>
        </w:rPr>
        <w:t xml:space="preserve"> </w:t>
      </w:r>
      <w:r w:rsidRPr="008302CD">
        <w:rPr>
          <w:rFonts w:ascii="Times New Roman" w:eastAsia="AdvGulliv-R" w:hAnsi="Times New Roman"/>
          <w:color w:val="000000" w:themeColor="text1"/>
          <w:szCs w:val="20"/>
        </w:rPr>
        <w:t xml:space="preserve">After Western blotting was performed several times, the density of each band was converted to numerical values using the Photoshop CS2 program (Adobe, San Jose, CA, USA), with the background values subtracted from an area of film immediately adjacent to the stained band. Data are expressed as the ratio of MBP, PECAM-1, and fibronectin against actin or GAPDH for each sample. </w:t>
      </w:r>
    </w:p>
    <w:p w:rsidR="00136FFB" w:rsidRDefault="00136FFB" w:rsidP="008302CD">
      <w:pPr>
        <w:wordWrap/>
        <w:adjustRightInd w:val="0"/>
        <w:spacing w:line="360" w:lineRule="auto"/>
        <w:rPr>
          <w:rFonts w:ascii="Times New Roman" w:hAnsi="Times New Roman"/>
          <w:color w:val="000000" w:themeColor="text1"/>
          <w:szCs w:val="20"/>
        </w:rPr>
      </w:pPr>
    </w:p>
    <w:p w:rsidR="00795371" w:rsidRPr="008302CD" w:rsidRDefault="00795371" w:rsidP="008302CD">
      <w:pPr>
        <w:wordWrap/>
        <w:adjustRightInd w:val="0"/>
        <w:spacing w:line="360" w:lineRule="auto"/>
        <w:rPr>
          <w:rFonts w:ascii="Times New Roman" w:hAnsi="Times New Roman"/>
          <w:color w:val="000000" w:themeColor="text1"/>
          <w:szCs w:val="20"/>
        </w:rPr>
      </w:pPr>
      <w:bookmarkStart w:id="3" w:name="_GoBack"/>
      <w:bookmarkEnd w:id="3"/>
    </w:p>
    <w:p w:rsidR="00136FFB" w:rsidRPr="008302CD" w:rsidRDefault="00136FFB" w:rsidP="008302CD">
      <w:pPr>
        <w:wordWrap/>
        <w:adjustRightInd w:val="0"/>
        <w:spacing w:line="360" w:lineRule="auto"/>
        <w:rPr>
          <w:rFonts w:ascii="Times New Roman" w:hAnsi="Times New Roman"/>
          <w:b/>
          <w:color w:val="000000" w:themeColor="text1"/>
          <w:szCs w:val="20"/>
        </w:rPr>
      </w:pPr>
      <w:r w:rsidRPr="008302CD">
        <w:rPr>
          <w:rFonts w:ascii="Times New Roman" w:hAnsi="Times New Roman"/>
          <w:b/>
          <w:color w:val="000000" w:themeColor="text1"/>
          <w:szCs w:val="20"/>
        </w:rPr>
        <w:t>Normalization of the antibody signal by Western blot analysis</w:t>
      </w:r>
    </w:p>
    <w:p w:rsidR="00136FFB" w:rsidRPr="008302CD" w:rsidRDefault="00136FFB" w:rsidP="00795371">
      <w:pPr>
        <w:wordWrap/>
        <w:adjustRightInd w:val="0"/>
        <w:spacing w:line="360" w:lineRule="auto"/>
        <w:rPr>
          <w:rFonts w:ascii="Times New Roman" w:hAnsi="Times New Roman"/>
          <w:color w:val="000000" w:themeColor="text1"/>
          <w:szCs w:val="20"/>
        </w:rPr>
      </w:pPr>
      <w:r w:rsidRPr="008302CD">
        <w:rPr>
          <w:rFonts w:ascii="Times New Roman" w:hAnsi="Times New Roman"/>
          <w:color w:val="000000" w:themeColor="text1"/>
          <w:szCs w:val="20"/>
        </w:rPr>
        <w:t>For normalization of the antibody signal, the membranes were stripped and reprobed with antibodies for actin (1:2,000; Cell Signaling Technology) or glyceraldehyde 3-phosphate dehydrogenase (GAPDH) (1:1000; Cell Signaling Technology)</w:t>
      </w:r>
      <w:r w:rsidRPr="008302CD">
        <w:rPr>
          <w:rFonts w:ascii="Times New Roman" w:eastAsia="Gulim" w:hAnsi="Times New Roman"/>
          <w:color w:val="000000" w:themeColor="text1"/>
          <w:szCs w:val="20"/>
        </w:rPr>
        <w:t>.</w:t>
      </w:r>
      <w:r w:rsidRPr="008302CD">
        <w:rPr>
          <w:rFonts w:ascii="Times New Roman" w:hAnsi="Times New Roman"/>
          <w:color w:val="000000" w:themeColor="text1"/>
          <w:szCs w:val="20"/>
        </w:rPr>
        <w:t xml:space="preserve"> </w:t>
      </w:r>
      <w:r w:rsidRPr="008302CD">
        <w:rPr>
          <w:rFonts w:ascii="Times New Roman" w:eastAsia="AdvGulliv-R" w:hAnsi="Times New Roman"/>
          <w:color w:val="000000" w:themeColor="text1"/>
          <w:szCs w:val="20"/>
        </w:rPr>
        <w:t xml:space="preserve">After Western blotting was performed three times, the density of each band was converted to numerical values using the Photoshop CS2 program (Adobe, San Jose, CA, USA), with the background values subtracted from an area of film immediately adjacent to the stained band. Data are expressed as the ratio of proteins against actin or GAPDH for each sample. </w:t>
      </w:r>
    </w:p>
    <w:p w:rsidR="00136FFB" w:rsidRPr="008302CD" w:rsidRDefault="00136FFB" w:rsidP="008302CD">
      <w:pPr>
        <w:widowControl/>
        <w:wordWrap/>
        <w:autoSpaceDE/>
        <w:spacing w:before="100" w:beforeAutospacing="1" w:after="100" w:afterAutospacing="1" w:line="360" w:lineRule="auto"/>
        <w:rPr>
          <w:rFonts w:ascii="Times New Roman" w:hAnsi="Times New Roman"/>
          <w:color w:val="000000" w:themeColor="text1"/>
          <w:szCs w:val="20"/>
        </w:rPr>
      </w:pPr>
    </w:p>
    <w:p w:rsidR="008302CD" w:rsidRDefault="003B711E" w:rsidP="008302CD">
      <w:pPr>
        <w:widowControl/>
        <w:wordWrap/>
        <w:autoSpaceDE/>
        <w:spacing w:before="100" w:beforeAutospacing="1" w:after="100" w:afterAutospacing="1" w:line="360" w:lineRule="auto"/>
        <w:rPr>
          <w:rFonts w:ascii="Times New Roman" w:hAnsi="Times New Roman"/>
          <w:b/>
          <w:color w:val="000000" w:themeColor="text1"/>
          <w:szCs w:val="20"/>
        </w:rPr>
      </w:pPr>
      <w:r w:rsidRPr="008302CD">
        <w:rPr>
          <w:rFonts w:ascii="Times New Roman" w:hAnsi="Times New Roman"/>
          <w:b/>
          <w:color w:val="000000" w:themeColor="text1"/>
          <w:szCs w:val="20"/>
        </w:rPr>
        <w:t>References</w:t>
      </w:r>
    </w:p>
    <w:p w:rsidR="003B711E" w:rsidRPr="008302CD" w:rsidRDefault="008302CD" w:rsidP="008302CD">
      <w:pPr>
        <w:widowControl/>
        <w:wordWrap/>
        <w:autoSpaceDE/>
        <w:spacing w:before="100" w:beforeAutospacing="1" w:after="100" w:afterAutospacing="1" w:line="360" w:lineRule="auto"/>
        <w:rPr>
          <w:rFonts w:ascii="Times New Roman" w:hAnsi="Times New Roman"/>
          <w:color w:val="000000" w:themeColor="text1"/>
          <w:szCs w:val="20"/>
        </w:rPr>
      </w:pPr>
      <w:r w:rsidRPr="008302CD">
        <w:rPr>
          <w:rFonts w:ascii="Times New Roman" w:hAnsi="Times New Roman" w:hint="eastAsia"/>
          <w:b/>
          <w:bCs/>
          <w:color w:val="000000" w:themeColor="text1"/>
          <w:szCs w:val="20"/>
        </w:rPr>
        <w:t>1.</w:t>
      </w:r>
      <w:r w:rsidRPr="008302CD">
        <w:rPr>
          <w:rFonts w:ascii="Times New Roman" w:hAnsi="Times New Roman" w:hint="eastAsia"/>
          <w:bCs/>
          <w:color w:val="000000" w:themeColor="text1"/>
          <w:szCs w:val="20"/>
        </w:rPr>
        <w:t xml:space="preserve"> </w:t>
      </w:r>
      <w:r w:rsidR="003B711E" w:rsidRPr="008302CD">
        <w:rPr>
          <w:rFonts w:ascii="Times New Roman" w:hAnsi="Times New Roman"/>
          <w:bCs/>
          <w:color w:val="000000" w:themeColor="text1"/>
          <w:szCs w:val="20"/>
        </w:rPr>
        <w:t>Fissolo</w:t>
      </w:r>
      <w:r w:rsidR="003B711E" w:rsidRPr="008302CD">
        <w:rPr>
          <w:rFonts w:ascii="Times New Roman" w:hAnsi="Times New Roman"/>
          <w:color w:val="000000" w:themeColor="text1"/>
          <w:szCs w:val="20"/>
        </w:rPr>
        <w:t xml:space="preserve"> N, Costa C, Nurtdinov RN, Bustamante MF, Llombart V, Mansilla MJ, Espejo C, Montalban X, Comabella M. </w:t>
      </w:r>
      <w:hyperlink r:id="rId8" w:history="1">
        <w:r w:rsidR="003B711E" w:rsidRPr="008302CD">
          <w:rPr>
            <w:rFonts w:ascii="Times New Roman" w:hAnsi="Times New Roman"/>
            <w:color w:val="000000" w:themeColor="text1"/>
            <w:szCs w:val="20"/>
          </w:rPr>
          <w:t>Treatment with MOG-DNA vaccines induces CD4+CD25+FoxP3+ regulatory T cells and up-regulates genes with neuroprotective functions in experimental autoimmune encephalomyelitis.</w:t>
        </w:r>
      </w:hyperlink>
      <w:r w:rsidR="003B711E" w:rsidRPr="008302CD">
        <w:rPr>
          <w:rFonts w:ascii="Times New Roman" w:hAnsi="Times New Roman"/>
          <w:color w:val="000000" w:themeColor="text1"/>
          <w:szCs w:val="20"/>
        </w:rPr>
        <w:t xml:space="preserve"> </w:t>
      </w:r>
      <w:r w:rsidR="003B711E" w:rsidRPr="008302CD">
        <w:rPr>
          <w:rStyle w:val="jrnl"/>
          <w:rFonts w:ascii="Times New Roman" w:hAnsi="Times New Roman"/>
          <w:color w:val="000000" w:themeColor="text1"/>
          <w:szCs w:val="20"/>
        </w:rPr>
        <w:t>J Neuroinflammation</w:t>
      </w:r>
      <w:r w:rsidR="003B711E" w:rsidRPr="008302CD">
        <w:rPr>
          <w:rFonts w:ascii="Times New Roman" w:hAnsi="Times New Roman"/>
          <w:color w:val="000000" w:themeColor="text1"/>
          <w:szCs w:val="20"/>
        </w:rPr>
        <w:t xml:space="preserve">. </w:t>
      </w:r>
      <w:r w:rsidR="003B711E" w:rsidRPr="008302CD">
        <w:rPr>
          <w:rFonts w:ascii="Times New Roman" w:hAnsi="Times New Roman"/>
          <w:bCs/>
          <w:color w:val="000000" w:themeColor="text1"/>
          <w:szCs w:val="20"/>
        </w:rPr>
        <w:t>2012</w:t>
      </w:r>
      <w:r w:rsidR="003B711E" w:rsidRPr="008302CD">
        <w:rPr>
          <w:rFonts w:ascii="Times New Roman" w:hAnsi="Times New Roman"/>
          <w:color w:val="000000" w:themeColor="text1"/>
          <w:szCs w:val="20"/>
        </w:rPr>
        <w:t xml:space="preserve"> Jun 22;9:139.</w:t>
      </w:r>
    </w:p>
    <w:p w:rsidR="003B711E" w:rsidRPr="008302CD" w:rsidRDefault="003B711E" w:rsidP="008302CD">
      <w:pPr>
        <w:widowControl/>
        <w:wordWrap/>
        <w:autoSpaceDE/>
        <w:spacing w:before="100" w:beforeAutospacing="1" w:after="100" w:afterAutospacing="1" w:line="360" w:lineRule="auto"/>
        <w:rPr>
          <w:rFonts w:ascii="Times New Roman" w:hAnsi="Times New Roman"/>
          <w:b/>
          <w:color w:val="000000" w:themeColor="text1"/>
          <w:szCs w:val="20"/>
        </w:rPr>
      </w:pPr>
    </w:p>
    <w:p w:rsidR="003B711E" w:rsidRPr="008302CD" w:rsidRDefault="003B711E" w:rsidP="008302CD">
      <w:pPr>
        <w:spacing w:line="360" w:lineRule="auto"/>
        <w:rPr>
          <w:rFonts w:ascii="Times New Roman" w:hAnsi="Times New Roman"/>
          <w:color w:val="000000" w:themeColor="text1"/>
          <w:szCs w:val="20"/>
        </w:rPr>
      </w:pPr>
      <w:r w:rsidRPr="008302CD">
        <w:rPr>
          <w:rFonts w:ascii="Times New Roman" w:hAnsi="Times New Roman"/>
          <w:b/>
          <w:color w:val="000000" w:themeColor="text1"/>
          <w:szCs w:val="20"/>
        </w:rPr>
        <w:t>2.</w:t>
      </w:r>
      <w:r w:rsidRPr="008302CD">
        <w:rPr>
          <w:rFonts w:ascii="Times New Roman" w:hAnsi="Times New Roman"/>
          <w:color w:val="000000" w:themeColor="text1"/>
          <w:szCs w:val="20"/>
        </w:rPr>
        <w:t xml:space="preserve"> Jang M, Lee MJ, Cho IH. Ethyl pyruvate ameliorates 3-nitropropionic acid-induced striatal toxicity through anti-neuronal cell death and anti-inflammatory mechanisms. </w:t>
      </w:r>
      <w:r w:rsidRPr="008302CD">
        <w:rPr>
          <w:rFonts w:ascii="Times New Roman" w:hAnsi="Times New Roman"/>
          <w:i/>
          <w:color w:val="000000" w:themeColor="text1"/>
          <w:szCs w:val="20"/>
        </w:rPr>
        <w:t>Brain, behavior, and immunity</w:t>
      </w:r>
      <w:r w:rsidRPr="008302CD">
        <w:rPr>
          <w:rFonts w:ascii="Times New Roman" w:hAnsi="Times New Roman"/>
          <w:color w:val="000000" w:themeColor="text1"/>
          <w:szCs w:val="20"/>
        </w:rPr>
        <w:t xml:space="preserve">. 2014; </w:t>
      </w:r>
      <w:r w:rsidRPr="008302CD">
        <w:rPr>
          <w:rFonts w:ascii="Times New Roman" w:hAnsi="Times New Roman"/>
          <w:b/>
          <w:color w:val="000000" w:themeColor="text1"/>
          <w:szCs w:val="20"/>
        </w:rPr>
        <w:t>38:</w:t>
      </w:r>
      <w:r w:rsidRPr="008302CD">
        <w:rPr>
          <w:rFonts w:ascii="Times New Roman" w:hAnsi="Times New Roman"/>
          <w:color w:val="000000" w:themeColor="text1"/>
          <w:szCs w:val="20"/>
        </w:rPr>
        <w:t xml:space="preserve"> 151-165</w:t>
      </w:r>
    </w:p>
    <w:p w:rsidR="00136FFB" w:rsidRPr="008302CD" w:rsidRDefault="00136FFB" w:rsidP="008302CD">
      <w:pPr>
        <w:spacing w:line="360" w:lineRule="auto"/>
        <w:ind w:left="720" w:hanging="720"/>
        <w:rPr>
          <w:rFonts w:ascii="Times New Roman" w:hAnsi="Times New Roman"/>
          <w:b/>
          <w:color w:val="000000" w:themeColor="text1"/>
          <w:szCs w:val="20"/>
        </w:rPr>
      </w:pPr>
    </w:p>
    <w:p w:rsidR="003B711E" w:rsidRPr="008302CD" w:rsidRDefault="003B711E" w:rsidP="008302CD">
      <w:pPr>
        <w:spacing w:line="360" w:lineRule="auto"/>
        <w:rPr>
          <w:rFonts w:ascii="Times New Roman" w:hAnsi="Times New Roman"/>
          <w:color w:val="000000" w:themeColor="text1"/>
          <w:szCs w:val="20"/>
          <w:bdr w:val="single" w:sz="4" w:space="0" w:color="auto"/>
        </w:rPr>
      </w:pPr>
      <w:r w:rsidRPr="008302CD">
        <w:rPr>
          <w:rFonts w:ascii="Times New Roman" w:hAnsi="Times New Roman"/>
          <w:b/>
          <w:color w:val="000000" w:themeColor="text1"/>
          <w:szCs w:val="20"/>
        </w:rPr>
        <w:t>3.</w:t>
      </w:r>
      <w:r w:rsidRPr="008302CD">
        <w:rPr>
          <w:rFonts w:ascii="Times New Roman" w:hAnsi="Times New Roman"/>
          <w:color w:val="000000" w:themeColor="text1"/>
          <w:szCs w:val="20"/>
        </w:rPr>
        <w:t xml:space="preserve"> Lee MJ, Jang M, Choi J, Chang BS, Kim DY, Kim SH, Kwak YS, Oh S, Lee JH, Chang BJ, Nah SY, Cho IH. Korean red ginseng and ginsenoside-Rb1/-Rg1 alleviates experimental autoimmune encephalomyelitis by suppressing Th1 and Th17 T cells and upregulating regulatory T cells. </w:t>
      </w:r>
      <w:r w:rsidRPr="008302CD">
        <w:rPr>
          <w:rFonts w:ascii="Times New Roman" w:hAnsi="Times New Roman"/>
          <w:i/>
          <w:color w:val="000000" w:themeColor="text1"/>
          <w:szCs w:val="20"/>
        </w:rPr>
        <w:t>Molecular neurobiology.</w:t>
      </w:r>
      <w:r w:rsidRPr="008302CD">
        <w:rPr>
          <w:rFonts w:ascii="Times New Roman" w:hAnsi="Times New Roman"/>
          <w:color w:val="000000" w:themeColor="text1"/>
          <w:szCs w:val="20"/>
        </w:rPr>
        <w:t xml:space="preserve"> 2016 Apr;53(3):1977-2002.</w:t>
      </w:r>
    </w:p>
    <w:p w:rsidR="003B711E" w:rsidRPr="008302CD" w:rsidRDefault="003B711E" w:rsidP="008302CD">
      <w:pPr>
        <w:spacing w:line="360" w:lineRule="auto"/>
        <w:rPr>
          <w:rFonts w:ascii="Times New Roman" w:hAnsi="Times New Roman"/>
          <w:color w:val="000000" w:themeColor="text1"/>
          <w:szCs w:val="20"/>
        </w:rPr>
      </w:pPr>
    </w:p>
    <w:p w:rsidR="003B711E" w:rsidRPr="008302CD" w:rsidRDefault="003B711E" w:rsidP="008302CD">
      <w:pPr>
        <w:spacing w:line="360" w:lineRule="auto"/>
        <w:rPr>
          <w:rFonts w:ascii="Times New Roman" w:hAnsi="Times New Roman"/>
          <w:color w:val="000000" w:themeColor="text1"/>
          <w:szCs w:val="20"/>
        </w:rPr>
      </w:pPr>
      <w:r w:rsidRPr="008302CD">
        <w:rPr>
          <w:rFonts w:ascii="Times New Roman" w:hAnsi="Times New Roman"/>
          <w:b/>
          <w:color w:val="000000" w:themeColor="text1"/>
          <w:szCs w:val="20"/>
        </w:rPr>
        <w:t>4.</w:t>
      </w:r>
      <w:r w:rsidRPr="008302CD">
        <w:rPr>
          <w:rFonts w:ascii="Times New Roman" w:hAnsi="Times New Roman"/>
          <w:color w:val="000000" w:themeColor="text1"/>
          <w:szCs w:val="20"/>
        </w:rPr>
        <w:t xml:space="preserve"> Lee MJ, Jang M, Choi J, Lee G, Min HJ, Chung WS, Kim JI, Jee Y, Chae Y, Kim SH, Lee SJ, Cho IH. Bee Venom Acupuncture Alleviates Experimental Autoimmune Encephalomyelitis by Upregulating Regulatory T Cells and Suppressing Th1 and Th17 Responses. </w:t>
      </w:r>
      <w:r w:rsidRPr="008302CD">
        <w:rPr>
          <w:rFonts w:ascii="Times New Roman" w:hAnsi="Times New Roman"/>
          <w:i/>
          <w:color w:val="000000" w:themeColor="text1"/>
          <w:szCs w:val="20"/>
        </w:rPr>
        <w:t>Molecular neurobiology.</w:t>
      </w:r>
      <w:r w:rsidRPr="008302CD">
        <w:rPr>
          <w:rFonts w:ascii="Times New Roman" w:hAnsi="Times New Roman"/>
          <w:color w:val="000000" w:themeColor="text1"/>
          <w:szCs w:val="20"/>
        </w:rPr>
        <w:t xml:space="preserve"> 2016 Apr;53(3):1419-45.</w:t>
      </w:r>
    </w:p>
    <w:p w:rsidR="00A076CC" w:rsidRPr="008302CD" w:rsidRDefault="00A076CC" w:rsidP="008302CD">
      <w:pPr>
        <w:spacing w:line="360" w:lineRule="auto"/>
        <w:rPr>
          <w:rFonts w:ascii="Times New Roman" w:hAnsi="Times New Roman"/>
          <w:color w:val="000000" w:themeColor="text1"/>
          <w:szCs w:val="20"/>
        </w:rPr>
      </w:pPr>
    </w:p>
    <w:p w:rsidR="003B711E" w:rsidRPr="008302CD" w:rsidRDefault="003B711E" w:rsidP="008302CD">
      <w:pPr>
        <w:spacing w:line="360" w:lineRule="auto"/>
        <w:rPr>
          <w:rFonts w:ascii="Times New Roman" w:hAnsi="Times New Roman"/>
          <w:color w:val="000000" w:themeColor="text1"/>
          <w:szCs w:val="20"/>
        </w:rPr>
      </w:pPr>
      <w:r w:rsidRPr="008302CD">
        <w:rPr>
          <w:rFonts w:ascii="Times New Roman" w:hAnsi="Times New Roman"/>
          <w:b/>
          <w:color w:val="000000" w:themeColor="text1"/>
          <w:szCs w:val="20"/>
        </w:rPr>
        <w:t>5.</w:t>
      </w:r>
      <w:r w:rsidRPr="008302CD">
        <w:rPr>
          <w:rFonts w:ascii="Times New Roman" w:hAnsi="Times New Roman"/>
          <w:color w:val="000000" w:themeColor="text1"/>
          <w:szCs w:val="20"/>
        </w:rPr>
        <w:t xml:space="preserve"> Cho IH, Hong J, Suh EC, Kim JH, Lee H, Lee JE, Lee S, Kim CH, Kim DW, Jo EK, Lee KE, Karin M, Lee SJ. Role of microglial IKKbeta in kainic acid-induced hippocampal neuronal cell death. </w:t>
      </w:r>
      <w:r w:rsidRPr="008302CD">
        <w:rPr>
          <w:rFonts w:ascii="Times New Roman" w:hAnsi="Times New Roman"/>
          <w:i/>
          <w:color w:val="000000" w:themeColor="text1"/>
          <w:szCs w:val="20"/>
        </w:rPr>
        <w:t>Brain</w:t>
      </w:r>
      <w:r w:rsidRPr="008302CD">
        <w:rPr>
          <w:rFonts w:ascii="Times New Roman" w:hAnsi="Times New Roman"/>
          <w:color w:val="000000" w:themeColor="text1"/>
          <w:szCs w:val="20"/>
        </w:rPr>
        <w:t xml:space="preserve">. 2008; </w:t>
      </w:r>
      <w:r w:rsidRPr="008302CD">
        <w:rPr>
          <w:rFonts w:ascii="Times New Roman" w:hAnsi="Times New Roman"/>
          <w:b/>
          <w:color w:val="000000" w:themeColor="text1"/>
          <w:szCs w:val="20"/>
        </w:rPr>
        <w:t>131:</w:t>
      </w:r>
      <w:r w:rsidRPr="008302CD">
        <w:rPr>
          <w:rFonts w:ascii="Times New Roman" w:hAnsi="Times New Roman"/>
          <w:color w:val="000000" w:themeColor="text1"/>
          <w:szCs w:val="20"/>
        </w:rPr>
        <w:t xml:space="preserve"> 3019-3033</w:t>
      </w:r>
    </w:p>
    <w:p w:rsidR="003B711E" w:rsidRPr="008302CD" w:rsidRDefault="003B711E" w:rsidP="008302CD">
      <w:pPr>
        <w:spacing w:line="360" w:lineRule="auto"/>
        <w:rPr>
          <w:rFonts w:ascii="Times New Roman" w:hAnsi="Times New Roman"/>
          <w:color w:val="000000" w:themeColor="text1"/>
          <w:szCs w:val="20"/>
        </w:rPr>
      </w:pPr>
    </w:p>
    <w:p w:rsidR="008302CD" w:rsidRPr="008302CD" w:rsidRDefault="008302CD" w:rsidP="008302CD">
      <w:pPr>
        <w:spacing w:line="360" w:lineRule="auto"/>
        <w:rPr>
          <w:rFonts w:ascii="Times New Roman" w:hAnsi="Times New Roman"/>
          <w:color w:val="000000" w:themeColor="text1"/>
          <w:szCs w:val="20"/>
        </w:rPr>
      </w:pPr>
      <w:r w:rsidRPr="008302CD">
        <w:rPr>
          <w:rFonts w:ascii="Times New Roman" w:hAnsi="Times New Roman"/>
          <w:b/>
          <w:color w:val="000000" w:themeColor="text1"/>
          <w:szCs w:val="20"/>
        </w:rPr>
        <w:t>6.</w:t>
      </w:r>
      <w:r w:rsidRPr="008302CD">
        <w:rPr>
          <w:rFonts w:ascii="Times New Roman" w:hAnsi="Times New Roman"/>
          <w:color w:val="000000" w:themeColor="text1"/>
          <w:szCs w:val="20"/>
        </w:rPr>
        <w:t xml:space="preserve"> VanGuilder HD, Bixler GV, Brucklacher RM, Farley JA, Yan H, Warrington JP et al. Concurrent hippocampal induction of MHC II pathway components and glial activation with advanced aging is not correlated with cognitive impairment. Journal of neuroinflammation 2011; 8: 138.</w:t>
      </w:r>
    </w:p>
    <w:sectPr w:rsidR="008302CD" w:rsidRPr="008302CD" w:rsidSect="00147B26">
      <w:footerReference w:type="even" r:id="rId9"/>
      <w:footerReference w:type="default" r:id="rId10"/>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7B8" w:rsidRDefault="00C717B8">
      <w:r>
        <w:separator/>
      </w:r>
    </w:p>
  </w:endnote>
  <w:endnote w:type="continuationSeparator" w:id="0">
    <w:p w:rsidR="00C717B8" w:rsidRDefault="00C717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WarnockPro-Regular">
    <w:altName w:val="MS Mincho"/>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AdvTT5843c571">
    <w:altName w:val="Arial Unicode MS"/>
    <w:panose1 w:val="00000000000000000000"/>
    <w:charset w:val="81"/>
    <w:family w:val="auto"/>
    <w:notTrueType/>
    <w:pitch w:val="default"/>
    <w:sig w:usb0="00000001" w:usb1="09060000" w:usb2="00000010" w:usb3="00000000" w:csb0="00080000" w:csb1="00000000"/>
  </w:font>
  <w:font w:name="UtopiaStd-Regular">
    <w:altName w:val="Arial Unicode MS"/>
    <w:panose1 w:val="00000000000000000000"/>
    <w:charset w:val="81"/>
    <w:family w:val="roman"/>
    <w:notTrueType/>
    <w:pitch w:val="default"/>
    <w:sig w:usb0="00000001" w:usb1="09060000" w:usb2="00000010" w:usb3="00000000" w:csb0="00080000" w:csb1="00000000"/>
  </w:font>
  <w:font w:name="AdvGulliv-R">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29" w:rsidRDefault="0018549F" w:rsidP="006A7CFE">
    <w:pPr>
      <w:pStyle w:val="Footer"/>
      <w:framePr w:wrap="around" w:vAnchor="text" w:hAnchor="margin" w:xAlign="right" w:y="1"/>
      <w:rPr>
        <w:rStyle w:val="PageNumber"/>
      </w:rPr>
    </w:pPr>
    <w:r>
      <w:rPr>
        <w:rStyle w:val="PageNumber"/>
      </w:rPr>
      <w:fldChar w:fldCharType="begin"/>
    </w:r>
    <w:r w:rsidR="00136FFB">
      <w:rPr>
        <w:rStyle w:val="PageNumber"/>
      </w:rPr>
      <w:instrText xml:space="preserve">PAGE  </w:instrText>
    </w:r>
    <w:r>
      <w:rPr>
        <w:rStyle w:val="PageNumber"/>
      </w:rPr>
      <w:fldChar w:fldCharType="end"/>
    </w:r>
  </w:p>
  <w:p w:rsidR="00BE5B29" w:rsidRDefault="001C3637" w:rsidP="00A424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29" w:rsidRDefault="0018549F" w:rsidP="006A7CFE">
    <w:pPr>
      <w:pStyle w:val="Footer"/>
      <w:framePr w:wrap="around" w:vAnchor="text" w:hAnchor="margin" w:xAlign="right" w:y="1"/>
      <w:rPr>
        <w:rStyle w:val="PageNumber"/>
      </w:rPr>
    </w:pPr>
    <w:r>
      <w:rPr>
        <w:rStyle w:val="PageNumber"/>
      </w:rPr>
      <w:fldChar w:fldCharType="begin"/>
    </w:r>
    <w:r w:rsidR="00136FFB">
      <w:rPr>
        <w:rStyle w:val="PageNumber"/>
      </w:rPr>
      <w:instrText xml:space="preserve">PAGE  </w:instrText>
    </w:r>
    <w:r>
      <w:rPr>
        <w:rStyle w:val="PageNumber"/>
      </w:rPr>
      <w:fldChar w:fldCharType="separate"/>
    </w:r>
    <w:r w:rsidR="001C3637">
      <w:rPr>
        <w:rStyle w:val="PageNumber"/>
        <w:noProof/>
      </w:rPr>
      <w:t>1</w:t>
    </w:r>
    <w:r>
      <w:rPr>
        <w:rStyle w:val="PageNumber"/>
      </w:rPr>
      <w:fldChar w:fldCharType="end"/>
    </w:r>
  </w:p>
  <w:p w:rsidR="00BE5B29" w:rsidRDefault="001C3637" w:rsidP="00A424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7B8" w:rsidRDefault="00C717B8">
      <w:r>
        <w:separator/>
      </w:r>
    </w:p>
  </w:footnote>
  <w:footnote w:type="continuationSeparator" w:id="0">
    <w:p w:rsidR="00C717B8" w:rsidRDefault="00C717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43C1E"/>
    <w:multiLevelType w:val="hybridMultilevel"/>
    <w:tmpl w:val="9A4265B4"/>
    <w:lvl w:ilvl="0" w:tplc="321E0DEC">
      <w:start w:val="1"/>
      <w:numFmt w:val="decimal"/>
      <w:lvlText w:val="%1."/>
      <w:lvlJc w:val="left"/>
      <w:pPr>
        <w:ind w:left="760" w:hanging="360"/>
      </w:pPr>
      <w:rPr>
        <w:rFonts w:hint="default"/>
        <w:b/>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36FFB"/>
    <w:rsid w:val="00136FFB"/>
    <w:rsid w:val="0018549F"/>
    <w:rsid w:val="001C3637"/>
    <w:rsid w:val="003B711E"/>
    <w:rsid w:val="00655229"/>
    <w:rsid w:val="00795371"/>
    <w:rsid w:val="008302CD"/>
    <w:rsid w:val="00A076CC"/>
    <w:rsid w:val="00C717B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FFB"/>
    <w:pPr>
      <w:widowControl w:val="0"/>
      <w:wordWrap w:val="0"/>
      <w:autoSpaceDE w:val="0"/>
      <w:autoSpaceDN w:val="0"/>
      <w:jc w:val="both"/>
    </w:pPr>
    <w:rPr>
      <w:rFonts w:ascii="Malgun Gothic" w:eastAsia="Malgun Gothic"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136FFB"/>
    <w:rPr>
      <w:rFonts w:cs="Times New Roman"/>
      <w:color w:val="0000FF"/>
      <w:u w:val="single"/>
    </w:rPr>
  </w:style>
  <w:style w:type="paragraph" w:styleId="Footer">
    <w:name w:val="footer"/>
    <w:basedOn w:val="Normal"/>
    <w:link w:val="FooterChar"/>
    <w:uiPriority w:val="99"/>
    <w:rsid w:val="00136FFB"/>
    <w:pPr>
      <w:tabs>
        <w:tab w:val="center" w:pos="4252"/>
        <w:tab w:val="right" w:pos="8504"/>
      </w:tabs>
      <w:snapToGrid w:val="0"/>
    </w:pPr>
    <w:rPr>
      <w:kern w:val="0"/>
      <w:szCs w:val="20"/>
    </w:rPr>
  </w:style>
  <w:style w:type="character" w:customStyle="1" w:styleId="FooterChar">
    <w:name w:val="Footer Char"/>
    <w:basedOn w:val="DefaultParagraphFont"/>
    <w:link w:val="Footer"/>
    <w:uiPriority w:val="99"/>
    <w:rsid w:val="00136FFB"/>
    <w:rPr>
      <w:rFonts w:ascii="Malgun Gothic" w:eastAsia="Malgun Gothic" w:hAnsi="Malgun Gothic" w:cs="Times New Roman"/>
      <w:kern w:val="0"/>
      <w:szCs w:val="20"/>
    </w:rPr>
  </w:style>
  <w:style w:type="character" w:styleId="Emphasis">
    <w:name w:val="Emphasis"/>
    <w:basedOn w:val="DefaultParagraphFont"/>
    <w:uiPriority w:val="99"/>
    <w:qFormat/>
    <w:rsid w:val="00136FFB"/>
    <w:rPr>
      <w:rFonts w:cs="Times New Roman"/>
      <w:i/>
    </w:rPr>
  </w:style>
  <w:style w:type="paragraph" w:styleId="NormalWeb">
    <w:name w:val="Normal (Web)"/>
    <w:basedOn w:val="Normal"/>
    <w:uiPriority w:val="99"/>
    <w:rsid w:val="00136FFB"/>
    <w:pPr>
      <w:widowControl/>
      <w:wordWrap/>
      <w:autoSpaceDE/>
      <w:autoSpaceDN/>
      <w:spacing w:after="432"/>
      <w:jc w:val="left"/>
    </w:pPr>
    <w:rPr>
      <w:rFonts w:ascii="Gulim" w:eastAsia="Gulim" w:hAnsi="Gulim" w:cs="Gulim"/>
      <w:kern w:val="0"/>
      <w:sz w:val="24"/>
      <w:szCs w:val="24"/>
    </w:rPr>
  </w:style>
  <w:style w:type="paragraph" w:customStyle="1" w:styleId="norm13">
    <w:name w:val="norm13"/>
    <w:basedOn w:val="Normal"/>
    <w:uiPriority w:val="99"/>
    <w:rsid w:val="00136FFB"/>
    <w:pPr>
      <w:widowControl/>
      <w:wordWrap/>
      <w:autoSpaceDE/>
      <w:autoSpaceDN/>
      <w:spacing w:before="240" w:after="240"/>
      <w:jc w:val="left"/>
    </w:pPr>
    <w:rPr>
      <w:rFonts w:ascii="Gulim" w:eastAsia="Gulim" w:hAnsi="Gulim" w:cs="Gulim"/>
      <w:kern w:val="0"/>
      <w:sz w:val="22"/>
      <w:lang w:bidi="th-TH"/>
    </w:rPr>
  </w:style>
  <w:style w:type="character" w:customStyle="1" w:styleId="st1">
    <w:name w:val="st1"/>
    <w:uiPriority w:val="99"/>
    <w:rsid w:val="00136FFB"/>
  </w:style>
  <w:style w:type="character" w:styleId="PageNumber">
    <w:name w:val="page number"/>
    <w:basedOn w:val="DefaultParagraphFont"/>
    <w:uiPriority w:val="99"/>
    <w:rsid w:val="00136FFB"/>
    <w:rPr>
      <w:rFonts w:cs="Times New Roman"/>
    </w:rPr>
  </w:style>
  <w:style w:type="character" w:customStyle="1" w:styleId="CharChar2">
    <w:name w:val="Char Char2"/>
    <w:uiPriority w:val="99"/>
    <w:rsid w:val="00136FFB"/>
    <w:rPr>
      <w:rFonts w:ascii="Gulim" w:eastAsia="Gulim" w:hAnsi="Gulim"/>
      <w:b/>
      <w:kern w:val="36"/>
      <w:sz w:val="48"/>
    </w:rPr>
  </w:style>
  <w:style w:type="paragraph" w:styleId="Header">
    <w:name w:val="header"/>
    <w:basedOn w:val="Normal"/>
    <w:link w:val="HeaderChar"/>
    <w:uiPriority w:val="99"/>
    <w:unhideWhenUsed/>
    <w:rsid w:val="003B711E"/>
    <w:pPr>
      <w:tabs>
        <w:tab w:val="center" w:pos="4513"/>
        <w:tab w:val="right" w:pos="9026"/>
      </w:tabs>
      <w:snapToGrid w:val="0"/>
    </w:pPr>
  </w:style>
  <w:style w:type="character" w:customStyle="1" w:styleId="HeaderChar">
    <w:name w:val="Header Char"/>
    <w:basedOn w:val="DefaultParagraphFont"/>
    <w:link w:val="Header"/>
    <w:uiPriority w:val="99"/>
    <w:rsid w:val="003B711E"/>
    <w:rPr>
      <w:rFonts w:ascii="Malgun Gothic" w:eastAsia="Malgun Gothic" w:hAnsi="Malgun Gothic" w:cs="Times New Roman"/>
    </w:rPr>
  </w:style>
  <w:style w:type="paragraph" w:customStyle="1" w:styleId="title1">
    <w:name w:val="title1"/>
    <w:basedOn w:val="Normal"/>
    <w:rsid w:val="003B711E"/>
    <w:pPr>
      <w:widowControl/>
      <w:wordWrap/>
      <w:autoSpaceDE/>
      <w:autoSpaceDN/>
      <w:jc w:val="left"/>
    </w:pPr>
    <w:rPr>
      <w:rFonts w:ascii="Gulim" w:eastAsia="Gulim" w:hAnsi="Gulim" w:cs="Gulim"/>
      <w:kern w:val="0"/>
      <w:sz w:val="27"/>
      <w:szCs w:val="27"/>
    </w:rPr>
  </w:style>
  <w:style w:type="paragraph" w:customStyle="1" w:styleId="desc2">
    <w:name w:val="desc2"/>
    <w:basedOn w:val="Normal"/>
    <w:rsid w:val="003B711E"/>
    <w:pPr>
      <w:widowControl/>
      <w:wordWrap/>
      <w:autoSpaceDE/>
      <w:autoSpaceDN/>
      <w:jc w:val="left"/>
    </w:pPr>
    <w:rPr>
      <w:rFonts w:ascii="Gulim" w:eastAsia="Gulim" w:hAnsi="Gulim" w:cs="Gulim"/>
      <w:kern w:val="0"/>
      <w:sz w:val="26"/>
      <w:szCs w:val="26"/>
    </w:rPr>
  </w:style>
  <w:style w:type="paragraph" w:customStyle="1" w:styleId="details1">
    <w:name w:val="details1"/>
    <w:basedOn w:val="Normal"/>
    <w:rsid w:val="003B711E"/>
    <w:pPr>
      <w:widowControl/>
      <w:wordWrap/>
      <w:autoSpaceDE/>
      <w:autoSpaceDN/>
      <w:jc w:val="left"/>
    </w:pPr>
    <w:rPr>
      <w:rFonts w:ascii="Gulim" w:eastAsia="Gulim" w:hAnsi="Gulim" w:cs="Gulim"/>
      <w:kern w:val="0"/>
      <w:sz w:val="22"/>
    </w:rPr>
  </w:style>
  <w:style w:type="character" w:customStyle="1" w:styleId="jrnl">
    <w:name w:val="jrnl"/>
    <w:basedOn w:val="DefaultParagraphFont"/>
    <w:rsid w:val="003B71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9333387">
      <w:bodyDiv w:val="1"/>
      <w:marLeft w:val="0"/>
      <w:marRight w:val="0"/>
      <w:marTop w:val="0"/>
      <w:marBottom w:val="0"/>
      <w:divBdr>
        <w:top w:val="none" w:sz="0" w:space="0" w:color="auto"/>
        <w:left w:val="none" w:sz="0" w:space="0" w:color="auto"/>
        <w:bottom w:val="none" w:sz="0" w:space="0" w:color="auto"/>
        <w:right w:val="none" w:sz="0" w:space="0" w:color="auto"/>
      </w:divBdr>
      <w:divsChild>
        <w:div w:id="424418998">
          <w:marLeft w:val="0"/>
          <w:marRight w:val="1"/>
          <w:marTop w:val="0"/>
          <w:marBottom w:val="0"/>
          <w:divBdr>
            <w:top w:val="none" w:sz="0" w:space="0" w:color="auto"/>
            <w:left w:val="none" w:sz="0" w:space="0" w:color="auto"/>
            <w:bottom w:val="none" w:sz="0" w:space="0" w:color="auto"/>
            <w:right w:val="none" w:sz="0" w:space="0" w:color="auto"/>
          </w:divBdr>
          <w:divsChild>
            <w:div w:id="475608729">
              <w:marLeft w:val="0"/>
              <w:marRight w:val="0"/>
              <w:marTop w:val="0"/>
              <w:marBottom w:val="0"/>
              <w:divBdr>
                <w:top w:val="none" w:sz="0" w:space="0" w:color="auto"/>
                <w:left w:val="none" w:sz="0" w:space="0" w:color="auto"/>
                <w:bottom w:val="none" w:sz="0" w:space="0" w:color="auto"/>
                <w:right w:val="none" w:sz="0" w:space="0" w:color="auto"/>
              </w:divBdr>
              <w:divsChild>
                <w:div w:id="2036543045">
                  <w:marLeft w:val="0"/>
                  <w:marRight w:val="1"/>
                  <w:marTop w:val="0"/>
                  <w:marBottom w:val="0"/>
                  <w:divBdr>
                    <w:top w:val="none" w:sz="0" w:space="0" w:color="auto"/>
                    <w:left w:val="none" w:sz="0" w:space="0" w:color="auto"/>
                    <w:bottom w:val="none" w:sz="0" w:space="0" w:color="auto"/>
                    <w:right w:val="none" w:sz="0" w:space="0" w:color="auto"/>
                  </w:divBdr>
                  <w:divsChild>
                    <w:div w:id="1118331033">
                      <w:marLeft w:val="0"/>
                      <w:marRight w:val="0"/>
                      <w:marTop w:val="0"/>
                      <w:marBottom w:val="0"/>
                      <w:divBdr>
                        <w:top w:val="none" w:sz="0" w:space="0" w:color="auto"/>
                        <w:left w:val="none" w:sz="0" w:space="0" w:color="auto"/>
                        <w:bottom w:val="none" w:sz="0" w:space="0" w:color="auto"/>
                        <w:right w:val="none" w:sz="0" w:space="0" w:color="auto"/>
                      </w:divBdr>
                      <w:divsChild>
                        <w:div w:id="1904245070">
                          <w:marLeft w:val="0"/>
                          <w:marRight w:val="0"/>
                          <w:marTop w:val="0"/>
                          <w:marBottom w:val="0"/>
                          <w:divBdr>
                            <w:top w:val="none" w:sz="0" w:space="0" w:color="auto"/>
                            <w:left w:val="none" w:sz="0" w:space="0" w:color="auto"/>
                            <w:bottom w:val="none" w:sz="0" w:space="0" w:color="auto"/>
                            <w:right w:val="none" w:sz="0" w:space="0" w:color="auto"/>
                          </w:divBdr>
                          <w:divsChild>
                            <w:div w:id="590086684">
                              <w:marLeft w:val="0"/>
                              <w:marRight w:val="0"/>
                              <w:marTop w:val="120"/>
                              <w:marBottom w:val="360"/>
                              <w:divBdr>
                                <w:top w:val="none" w:sz="0" w:space="0" w:color="auto"/>
                                <w:left w:val="none" w:sz="0" w:space="0" w:color="auto"/>
                                <w:bottom w:val="none" w:sz="0" w:space="0" w:color="auto"/>
                                <w:right w:val="none" w:sz="0" w:space="0" w:color="auto"/>
                              </w:divBdr>
                              <w:divsChild>
                                <w:div w:id="1300839863">
                                  <w:marLeft w:val="420"/>
                                  <w:marRight w:val="0"/>
                                  <w:marTop w:val="0"/>
                                  <w:marBottom w:val="0"/>
                                  <w:divBdr>
                                    <w:top w:val="none" w:sz="0" w:space="0" w:color="auto"/>
                                    <w:left w:val="none" w:sz="0" w:space="0" w:color="auto"/>
                                    <w:bottom w:val="none" w:sz="0" w:space="0" w:color="auto"/>
                                    <w:right w:val="none" w:sz="0" w:space="0" w:color="auto"/>
                                  </w:divBdr>
                                  <w:divsChild>
                                    <w:div w:id="63282856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2727044"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rsbweb.nih.gov/i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1699</Words>
  <Characters>9685</Characters>
  <Application>Microsoft Office Word</Application>
  <DocSecurity>0</DocSecurity>
  <Lines>80</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lawid</cp:lastModifiedBy>
  <cp:revision>4</cp:revision>
  <dcterms:created xsi:type="dcterms:W3CDTF">2015-08-22T02:05:00Z</dcterms:created>
  <dcterms:modified xsi:type="dcterms:W3CDTF">2016-07-07T05:20:00Z</dcterms:modified>
</cp:coreProperties>
</file>