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901" w:rsidRPr="00EC75C3" w:rsidRDefault="00F12901" w:rsidP="00F12901">
      <w:pPr>
        <w:spacing w:line="360" w:lineRule="auto"/>
        <w:jc w:val="both"/>
        <w:rPr>
          <w:rFonts w:ascii="Times New Roman" w:hAnsi="Times New Roman" w:cs="Times New Roman"/>
          <w:b/>
          <w:sz w:val="24"/>
          <w:szCs w:val="24"/>
        </w:rPr>
      </w:pPr>
      <w:bookmarkStart w:id="0" w:name="OLE_LINK1"/>
      <w:bookmarkStart w:id="1" w:name="OLE_LINK2"/>
      <w:bookmarkStart w:id="2" w:name="OLE_LINK3"/>
      <w:r>
        <w:rPr>
          <w:rFonts w:ascii="Times New Roman" w:hAnsi="Times New Roman" w:cs="Times New Roman"/>
          <w:b/>
          <w:sz w:val="24"/>
          <w:szCs w:val="24"/>
        </w:rPr>
        <w:t>Identification and therapeutic modulation of a pro-inflammatory subset of disease-associated-microglia in Alzheimer’s disease</w:t>
      </w:r>
    </w:p>
    <w:bookmarkEnd w:id="0"/>
    <w:bookmarkEnd w:id="1"/>
    <w:bookmarkEnd w:id="2"/>
    <w:p w:rsidR="00F12901" w:rsidRPr="00A47226" w:rsidRDefault="00F12901" w:rsidP="00F12901">
      <w:pPr>
        <w:spacing w:line="360" w:lineRule="auto"/>
        <w:jc w:val="both"/>
        <w:rPr>
          <w:rFonts w:ascii="Times New Roman" w:hAnsi="Times New Roman" w:cs="Times New Roman"/>
          <w:sz w:val="24"/>
          <w:szCs w:val="24"/>
        </w:rPr>
      </w:pPr>
      <w:r w:rsidRPr="00A47226">
        <w:rPr>
          <w:rFonts w:ascii="Times New Roman" w:hAnsi="Times New Roman" w:cs="Times New Roman"/>
          <w:sz w:val="24"/>
          <w:szCs w:val="24"/>
        </w:rPr>
        <w:t>Srikant Rangaraju,*</w:t>
      </w:r>
      <w:r w:rsidRPr="00A47226">
        <w:rPr>
          <w:rFonts w:ascii="Times New Roman" w:hAnsi="Times New Roman" w:cs="Times New Roman"/>
          <w:sz w:val="24"/>
          <w:szCs w:val="24"/>
          <w:vertAlign w:val="superscript"/>
        </w:rPr>
        <w:t>1</w:t>
      </w:r>
      <w:r w:rsidRPr="00A47226">
        <w:rPr>
          <w:rFonts w:ascii="Times New Roman" w:hAnsi="Times New Roman" w:cs="Times New Roman"/>
          <w:sz w:val="24"/>
          <w:szCs w:val="24"/>
        </w:rPr>
        <w:t xml:space="preserve"> Eric B. Dammer,*</w:t>
      </w:r>
      <w:r w:rsidRPr="00A47226">
        <w:rPr>
          <w:rFonts w:ascii="Times New Roman" w:hAnsi="Times New Roman" w:cs="Times New Roman"/>
          <w:sz w:val="24"/>
          <w:szCs w:val="24"/>
          <w:vertAlign w:val="superscript"/>
        </w:rPr>
        <w:t>1</w:t>
      </w:r>
      <w:r w:rsidRPr="00A47226">
        <w:rPr>
          <w:rFonts w:ascii="Times New Roman" w:hAnsi="Times New Roman" w:cs="Times New Roman"/>
          <w:sz w:val="24"/>
          <w:szCs w:val="24"/>
        </w:rPr>
        <w:t xml:space="preserve"> Syed Ali Raza,</w:t>
      </w:r>
      <w:r w:rsidRPr="00A47226">
        <w:rPr>
          <w:rFonts w:ascii="Times New Roman" w:hAnsi="Times New Roman" w:cs="Times New Roman"/>
          <w:sz w:val="24"/>
          <w:szCs w:val="24"/>
          <w:vertAlign w:val="superscript"/>
        </w:rPr>
        <w:t>1</w:t>
      </w:r>
      <w:r w:rsidRPr="00A47226">
        <w:rPr>
          <w:rFonts w:ascii="Times New Roman" w:hAnsi="Times New Roman" w:cs="Times New Roman"/>
          <w:sz w:val="24"/>
          <w:szCs w:val="24"/>
        </w:rPr>
        <w:t xml:space="preserve"> Priyad</w:t>
      </w:r>
      <w:r>
        <w:rPr>
          <w:rFonts w:ascii="Times New Roman" w:hAnsi="Times New Roman" w:cs="Times New Roman"/>
          <w:sz w:val="24"/>
          <w:szCs w:val="24"/>
        </w:rPr>
        <w:t>h</w:t>
      </w:r>
      <w:r w:rsidRPr="00A47226">
        <w:rPr>
          <w:rFonts w:ascii="Times New Roman" w:hAnsi="Times New Roman" w:cs="Times New Roman"/>
          <w:sz w:val="24"/>
          <w:szCs w:val="24"/>
        </w:rPr>
        <w:t>arshi</w:t>
      </w:r>
      <w:r>
        <w:rPr>
          <w:rFonts w:ascii="Times New Roman" w:hAnsi="Times New Roman" w:cs="Times New Roman"/>
          <w:sz w:val="24"/>
          <w:szCs w:val="24"/>
        </w:rPr>
        <w:t>ni</w:t>
      </w:r>
      <w:r w:rsidRPr="00A47226">
        <w:rPr>
          <w:rFonts w:ascii="Times New Roman" w:hAnsi="Times New Roman" w:cs="Times New Roman"/>
          <w:sz w:val="24"/>
          <w:szCs w:val="24"/>
        </w:rPr>
        <w:t xml:space="preserve"> Rathakrishnan,</w:t>
      </w:r>
      <w:r w:rsidRPr="00A47226">
        <w:rPr>
          <w:rFonts w:ascii="Times New Roman" w:hAnsi="Times New Roman" w:cs="Times New Roman"/>
          <w:sz w:val="24"/>
          <w:szCs w:val="24"/>
          <w:vertAlign w:val="superscript"/>
        </w:rPr>
        <w:t>1</w:t>
      </w:r>
      <w:r w:rsidRPr="00A47226">
        <w:rPr>
          <w:rFonts w:ascii="Times New Roman" w:hAnsi="Times New Roman" w:cs="Times New Roman"/>
          <w:sz w:val="24"/>
          <w:szCs w:val="24"/>
        </w:rPr>
        <w:t xml:space="preserve"> Hailian Xiao,</w:t>
      </w:r>
      <w:r w:rsidRPr="00A47226">
        <w:rPr>
          <w:rFonts w:ascii="Times New Roman" w:hAnsi="Times New Roman" w:cs="Times New Roman"/>
          <w:sz w:val="24"/>
          <w:szCs w:val="24"/>
          <w:vertAlign w:val="superscript"/>
        </w:rPr>
        <w:t>1</w:t>
      </w:r>
      <w:r w:rsidRPr="00A47226">
        <w:rPr>
          <w:rFonts w:ascii="Times New Roman" w:hAnsi="Times New Roman" w:cs="Times New Roman"/>
          <w:sz w:val="24"/>
          <w:szCs w:val="24"/>
        </w:rPr>
        <w:t xml:space="preserve"> </w:t>
      </w:r>
      <w:r>
        <w:rPr>
          <w:rFonts w:ascii="Times New Roman" w:hAnsi="Times New Roman" w:cs="Times New Roman"/>
          <w:sz w:val="24"/>
          <w:szCs w:val="24"/>
        </w:rPr>
        <w:t>Tianwen Gao,</w:t>
      </w:r>
      <w:r w:rsidRPr="00035C9E">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A47226">
        <w:rPr>
          <w:rFonts w:ascii="Times New Roman" w:hAnsi="Times New Roman" w:cs="Times New Roman"/>
          <w:sz w:val="24"/>
          <w:szCs w:val="24"/>
        </w:rPr>
        <w:t>Duc Duong,</w:t>
      </w:r>
      <w:r w:rsidRPr="00A47226">
        <w:rPr>
          <w:rFonts w:ascii="Times New Roman" w:hAnsi="Times New Roman" w:cs="Times New Roman"/>
          <w:sz w:val="24"/>
          <w:szCs w:val="24"/>
          <w:vertAlign w:val="superscript"/>
        </w:rPr>
        <w:t>2</w:t>
      </w:r>
      <w:r w:rsidRPr="00A47226">
        <w:rPr>
          <w:rFonts w:ascii="Times New Roman" w:hAnsi="Times New Roman" w:cs="Times New Roman"/>
          <w:sz w:val="24"/>
          <w:szCs w:val="24"/>
        </w:rPr>
        <w:t xml:space="preserve"> Michael W. Pennington,</w:t>
      </w:r>
      <w:r w:rsidRPr="00A47226">
        <w:rPr>
          <w:rFonts w:ascii="Times New Roman" w:hAnsi="Times New Roman" w:cs="Times New Roman"/>
          <w:sz w:val="24"/>
          <w:szCs w:val="24"/>
          <w:vertAlign w:val="superscript"/>
        </w:rPr>
        <w:t>3</w:t>
      </w:r>
      <w:r w:rsidRPr="00A47226">
        <w:rPr>
          <w:rFonts w:ascii="Times New Roman" w:hAnsi="Times New Roman" w:cs="Times New Roman"/>
          <w:sz w:val="24"/>
          <w:szCs w:val="24"/>
        </w:rPr>
        <w:t xml:space="preserve"> James J. Lah,</w:t>
      </w:r>
      <w:r w:rsidRPr="00A47226">
        <w:rPr>
          <w:rFonts w:ascii="Times New Roman" w:hAnsi="Times New Roman" w:cs="Times New Roman"/>
          <w:sz w:val="24"/>
          <w:szCs w:val="24"/>
          <w:vertAlign w:val="superscript"/>
        </w:rPr>
        <w:t>1</w:t>
      </w:r>
      <w:r w:rsidRPr="00A47226">
        <w:rPr>
          <w:rFonts w:ascii="Times New Roman" w:hAnsi="Times New Roman" w:cs="Times New Roman"/>
          <w:sz w:val="24"/>
          <w:szCs w:val="24"/>
        </w:rPr>
        <w:t xml:space="preserve"> Nicholas T. Seyfried,</w:t>
      </w:r>
      <w:r w:rsidRPr="00A47226">
        <w:rPr>
          <w:rFonts w:ascii="Times New Roman" w:hAnsi="Times New Roman" w:cs="Times New Roman"/>
          <w:sz w:val="24"/>
          <w:szCs w:val="24"/>
          <w:vertAlign w:val="superscript"/>
        </w:rPr>
        <w:t>2</w:t>
      </w:r>
      <w:r w:rsidRPr="00A47226">
        <w:rPr>
          <w:rFonts w:ascii="Times New Roman" w:hAnsi="Times New Roman" w:cs="Times New Roman"/>
          <w:sz w:val="24"/>
          <w:szCs w:val="24"/>
        </w:rPr>
        <w:t xml:space="preserve"> Allan I. Levey</w:t>
      </w:r>
      <w:r w:rsidRPr="00A47226">
        <w:rPr>
          <w:rFonts w:ascii="Times New Roman" w:hAnsi="Times New Roman" w:cs="Times New Roman"/>
          <w:sz w:val="24"/>
          <w:szCs w:val="24"/>
          <w:vertAlign w:val="superscript"/>
        </w:rPr>
        <w:t>1</w:t>
      </w:r>
    </w:p>
    <w:p w:rsidR="00F12901" w:rsidRPr="00A47226" w:rsidRDefault="00F12901" w:rsidP="00F12901">
      <w:pPr>
        <w:spacing w:line="360" w:lineRule="auto"/>
        <w:jc w:val="both"/>
        <w:rPr>
          <w:rFonts w:ascii="Times New Roman" w:hAnsi="Times New Roman" w:cs="Times New Roman"/>
          <w:sz w:val="24"/>
          <w:szCs w:val="24"/>
        </w:rPr>
      </w:pPr>
      <w:r w:rsidRPr="00A47226">
        <w:rPr>
          <w:rFonts w:ascii="Times New Roman" w:hAnsi="Times New Roman" w:cs="Times New Roman"/>
          <w:sz w:val="24"/>
          <w:szCs w:val="24"/>
        </w:rPr>
        <w:t>*Co-first authors</w:t>
      </w:r>
    </w:p>
    <w:p w:rsidR="00F12901" w:rsidRPr="00A47226" w:rsidRDefault="00F12901" w:rsidP="00F12901">
      <w:pPr>
        <w:spacing w:line="360" w:lineRule="auto"/>
        <w:jc w:val="both"/>
        <w:rPr>
          <w:rFonts w:ascii="Times New Roman" w:hAnsi="Times New Roman" w:cs="Times New Roman"/>
          <w:sz w:val="24"/>
          <w:szCs w:val="24"/>
        </w:rPr>
      </w:pPr>
      <w:r w:rsidRPr="00A47226">
        <w:rPr>
          <w:rFonts w:ascii="Times New Roman" w:hAnsi="Times New Roman" w:cs="Times New Roman"/>
          <w:sz w:val="24"/>
          <w:szCs w:val="24"/>
          <w:vertAlign w:val="superscript"/>
        </w:rPr>
        <w:t>1</w:t>
      </w:r>
      <w:r w:rsidRPr="00A47226">
        <w:rPr>
          <w:rFonts w:ascii="Times New Roman" w:hAnsi="Times New Roman" w:cs="Times New Roman"/>
          <w:sz w:val="24"/>
          <w:szCs w:val="24"/>
        </w:rPr>
        <w:t xml:space="preserve"> Department of Neurology, Emory University, Atlanta, GA USA.</w:t>
      </w:r>
    </w:p>
    <w:p w:rsidR="00F12901" w:rsidRPr="00A47226" w:rsidRDefault="00F12901" w:rsidP="00F12901">
      <w:pPr>
        <w:spacing w:line="360" w:lineRule="auto"/>
        <w:jc w:val="both"/>
        <w:rPr>
          <w:rFonts w:ascii="Times New Roman" w:hAnsi="Times New Roman" w:cs="Times New Roman"/>
          <w:sz w:val="24"/>
          <w:szCs w:val="24"/>
        </w:rPr>
      </w:pPr>
      <w:r w:rsidRPr="00A47226">
        <w:rPr>
          <w:rFonts w:ascii="Times New Roman" w:hAnsi="Times New Roman" w:cs="Times New Roman"/>
          <w:sz w:val="24"/>
          <w:szCs w:val="24"/>
          <w:vertAlign w:val="superscript"/>
        </w:rPr>
        <w:t>2</w:t>
      </w:r>
      <w:r w:rsidRPr="00A47226">
        <w:rPr>
          <w:rFonts w:ascii="Times New Roman" w:hAnsi="Times New Roman" w:cs="Times New Roman"/>
          <w:sz w:val="24"/>
          <w:szCs w:val="24"/>
        </w:rPr>
        <w:t xml:space="preserve"> Department of Biochemistry, Emory University, Atlanta, GA USA</w:t>
      </w:r>
    </w:p>
    <w:p w:rsidR="00F12901" w:rsidRPr="00A47226" w:rsidRDefault="00F12901" w:rsidP="00F12901">
      <w:pPr>
        <w:spacing w:line="360" w:lineRule="auto"/>
        <w:jc w:val="both"/>
        <w:rPr>
          <w:rFonts w:ascii="Times New Roman" w:hAnsi="Times New Roman" w:cs="Times New Roman"/>
          <w:sz w:val="24"/>
          <w:szCs w:val="24"/>
        </w:rPr>
      </w:pPr>
      <w:r w:rsidRPr="00A47226">
        <w:rPr>
          <w:rFonts w:ascii="Times New Roman" w:hAnsi="Times New Roman" w:cs="Times New Roman"/>
          <w:sz w:val="24"/>
          <w:szCs w:val="24"/>
          <w:vertAlign w:val="superscript"/>
        </w:rPr>
        <w:t>3</w:t>
      </w:r>
      <w:r w:rsidRPr="00A47226">
        <w:rPr>
          <w:rFonts w:ascii="Times New Roman" w:hAnsi="Times New Roman" w:cs="Times New Roman"/>
          <w:sz w:val="24"/>
          <w:szCs w:val="24"/>
        </w:rPr>
        <w:t xml:space="preserve"> Peptides International, Louisville, K</w:t>
      </w:r>
      <w:r>
        <w:rPr>
          <w:rFonts w:ascii="Times New Roman" w:hAnsi="Times New Roman" w:cs="Times New Roman"/>
          <w:sz w:val="24"/>
          <w:szCs w:val="24"/>
        </w:rPr>
        <w:t>Y</w:t>
      </w:r>
      <w:r w:rsidRPr="00A47226">
        <w:rPr>
          <w:rFonts w:ascii="Times New Roman" w:hAnsi="Times New Roman" w:cs="Times New Roman"/>
          <w:sz w:val="24"/>
          <w:szCs w:val="24"/>
        </w:rPr>
        <w:t xml:space="preserve"> USA </w:t>
      </w:r>
    </w:p>
    <w:p w:rsidR="00F12901" w:rsidRPr="00A47226" w:rsidRDefault="00F12901" w:rsidP="00F12901">
      <w:pPr>
        <w:spacing w:line="360" w:lineRule="auto"/>
        <w:jc w:val="both"/>
        <w:rPr>
          <w:rFonts w:ascii="Times New Roman" w:hAnsi="Times New Roman" w:cs="Times New Roman"/>
          <w:sz w:val="24"/>
          <w:szCs w:val="24"/>
        </w:rPr>
      </w:pPr>
      <w:r w:rsidRPr="00A47226">
        <w:rPr>
          <w:rFonts w:ascii="Times New Roman" w:hAnsi="Times New Roman" w:cs="Times New Roman"/>
          <w:sz w:val="24"/>
          <w:szCs w:val="24"/>
        </w:rPr>
        <w:t>Corresponding author/Lead contact:</w:t>
      </w:r>
      <w:r>
        <w:rPr>
          <w:rFonts w:ascii="Times New Roman" w:hAnsi="Times New Roman" w:cs="Times New Roman"/>
          <w:sz w:val="24"/>
          <w:szCs w:val="24"/>
        </w:rPr>
        <w:t xml:space="preserve"> Srikant Rangaraju </w:t>
      </w:r>
      <w:hyperlink r:id="rId5" w:history="1">
        <w:r w:rsidRPr="007645A1">
          <w:rPr>
            <w:rStyle w:val="Hyperlink"/>
            <w:rFonts w:ascii="Times New Roman" w:hAnsi="Times New Roman" w:cs="Times New Roman"/>
            <w:sz w:val="24"/>
            <w:szCs w:val="24"/>
          </w:rPr>
          <w:t>srikant.rangaraju@emory.edu</w:t>
        </w:r>
      </w:hyperlink>
      <w:r w:rsidRPr="00A47226">
        <w:rPr>
          <w:rFonts w:ascii="Times New Roman" w:hAnsi="Times New Roman" w:cs="Times New Roman"/>
          <w:sz w:val="24"/>
          <w:szCs w:val="24"/>
        </w:rPr>
        <w:t xml:space="preserve"> </w:t>
      </w:r>
    </w:p>
    <w:p w:rsidR="00026174" w:rsidRPr="00106F04" w:rsidRDefault="00026174" w:rsidP="00106F04">
      <w:pPr>
        <w:spacing w:line="240" w:lineRule="auto"/>
        <w:jc w:val="both"/>
        <w:rPr>
          <w:rFonts w:ascii="Times New Roman" w:hAnsi="Times New Roman" w:cs="Times New Roman"/>
          <w:sz w:val="24"/>
        </w:rPr>
      </w:pPr>
    </w:p>
    <w:p w:rsidR="00026174" w:rsidRPr="00106F04" w:rsidRDefault="00A97F6D" w:rsidP="00106F04">
      <w:pPr>
        <w:spacing w:line="240" w:lineRule="auto"/>
        <w:jc w:val="both"/>
        <w:rPr>
          <w:rFonts w:ascii="Times New Roman" w:hAnsi="Times New Roman" w:cs="Times New Roman"/>
          <w:sz w:val="24"/>
        </w:rPr>
      </w:pPr>
      <w:r>
        <w:rPr>
          <w:rFonts w:ascii="Times New Roman" w:hAnsi="Times New Roman" w:cs="Times New Roman"/>
          <w:sz w:val="24"/>
        </w:rPr>
        <w:t>Supplemental Figures: 7</w:t>
      </w:r>
    </w:p>
    <w:p w:rsidR="00026174" w:rsidRDefault="00026174" w:rsidP="00106F04">
      <w:pPr>
        <w:spacing w:line="240" w:lineRule="auto"/>
        <w:jc w:val="both"/>
        <w:rPr>
          <w:rFonts w:ascii="Times New Roman" w:hAnsi="Times New Roman" w:cs="Times New Roman"/>
          <w:sz w:val="24"/>
        </w:rPr>
      </w:pPr>
      <w:r w:rsidRPr="00106F04">
        <w:rPr>
          <w:rFonts w:ascii="Times New Roman" w:hAnsi="Times New Roman" w:cs="Times New Roman"/>
          <w:sz w:val="24"/>
        </w:rPr>
        <w:t>Supplemental Tables</w:t>
      </w:r>
      <w:r w:rsidR="002A267D" w:rsidRPr="00106F04">
        <w:rPr>
          <w:rFonts w:ascii="Times New Roman" w:hAnsi="Times New Roman" w:cs="Times New Roman"/>
          <w:sz w:val="24"/>
        </w:rPr>
        <w:t xml:space="preserve"> </w:t>
      </w:r>
      <w:r w:rsidR="00773BC0" w:rsidRPr="00106F04">
        <w:rPr>
          <w:rFonts w:ascii="Times New Roman" w:hAnsi="Times New Roman" w:cs="Times New Roman"/>
          <w:sz w:val="24"/>
        </w:rPr>
        <w:t>(excel spreadsheets)</w:t>
      </w:r>
      <w:r w:rsidR="00B932CB">
        <w:rPr>
          <w:rFonts w:ascii="Times New Roman" w:hAnsi="Times New Roman" w:cs="Times New Roman"/>
          <w:sz w:val="24"/>
        </w:rPr>
        <w:t>:  7</w:t>
      </w:r>
    </w:p>
    <w:p w:rsidR="00B932CB" w:rsidRPr="00106F04" w:rsidRDefault="00B932CB" w:rsidP="00106F04">
      <w:pPr>
        <w:spacing w:line="240" w:lineRule="auto"/>
        <w:jc w:val="both"/>
        <w:rPr>
          <w:rFonts w:ascii="Times New Roman" w:hAnsi="Times New Roman" w:cs="Times New Roman"/>
          <w:sz w:val="24"/>
        </w:rPr>
      </w:pPr>
      <w:r>
        <w:rPr>
          <w:rFonts w:ascii="Times New Roman" w:hAnsi="Times New Roman" w:cs="Times New Roman"/>
          <w:sz w:val="24"/>
        </w:rPr>
        <w:t>Other supplemental items (interactive html files): 2</w:t>
      </w:r>
    </w:p>
    <w:p w:rsidR="00026174" w:rsidRPr="00106F04" w:rsidRDefault="00026174" w:rsidP="00106F04">
      <w:pPr>
        <w:spacing w:line="240" w:lineRule="auto"/>
        <w:jc w:val="both"/>
        <w:rPr>
          <w:rFonts w:ascii="Times New Roman" w:hAnsi="Times New Roman" w:cs="Times New Roman"/>
          <w:sz w:val="24"/>
        </w:rPr>
      </w:pPr>
      <w:r w:rsidRPr="00106F04">
        <w:rPr>
          <w:rFonts w:ascii="Times New Roman" w:hAnsi="Times New Roman" w:cs="Times New Roman"/>
          <w:sz w:val="24"/>
        </w:rPr>
        <w:br w:type="page"/>
      </w:r>
    </w:p>
    <w:p w:rsidR="00026174" w:rsidRPr="00106F04" w:rsidRDefault="00477F0B" w:rsidP="00106F04">
      <w:pPr>
        <w:spacing w:line="240" w:lineRule="auto"/>
        <w:jc w:val="both"/>
        <w:rPr>
          <w:rFonts w:ascii="Times New Roman" w:hAnsi="Times New Roman" w:cs="Times New Roman"/>
          <w:sz w:val="24"/>
        </w:rPr>
      </w:pPr>
      <w:r w:rsidRPr="00106F04">
        <w:rPr>
          <w:rFonts w:ascii="Times New Roman" w:hAnsi="Times New Roman" w:cs="Times New Roman"/>
          <w:noProof/>
          <w:sz w:val="24"/>
        </w:rPr>
        <w:lastRenderedPageBreak/>
        <w:drawing>
          <wp:inline distT="0" distB="0" distL="0" distR="0" wp14:anchorId="5EA0A939" wp14:editId="5488E9C4">
            <wp:extent cx="6060558" cy="540172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4715" cy="5405433"/>
                    </a:xfrm>
                    <a:prstGeom prst="rect">
                      <a:avLst/>
                    </a:prstGeom>
                    <a:noFill/>
                  </pic:spPr>
                </pic:pic>
              </a:graphicData>
            </a:graphic>
          </wp:inline>
        </w:drawing>
      </w:r>
    </w:p>
    <w:p w:rsidR="00C76911" w:rsidRPr="00106F04" w:rsidRDefault="00026174" w:rsidP="00106F04">
      <w:pPr>
        <w:spacing w:line="240" w:lineRule="auto"/>
        <w:jc w:val="both"/>
        <w:rPr>
          <w:rFonts w:ascii="Times New Roman" w:hAnsi="Times New Roman" w:cs="Times New Roman"/>
        </w:rPr>
      </w:pPr>
      <w:r w:rsidRPr="00106F04">
        <w:rPr>
          <w:rFonts w:ascii="Times New Roman" w:hAnsi="Times New Roman" w:cs="Times New Roman"/>
          <w:b/>
          <w:sz w:val="24"/>
        </w:rPr>
        <w:t>Figure S1</w:t>
      </w:r>
      <w:r w:rsidR="005F1BDB" w:rsidRPr="00106F04">
        <w:rPr>
          <w:rFonts w:ascii="Times New Roman" w:hAnsi="Times New Roman" w:cs="Times New Roman"/>
          <w:b/>
          <w:sz w:val="24"/>
        </w:rPr>
        <w:t>, Related to Figure 1</w:t>
      </w:r>
      <w:r w:rsidR="00C76911" w:rsidRPr="00106F04">
        <w:rPr>
          <w:rFonts w:ascii="Times New Roman" w:hAnsi="Times New Roman" w:cs="Times New Roman"/>
          <w:b/>
          <w:sz w:val="24"/>
        </w:rPr>
        <w:t>.</w:t>
      </w:r>
      <w:r w:rsidR="00C76911" w:rsidRPr="00106F04">
        <w:rPr>
          <w:rFonts w:ascii="Times New Roman" w:hAnsi="Times New Roman" w:cs="Times New Roman"/>
          <w:sz w:val="24"/>
        </w:rPr>
        <w:t xml:space="preserve"> </w:t>
      </w:r>
      <w:r w:rsidR="00477F0B" w:rsidRPr="00106F04">
        <w:rPr>
          <w:rFonts w:ascii="Times New Roman" w:hAnsi="Times New Roman" w:cs="Times New Roman"/>
          <w:b/>
          <w:sz w:val="24"/>
        </w:rPr>
        <w:t>Expression of</w:t>
      </w:r>
      <w:r w:rsidR="00D46A6C">
        <w:rPr>
          <w:rFonts w:ascii="Times New Roman" w:hAnsi="Times New Roman" w:cs="Times New Roman"/>
          <w:b/>
          <w:sz w:val="24"/>
        </w:rPr>
        <w:t xml:space="preserve"> m</w:t>
      </w:r>
      <w:r w:rsidR="00477F0B" w:rsidRPr="00106F04">
        <w:rPr>
          <w:rFonts w:ascii="Times New Roman" w:hAnsi="Times New Roman" w:cs="Times New Roman"/>
          <w:b/>
          <w:sz w:val="24"/>
        </w:rPr>
        <w:t>icroglial transcriptomic modules identified by WGCNA.</w:t>
      </w:r>
      <w:r w:rsidR="00477F0B" w:rsidRPr="00106F04">
        <w:rPr>
          <w:rFonts w:ascii="Times New Roman" w:hAnsi="Times New Roman" w:cs="Times New Roman"/>
          <w:sz w:val="24"/>
        </w:rPr>
        <w:t xml:space="preserve"> Boxplots represent the eigengene expression (median and inter-quartile range) of each module across various traits in the microglial transcriptomic meta-analysis. Traits include </w:t>
      </w:r>
      <w:r w:rsidR="00477F0B" w:rsidRPr="00106F04">
        <w:rPr>
          <w:rFonts w:ascii="Times New Roman" w:hAnsi="Times New Roman" w:cs="Times New Roman"/>
          <w:i/>
          <w:sz w:val="24"/>
        </w:rPr>
        <w:t>in-vitro</w:t>
      </w:r>
      <w:r w:rsidR="00477F0B" w:rsidRPr="00106F04">
        <w:rPr>
          <w:rFonts w:ascii="Times New Roman" w:hAnsi="Times New Roman" w:cs="Times New Roman"/>
          <w:sz w:val="24"/>
        </w:rPr>
        <w:t xml:space="preserve"> (control, IL4 and LPS) and </w:t>
      </w:r>
      <w:r w:rsidR="00477F0B" w:rsidRPr="00106F04">
        <w:rPr>
          <w:rFonts w:ascii="Times New Roman" w:hAnsi="Times New Roman" w:cs="Times New Roman"/>
          <w:i/>
          <w:sz w:val="24"/>
        </w:rPr>
        <w:t>in-vivo</w:t>
      </w:r>
      <w:r w:rsidR="00477F0B" w:rsidRPr="00106F04">
        <w:rPr>
          <w:rFonts w:ascii="Times New Roman" w:hAnsi="Times New Roman" w:cs="Times New Roman"/>
          <w:sz w:val="24"/>
        </w:rPr>
        <w:t xml:space="preserve"> conditions (</w:t>
      </w:r>
      <w:r w:rsidR="009D0F00" w:rsidRPr="00106F04">
        <w:rPr>
          <w:rFonts w:ascii="Times New Roman" w:hAnsi="Times New Roman" w:cs="Times New Roman"/>
          <w:sz w:val="24"/>
        </w:rPr>
        <w:t>Affy</w:t>
      </w:r>
      <w:r w:rsidR="00C22077">
        <w:rPr>
          <w:rFonts w:ascii="Times New Roman" w:hAnsi="Times New Roman" w:cs="Times New Roman"/>
          <w:sz w:val="24"/>
        </w:rPr>
        <w:t>metrix array</w:t>
      </w:r>
      <w:r w:rsidR="009D0F00" w:rsidRPr="00106F04">
        <w:rPr>
          <w:rFonts w:ascii="Times New Roman" w:hAnsi="Times New Roman" w:cs="Times New Roman"/>
          <w:sz w:val="24"/>
        </w:rPr>
        <w:t xml:space="preserve">: </w:t>
      </w:r>
      <w:r w:rsidR="00477F0B" w:rsidRPr="00106F04">
        <w:rPr>
          <w:rFonts w:ascii="Times New Roman" w:hAnsi="Times New Roman" w:cs="Times New Roman"/>
          <w:sz w:val="24"/>
        </w:rPr>
        <w:t>WT, 5xFAD, Trem2-KO, 5</w:t>
      </w:r>
      <w:r w:rsidR="009D0F00" w:rsidRPr="00106F04">
        <w:rPr>
          <w:rFonts w:ascii="Times New Roman" w:hAnsi="Times New Roman" w:cs="Times New Roman"/>
          <w:sz w:val="24"/>
        </w:rPr>
        <w:t>xFAD-Trem2</w:t>
      </w:r>
      <w:r w:rsidR="00CF5319">
        <w:rPr>
          <w:rFonts w:ascii="Times New Roman" w:hAnsi="Times New Roman" w:cs="Times New Roman"/>
          <w:sz w:val="24"/>
        </w:rPr>
        <w:t>-</w:t>
      </w:r>
      <w:r w:rsidR="009D0F00" w:rsidRPr="00106F04">
        <w:rPr>
          <w:rFonts w:ascii="Times New Roman" w:hAnsi="Times New Roman" w:cs="Times New Roman"/>
          <w:sz w:val="24"/>
        </w:rPr>
        <w:t>KO; Agilent</w:t>
      </w:r>
      <w:r w:rsidR="00C22077">
        <w:rPr>
          <w:rFonts w:ascii="Times New Roman" w:hAnsi="Times New Roman" w:cs="Times New Roman"/>
          <w:sz w:val="24"/>
        </w:rPr>
        <w:t xml:space="preserve"> array</w:t>
      </w:r>
      <w:r w:rsidR="009D0F00" w:rsidRPr="00106F04">
        <w:rPr>
          <w:rFonts w:ascii="Times New Roman" w:hAnsi="Times New Roman" w:cs="Times New Roman"/>
          <w:sz w:val="24"/>
        </w:rPr>
        <w:t>: WT and</w:t>
      </w:r>
      <w:r w:rsidR="00477F0B" w:rsidRPr="00106F04">
        <w:rPr>
          <w:rFonts w:ascii="Times New Roman" w:hAnsi="Times New Roman" w:cs="Times New Roman"/>
          <w:sz w:val="24"/>
        </w:rPr>
        <w:t xml:space="preserve"> APP/PS1)</w:t>
      </w:r>
      <w:r w:rsidR="009D0F00" w:rsidRPr="00106F04">
        <w:rPr>
          <w:rFonts w:ascii="Times New Roman" w:hAnsi="Times New Roman" w:cs="Times New Roman"/>
          <w:sz w:val="24"/>
        </w:rPr>
        <w:t>.</w:t>
      </w:r>
    </w:p>
    <w:p w:rsidR="00026174" w:rsidRPr="00106F04" w:rsidRDefault="00026174" w:rsidP="00106F04">
      <w:pPr>
        <w:spacing w:line="240" w:lineRule="auto"/>
        <w:jc w:val="both"/>
        <w:rPr>
          <w:rFonts w:ascii="Times New Roman" w:hAnsi="Times New Roman" w:cs="Times New Roman"/>
          <w:sz w:val="24"/>
        </w:rPr>
      </w:pPr>
    </w:p>
    <w:p w:rsidR="00026174" w:rsidRPr="00106F04" w:rsidRDefault="00026174" w:rsidP="00106F04">
      <w:pPr>
        <w:spacing w:line="240" w:lineRule="auto"/>
        <w:jc w:val="both"/>
        <w:rPr>
          <w:rFonts w:ascii="Times New Roman" w:hAnsi="Times New Roman" w:cs="Times New Roman"/>
          <w:sz w:val="24"/>
        </w:rPr>
      </w:pPr>
      <w:r w:rsidRPr="00106F04">
        <w:rPr>
          <w:rFonts w:ascii="Times New Roman" w:hAnsi="Times New Roman" w:cs="Times New Roman"/>
          <w:sz w:val="24"/>
        </w:rPr>
        <w:br w:type="page"/>
      </w:r>
    </w:p>
    <w:p w:rsidR="00026174" w:rsidRPr="00106F04" w:rsidRDefault="00026174" w:rsidP="00106F04">
      <w:pPr>
        <w:spacing w:line="240" w:lineRule="auto"/>
        <w:jc w:val="both"/>
        <w:rPr>
          <w:rFonts w:ascii="Times New Roman" w:hAnsi="Times New Roman" w:cs="Times New Roman"/>
          <w:sz w:val="24"/>
        </w:rPr>
      </w:pPr>
      <w:r w:rsidRPr="00106F04">
        <w:rPr>
          <w:rFonts w:ascii="Times New Roman" w:hAnsi="Times New Roman" w:cs="Times New Roman"/>
          <w:noProof/>
          <w:sz w:val="24"/>
        </w:rPr>
        <w:lastRenderedPageBreak/>
        <w:drawing>
          <wp:inline distT="0" distB="0" distL="0" distR="0" wp14:anchorId="237CD9EC" wp14:editId="07C104C9">
            <wp:extent cx="6243606" cy="4518837"/>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49940" cy="4523421"/>
                    </a:xfrm>
                    <a:prstGeom prst="rect">
                      <a:avLst/>
                    </a:prstGeom>
                    <a:noFill/>
                  </pic:spPr>
                </pic:pic>
              </a:graphicData>
            </a:graphic>
          </wp:inline>
        </w:drawing>
      </w:r>
    </w:p>
    <w:p w:rsidR="0046787A" w:rsidRPr="00106F04" w:rsidRDefault="00026174" w:rsidP="00106F04">
      <w:pPr>
        <w:spacing w:line="240" w:lineRule="auto"/>
        <w:jc w:val="both"/>
        <w:rPr>
          <w:rFonts w:ascii="Times New Roman" w:hAnsi="Times New Roman" w:cs="Times New Roman"/>
          <w:sz w:val="24"/>
        </w:rPr>
      </w:pPr>
      <w:r w:rsidRPr="00106F04">
        <w:rPr>
          <w:rFonts w:ascii="Times New Roman" w:hAnsi="Times New Roman" w:cs="Times New Roman"/>
          <w:b/>
          <w:sz w:val="24"/>
        </w:rPr>
        <w:t>Figure S2</w:t>
      </w:r>
      <w:r w:rsidR="005F1BDB" w:rsidRPr="00106F04">
        <w:rPr>
          <w:rFonts w:ascii="Times New Roman" w:hAnsi="Times New Roman" w:cs="Times New Roman"/>
          <w:b/>
          <w:sz w:val="24"/>
        </w:rPr>
        <w:t>, related to Figure 1</w:t>
      </w:r>
      <w:r w:rsidR="0046787A" w:rsidRPr="00106F04">
        <w:rPr>
          <w:rFonts w:ascii="Times New Roman" w:hAnsi="Times New Roman" w:cs="Times New Roman"/>
          <w:b/>
          <w:sz w:val="24"/>
        </w:rPr>
        <w:t xml:space="preserve">. </w:t>
      </w:r>
      <w:r w:rsidR="006A0100" w:rsidRPr="00106F04">
        <w:rPr>
          <w:rFonts w:ascii="Times New Roman" w:hAnsi="Times New Roman" w:cs="Times New Roman"/>
          <w:b/>
          <w:sz w:val="24"/>
        </w:rPr>
        <w:t>Gene ontology analysis reveals distinct cellular localization and functional profiles of microglial networks in AD.</w:t>
      </w:r>
      <w:r w:rsidR="00D3111C" w:rsidRPr="00106F04">
        <w:rPr>
          <w:rFonts w:ascii="Times New Roman" w:hAnsi="Times New Roman" w:cs="Times New Roman"/>
          <w:b/>
          <w:sz w:val="24"/>
        </w:rPr>
        <w:t xml:space="preserve"> </w:t>
      </w:r>
      <w:r w:rsidR="0046787A" w:rsidRPr="00106F04">
        <w:rPr>
          <w:rFonts w:ascii="Times New Roman" w:hAnsi="Times New Roman" w:cs="Times New Roman"/>
          <w:sz w:val="24"/>
        </w:rPr>
        <w:t>Results from GO analyses using DAVID were imported into Cytoscape for illustration. Size of each circle represents number of genes within each GO term. Border color indicates module membership and fill color of each circle represents strength of significance of the GO term (red indicates adjusted p&lt;0.01 and grey indicates adjusted p&lt;0.05).</w:t>
      </w:r>
    </w:p>
    <w:p w:rsidR="000C4FA9" w:rsidRPr="00106F04" w:rsidRDefault="00026174" w:rsidP="00106F04">
      <w:pPr>
        <w:spacing w:line="240" w:lineRule="auto"/>
        <w:jc w:val="both"/>
        <w:rPr>
          <w:rFonts w:ascii="Times New Roman" w:hAnsi="Times New Roman" w:cs="Times New Roman"/>
          <w:sz w:val="24"/>
        </w:rPr>
      </w:pPr>
      <w:r w:rsidRPr="00106F04">
        <w:rPr>
          <w:rFonts w:ascii="Times New Roman" w:hAnsi="Times New Roman" w:cs="Times New Roman"/>
          <w:sz w:val="24"/>
        </w:rPr>
        <w:br w:type="page"/>
      </w:r>
      <w:r w:rsidR="000C4FA9" w:rsidRPr="00106F04">
        <w:rPr>
          <w:rFonts w:ascii="Times New Roman" w:hAnsi="Times New Roman" w:cs="Times New Roman"/>
          <w:noProof/>
          <w:sz w:val="24"/>
        </w:rPr>
        <w:lastRenderedPageBreak/>
        <w:drawing>
          <wp:inline distT="0" distB="0" distL="0" distR="0" wp14:anchorId="6CA73202" wp14:editId="65366026">
            <wp:extent cx="5815542" cy="4263656"/>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5387" cy="4270874"/>
                    </a:xfrm>
                    <a:prstGeom prst="rect">
                      <a:avLst/>
                    </a:prstGeom>
                    <a:noFill/>
                  </pic:spPr>
                </pic:pic>
              </a:graphicData>
            </a:graphic>
          </wp:inline>
        </w:drawing>
      </w:r>
    </w:p>
    <w:p w:rsidR="000C4FA9" w:rsidRPr="00106F04" w:rsidRDefault="000C4FA9" w:rsidP="00106F04">
      <w:pPr>
        <w:spacing w:line="240" w:lineRule="auto"/>
        <w:jc w:val="both"/>
        <w:rPr>
          <w:rFonts w:ascii="Times New Roman" w:hAnsi="Times New Roman" w:cs="Times New Roman"/>
        </w:rPr>
      </w:pPr>
      <w:r w:rsidRPr="00106F04">
        <w:rPr>
          <w:rFonts w:ascii="Times New Roman" w:hAnsi="Times New Roman" w:cs="Times New Roman"/>
          <w:b/>
          <w:sz w:val="24"/>
        </w:rPr>
        <w:t>Figure S3, Related to Figure 1. Identification of transcriptional regulators of AD-associated microglial modules.</w:t>
      </w:r>
      <w:r w:rsidRPr="00106F04">
        <w:rPr>
          <w:rFonts w:ascii="Times New Roman" w:hAnsi="Times New Roman" w:cs="Times New Roman"/>
          <w:sz w:val="24"/>
        </w:rPr>
        <w:t xml:space="preserve"> Genes specific to Blue, Midnightblue, Magenta and Yellow modules and genes with high membership to both Magenta and Yellow modules (dual members, N=35) were used for identification of upstream transcriptional regulators using Metacore. Z-score represents level of enrichment of genes (Z=1,96 indicates p&lt;0.05) downstream of a transcriptional regulator.</w:t>
      </w:r>
    </w:p>
    <w:p w:rsidR="00026174" w:rsidRPr="00106F04" w:rsidRDefault="00026174" w:rsidP="00106F04">
      <w:pPr>
        <w:spacing w:line="240" w:lineRule="auto"/>
        <w:jc w:val="both"/>
        <w:rPr>
          <w:rFonts w:ascii="Times New Roman" w:hAnsi="Times New Roman" w:cs="Times New Roman"/>
          <w:sz w:val="24"/>
        </w:rPr>
      </w:pPr>
    </w:p>
    <w:p w:rsidR="00026174" w:rsidRPr="00106F04" w:rsidRDefault="00026174" w:rsidP="00106F04">
      <w:pPr>
        <w:spacing w:line="240" w:lineRule="auto"/>
        <w:jc w:val="both"/>
        <w:rPr>
          <w:rFonts w:ascii="Times New Roman" w:hAnsi="Times New Roman" w:cs="Times New Roman"/>
          <w:sz w:val="24"/>
        </w:rPr>
      </w:pPr>
    </w:p>
    <w:p w:rsidR="00260E34" w:rsidRPr="00106F04" w:rsidRDefault="00260E34" w:rsidP="00106F04">
      <w:pPr>
        <w:spacing w:line="240" w:lineRule="auto"/>
        <w:jc w:val="both"/>
        <w:rPr>
          <w:rFonts w:ascii="Times New Roman" w:hAnsi="Times New Roman" w:cs="Times New Roman"/>
          <w:sz w:val="24"/>
        </w:rPr>
      </w:pPr>
    </w:p>
    <w:p w:rsidR="00260E34" w:rsidRPr="00106F04" w:rsidRDefault="00260E34" w:rsidP="00106F04">
      <w:pPr>
        <w:spacing w:line="240" w:lineRule="auto"/>
        <w:jc w:val="both"/>
        <w:rPr>
          <w:rFonts w:ascii="Times New Roman" w:hAnsi="Times New Roman" w:cs="Times New Roman"/>
          <w:sz w:val="24"/>
        </w:rPr>
      </w:pPr>
    </w:p>
    <w:p w:rsidR="00260E34" w:rsidRPr="00106F04" w:rsidRDefault="00260E34" w:rsidP="00106F04">
      <w:pPr>
        <w:spacing w:line="240" w:lineRule="auto"/>
        <w:jc w:val="both"/>
        <w:rPr>
          <w:rFonts w:ascii="Times New Roman" w:hAnsi="Times New Roman" w:cs="Times New Roman"/>
          <w:sz w:val="24"/>
        </w:rPr>
      </w:pPr>
    </w:p>
    <w:p w:rsidR="00260E34" w:rsidRPr="00106F04" w:rsidRDefault="00260E34" w:rsidP="00106F04">
      <w:pPr>
        <w:spacing w:line="240" w:lineRule="auto"/>
        <w:jc w:val="both"/>
        <w:rPr>
          <w:rFonts w:ascii="Times New Roman" w:hAnsi="Times New Roman" w:cs="Times New Roman"/>
          <w:sz w:val="24"/>
        </w:rPr>
      </w:pPr>
    </w:p>
    <w:p w:rsidR="00260E34" w:rsidRPr="00106F04" w:rsidRDefault="00260E34" w:rsidP="00106F04">
      <w:pPr>
        <w:spacing w:line="240" w:lineRule="auto"/>
        <w:jc w:val="both"/>
        <w:rPr>
          <w:rFonts w:ascii="Times New Roman" w:hAnsi="Times New Roman" w:cs="Times New Roman"/>
          <w:sz w:val="24"/>
        </w:rPr>
      </w:pPr>
    </w:p>
    <w:p w:rsidR="00260E34" w:rsidRPr="00651101" w:rsidRDefault="00260E34" w:rsidP="00106F04">
      <w:pPr>
        <w:spacing w:line="240" w:lineRule="auto"/>
        <w:jc w:val="both"/>
        <w:rPr>
          <w:rFonts w:ascii="Times New Roman" w:hAnsi="Times New Roman" w:cs="Times New Roman"/>
          <w:b/>
          <w:sz w:val="24"/>
        </w:rPr>
      </w:pPr>
      <w:r w:rsidRPr="00651101">
        <w:rPr>
          <w:rFonts w:ascii="Times New Roman" w:hAnsi="Times New Roman" w:cs="Times New Roman"/>
          <w:b/>
          <w:noProof/>
          <w:sz w:val="24"/>
        </w:rPr>
        <w:lastRenderedPageBreak/>
        <w:drawing>
          <wp:inline distT="0" distB="0" distL="0" distR="0" wp14:anchorId="5A8469B7">
            <wp:extent cx="5374257" cy="52799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3792" cy="5289304"/>
                    </a:xfrm>
                    <a:prstGeom prst="rect">
                      <a:avLst/>
                    </a:prstGeom>
                    <a:noFill/>
                  </pic:spPr>
                </pic:pic>
              </a:graphicData>
            </a:graphic>
          </wp:inline>
        </w:drawing>
      </w:r>
    </w:p>
    <w:p w:rsidR="00555BFC" w:rsidRDefault="000C4FA9" w:rsidP="00A212AD">
      <w:pPr>
        <w:spacing w:line="240" w:lineRule="auto"/>
        <w:jc w:val="both"/>
        <w:rPr>
          <w:rFonts w:ascii="Times New Roman" w:hAnsi="Times New Roman" w:cs="Times New Roman"/>
          <w:sz w:val="24"/>
        </w:rPr>
      </w:pPr>
      <w:r w:rsidRPr="00651101">
        <w:rPr>
          <w:rFonts w:ascii="Times New Roman" w:hAnsi="Times New Roman" w:cs="Times New Roman"/>
          <w:b/>
          <w:sz w:val="24"/>
        </w:rPr>
        <w:t>Figure S4</w:t>
      </w:r>
      <w:r w:rsidR="000E4F5D" w:rsidRPr="00651101">
        <w:rPr>
          <w:rFonts w:ascii="Times New Roman" w:hAnsi="Times New Roman" w:cs="Times New Roman"/>
          <w:b/>
          <w:sz w:val="24"/>
        </w:rPr>
        <w:t>, Related to Figure 2</w:t>
      </w:r>
      <w:r w:rsidR="00555BFC" w:rsidRPr="00651101">
        <w:rPr>
          <w:rFonts w:ascii="Times New Roman" w:hAnsi="Times New Roman" w:cs="Times New Roman"/>
          <w:b/>
          <w:sz w:val="24"/>
        </w:rPr>
        <w:t xml:space="preserve">. </w:t>
      </w:r>
      <w:r w:rsidR="001B5455" w:rsidRPr="00651101">
        <w:rPr>
          <w:rFonts w:ascii="Times New Roman" w:hAnsi="Times New Roman" w:cs="Times New Roman"/>
          <w:b/>
          <w:sz w:val="24"/>
        </w:rPr>
        <w:t>A transcriptomic landscape of micr</w:t>
      </w:r>
      <w:r w:rsidR="00A212AD" w:rsidRPr="00651101">
        <w:rPr>
          <w:rFonts w:ascii="Times New Roman" w:hAnsi="Times New Roman" w:cs="Times New Roman"/>
          <w:b/>
          <w:sz w:val="24"/>
        </w:rPr>
        <w:t xml:space="preserve">oglial activation states in AD. </w:t>
      </w:r>
      <w:r w:rsidR="00A212AD" w:rsidRPr="00651101">
        <w:rPr>
          <w:rFonts w:ascii="Times New Roman" w:hAnsi="Times New Roman" w:cs="Times New Roman"/>
          <w:sz w:val="24"/>
        </w:rPr>
        <w:t xml:space="preserve">(a) </w:t>
      </w:r>
      <w:r w:rsidR="001B5455" w:rsidRPr="00651101">
        <w:rPr>
          <w:rFonts w:ascii="Times New Roman" w:hAnsi="Times New Roman" w:cs="Times New Roman"/>
          <w:sz w:val="24"/>
        </w:rPr>
        <w:t>ViSNE 3D representation of 20 WGCNA-identified gene modules (each module is color coded). For this analysis, WGCNA module members with at least moderate module membership (Kme&gt;=0.65) were included. Three clear potential pathways of microglial activation from homeostatic (Blue) to AD-associated states (Magenta and Yellow) are visible in this representation: a pro-inflammatory pathway (lower band), an anti-inflammatory pathway (middle band) and a third potential pathway (upper band)</w:t>
      </w:r>
      <w:r w:rsidR="00A212AD" w:rsidRPr="00651101">
        <w:rPr>
          <w:rFonts w:ascii="Times New Roman" w:hAnsi="Times New Roman" w:cs="Times New Roman"/>
          <w:sz w:val="24"/>
        </w:rPr>
        <w:t xml:space="preserve">. (b) ViSNE 3D representation of DAM signature genes (red) and homeostatic signature genes (black) identified by single cell RNAseq by Keren Shaul et. al. (Cell, 2017) mapped onto the WGCNA-identified microglial co-expression modules. This shows that DAM genes mapped primarily to Magenta and Yellow modules while homeostatic genes mapped to Blue and Purple modules. (c) </w:t>
      </w:r>
      <w:r w:rsidR="00555BFC" w:rsidRPr="00651101">
        <w:rPr>
          <w:rFonts w:ascii="Times New Roman" w:hAnsi="Times New Roman" w:cs="Times New Roman"/>
          <w:sz w:val="24"/>
        </w:rPr>
        <w:t xml:space="preserve">DAM signature genes are highly enriched in the Yellow and Magenta modules while Homeostatic signature genes are highly enriched in Blue and Purple microglial modules. </w:t>
      </w:r>
      <w:r w:rsidR="0014208F" w:rsidRPr="00651101">
        <w:rPr>
          <w:rFonts w:ascii="Times New Roman" w:hAnsi="Times New Roman" w:cs="Times New Roman"/>
          <w:sz w:val="24"/>
        </w:rPr>
        <w:t>The distribution of g</w:t>
      </w:r>
      <w:r w:rsidR="00555BFC" w:rsidRPr="00651101">
        <w:rPr>
          <w:rFonts w:ascii="Times New Roman" w:hAnsi="Times New Roman" w:cs="Times New Roman"/>
          <w:sz w:val="24"/>
        </w:rPr>
        <w:t>enes identified by single cell RNAseq as being specific to homeostatic microglia or to DAM (Keren-Shaul, Cell 2017)</w:t>
      </w:r>
      <w:r w:rsidR="0014208F" w:rsidRPr="00651101">
        <w:rPr>
          <w:rFonts w:ascii="Times New Roman" w:hAnsi="Times New Roman" w:cs="Times New Roman"/>
          <w:sz w:val="24"/>
        </w:rPr>
        <w:t xml:space="preserve"> across microglial transcriptomic modules</w:t>
      </w:r>
      <w:r w:rsidR="00555BFC" w:rsidRPr="00651101">
        <w:rPr>
          <w:rFonts w:ascii="Times New Roman" w:hAnsi="Times New Roman" w:cs="Times New Roman"/>
          <w:sz w:val="24"/>
        </w:rPr>
        <w:t xml:space="preserve"> </w:t>
      </w:r>
      <w:r w:rsidR="0014208F" w:rsidRPr="00651101">
        <w:rPr>
          <w:rFonts w:ascii="Times New Roman" w:hAnsi="Times New Roman" w:cs="Times New Roman"/>
          <w:sz w:val="24"/>
        </w:rPr>
        <w:t xml:space="preserve">identified by </w:t>
      </w:r>
      <w:r w:rsidR="00555BFC" w:rsidRPr="00651101">
        <w:rPr>
          <w:rFonts w:ascii="Times New Roman" w:hAnsi="Times New Roman" w:cs="Times New Roman"/>
          <w:sz w:val="24"/>
        </w:rPr>
        <w:t xml:space="preserve">WGCNA </w:t>
      </w:r>
      <w:r w:rsidR="0014208F" w:rsidRPr="00651101">
        <w:rPr>
          <w:rFonts w:ascii="Times New Roman" w:hAnsi="Times New Roman" w:cs="Times New Roman"/>
          <w:sz w:val="24"/>
        </w:rPr>
        <w:t>is shown.</w:t>
      </w:r>
    </w:p>
    <w:p w:rsidR="00BB7A94" w:rsidRDefault="00BB7A94" w:rsidP="00A212AD">
      <w:pPr>
        <w:spacing w:line="240" w:lineRule="auto"/>
        <w:jc w:val="both"/>
        <w:rPr>
          <w:rFonts w:ascii="Times New Roman" w:hAnsi="Times New Roman" w:cs="Times New Roman"/>
          <w:sz w:val="24"/>
        </w:rPr>
      </w:pPr>
      <w:r w:rsidRPr="00106F04">
        <w:rPr>
          <w:rFonts w:ascii="Times New Roman" w:hAnsi="Times New Roman" w:cs="Times New Roman"/>
          <w:noProof/>
          <w:sz w:val="24"/>
        </w:rPr>
        <w:lastRenderedPageBreak/>
        <w:drawing>
          <wp:inline distT="0" distB="0" distL="0" distR="0" wp14:anchorId="450D8BBE" wp14:editId="33B6BF35">
            <wp:extent cx="5146158" cy="62690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2877" cy="6265079"/>
                    </a:xfrm>
                    <a:prstGeom prst="rect">
                      <a:avLst/>
                    </a:prstGeom>
                    <a:noFill/>
                  </pic:spPr>
                </pic:pic>
              </a:graphicData>
            </a:graphic>
          </wp:inline>
        </w:drawing>
      </w:r>
    </w:p>
    <w:p w:rsidR="00BB7A94" w:rsidRDefault="00BB7A94" w:rsidP="00A212AD">
      <w:pPr>
        <w:spacing w:line="240" w:lineRule="auto"/>
        <w:jc w:val="both"/>
        <w:rPr>
          <w:rFonts w:ascii="Times New Roman" w:hAnsi="Times New Roman" w:cs="Times New Roman"/>
          <w:sz w:val="24"/>
        </w:rPr>
      </w:pPr>
      <w:r w:rsidRPr="00106F04">
        <w:rPr>
          <w:rFonts w:ascii="Times New Roman" w:hAnsi="Times New Roman" w:cs="Times New Roman"/>
          <w:b/>
          <w:sz w:val="24"/>
        </w:rPr>
        <w:t>Figure S</w:t>
      </w:r>
      <w:r>
        <w:rPr>
          <w:rFonts w:ascii="Times New Roman" w:hAnsi="Times New Roman" w:cs="Times New Roman"/>
          <w:b/>
          <w:sz w:val="24"/>
        </w:rPr>
        <w:t>5</w:t>
      </w:r>
      <w:r w:rsidRPr="00106F04">
        <w:rPr>
          <w:rFonts w:ascii="Times New Roman" w:hAnsi="Times New Roman" w:cs="Times New Roman"/>
          <w:b/>
          <w:sz w:val="24"/>
        </w:rPr>
        <w:t>, Related to Figure 2.</w:t>
      </w:r>
      <w:r w:rsidRPr="00106F04">
        <w:rPr>
          <w:rFonts w:ascii="Times New Roman" w:hAnsi="Times New Roman" w:cs="Times New Roman"/>
          <w:sz w:val="24"/>
        </w:rPr>
        <w:t xml:space="preserve"> </w:t>
      </w:r>
      <w:r w:rsidRPr="00106F04">
        <w:rPr>
          <w:rFonts w:ascii="Times New Roman" w:hAnsi="Times New Roman" w:cs="Times New Roman"/>
          <w:b/>
          <w:sz w:val="24"/>
        </w:rPr>
        <w:t>Magenta and Yellow modules likely emerge as distinct subtypes from a common microglial precursor state.</w:t>
      </w:r>
      <w:r w:rsidRPr="00106F04">
        <w:rPr>
          <w:rFonts w:ascii="Times New Roman" w:hAnsi="Times New Roman" w:cs="Times New Roman"/>
          <w:sz w:val="24"/>
        </w:rPr>
        <w:t xml:space="preserve"> (a) Identification of genes with high level of membership (Kme≥0.75) to both anti-inflammatory Yellow and pro-inflammatory Magenta mouse microglial modules. (b, c) Correlations between each gene’s module membership to Yellow and Magenta (b) or to Blue and Magenta (c) modules are shown. Moderate positive correlation between Magenta and Yellow membership and very strong negative correlation between Blue and Magenta modules are highlighted. In WGCNA, each gene is assigned strength of membership (Kme) to every module (Kme range -1 to +1) and the highest Kme indicates the parent module the gene belongs to. (d, e) Expression of Blue (n=108 genes), Magenta (n=21 genes), Yellow (n=39 genes), Midnightblue (n=12 genes) and Purple (n=52 genes) modules at various ages in WT and </w:t>
      </w:r>
      <w:r w:rsidRPr="00106F04">
        <w:rPr>
          <w:rFonts w:ascii="Times New Roman" w:hAnsi="Times New Roman" w:cs="Times New Roman"/>
          <w:sz w:val="24"/>
        </w:rPr>
        <w:lastRenderedPageBreak/>
        <w:t>APP/PS1 mouse microglia. Data were obtained from a published Nanostring transcriptomics analysis of purified microglia from WT and APP/PS1 mouse brains (aged 2-17 months) (Krasermann et al 2017). Gene-level expression data were first normalized to expression in 2 mo old WT mice. Genes were then assigned module membership after cross-referencing with our mouse microglial WGCNA and genes with Kme ≥0.5 were identified. Each module’s expression was calculated as the median of all normalized expression of all module members and the trajectory of change of each module was mapped. While the expression of the Blue module decreases with aging in both WT and APP/PS1 mice, the Magenta and Yellow modules show early upregulation only in APP/PS1 mice while a gradual upregulation with aging is also seen</w:t>
      </w:r>
      <w:r w:rsidR="001C6C7F">
        <w:rPr>
          <w:rFonts w:ascii="Times New Roman" w:hAnsi="Times New Roman" w:cs="Times New Roman"/>
          <w:sz w:val="24"/>
        </w:rPr>
        <w:t xml:space="preserve"> (also see Table S7)</w:t>
      </w:r>
      <w:r w:rsidRPr="00106F04">
        <w:rPr>
          <w:rFonts w:ascii="Times New Roman" w:hAnsi="Times New Roman" w:cs="Times New Roman"/>
          <w:sz w:val="24"/>
        </w:rPr>
        <w:t>.</w:t>
      </w:r>
    </w:p>
    <w:p w:rsidR="00BB7A94" w:rsidRDefault="00BB7A94">
      <w:pPr>
        <w:rPr>
          <w:rFonts w:ascii="Times New Roman" w:hAnsi="Times New Roman" w:cs="Times New Roman"/>
          <w:sz w:val="24"/>
        </w:rPr>
      </w:pPr>
      <w:r>
        <w:rPr>
          <w:rFonts w:ascii="Times New Roman" w:hAnsi="Times New Roman" w:cs="Times New Roman"/>
          <w:sz w:val="24"/>
        </w:rPr>
        <w:br w:type="page"/>
      </w:r>
    </w:p>
    <w:p w:rsidR="00026174" w:rsidRPr="00106F04" w:rsidRDefault="00026174" w:rsidP="00106F04">
      <w:pPr>
        <w:spacing w:line="240" w:lineRule="auto"/>
        <w:jc w:val="both"/>
        <w:rPr>
          <w:rFonts w:ascii="Times New Roman" w:hAnsi="Times New Roman" w:cs="Times New Roman"/>
          <w:sz w:val="24"/>
        </w:rPr>
      </w:pPr>
      <w:r w:rsidRPr="00106F04">
        <w:rPr>
          <w:rFonts w:ascii="Times New Roman" w:hAnsi="Times New Roman" w:cs="Times New Roman"/>
          <w:noProof/>
          <w:sz w:val="24"/>
        </w:rPr>
        <w:lastRenderedPageBreak/>
        <w:drawing>
          <wp:inline distT="0" distB="0" distL="0" distR="0" wp14:anchorId="38EDBD62" wp14:editId="13873956">
            <wp:extent cx="6059447" cy="246675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5886" cy="2473445"/>
                    </a:xfrm>
                    <a:prstGeom prst="rect">
                      <a:avLst/>
                    </a:prstGeom>
                    <a:noFill/>
                  </pic:spPr>
                </pic:pic>
              </a:graphicData>
            </a:graphic>
          </wp:inline>
        </w:drawing>
      </w:r>
    </w:p>
    <w:p w:rsidR="00603BE3" w:rsidRPr="00106F04" w:rsidRDefault="00026174" w:rsidP="00106F04">
      <w:pPr>
        <w:spacing w:line="240" w:lineRule="auto"/>
        <w:jc w:val="both"/>
        <w:rPr>
          <w:rFonts w:ascii="Times New Roman" w:hAnsi="Times New Roman" w:cs="Times New Roman"/>
          <w:sz w:val="24"/>
        </w:rPr>
      </w:pPr>
      <w:r w:rsidRPr="00106F04">
        <w:rPr>
          <w:rFonts w:ascii="Times New Roman" w:hAnsi="Times New Roman" w:cs="Times New Roman"/>
          <w:b/>
          <w:sz w:val="24"/>
        </w:rPr>
        <w:t>Figure S</w:t>
      </w:r>
      <w:r w:rsidR="00584C26">
        <w:rPr>
          <w:rFonts w:ascii="Times New Roman" w:hAnsi="Times New Roman" w:cs="Times New Roman"/>
          <w:b/>
          <w:sz w:val="24"/>
        </w:rPr>
        <w:t>6</w:t>
      </w:r>
      <w:r w:rsidR="00EF4C0D" w:rsidRPr="00106F04">
        <w:rPr>
          <w:rFonts w:ascii="Times New Roman" w:hAnsi="Times New Roman" w:cs="Times New Roman"/>
          <w:b/>
          <w:sz w:val="24"/>
        </w:rPr>
        <w:t>, Related to Figure 2</w:t>
      </w:r>
      <w:r w:rsidR="00C33858" w:rsidRPr="00106F04">
        <w:rPr>
          <w:rFonts w:ascii="Times New Roman" w:hAnsi="Times New Roman" w:cs="Times New Roman"/>
          <w:b/>
          <w:sz w:val="24"/>
        </w:rPr>
        <w:t>. Pro- and anti-inflammatory DAM networks emerge downstream of the Trem2-mediated immune checkpoint in AD.</w:t>
      </w:r>
      <w:r w:rsidR="00D3111C" w:rsidRPr="00106F04">
        <w:rPr>
          <w:rFonts w:ascii="Times New Roman" w:hAnsi="Times New Roman" w:cs="Times New Roman"/>
          <w:b/>
          <w:sz w:val="24"/>
        </w:rPr>
        <w:t xml:space="preserve"> </w:t>
      </w:r>
      <w:r w:rsidR="00A76EFC" w:rsidRPr="00106F04">
        <w:rPr>
          <w:rFonts w:ascii="Times New Roman" w:hAnsi="Times New Roman" w:cs="Times New Roman"/>
          <w:sz w:val="24"/>
        </w:rPr>
        <w:t>(a) Volcano plot of differentially expressed genes in 5xFAD and 5xFAD/Trem2-KO mice. Genes differentially expressed by at least +/- 1.5-fold and p&lt;0.01 are highlighted</w:t>
      </w:r>
      <w:r w:rsidR="00603BE3" w:rsidRPr="00106F04">
        <w:rPr>
          <w:rFonts w:ascii="Times New Roman" w:hAnsi="Times New Roman" w:cs="Times New Roman"/>
          <w:sz w:val="24"/>
        </w:rPr>
        <w:t xml:space="preserve"> and represent Trem2-regulated genes</w:t>
      </w:r>
      <w:r w:rsidR="00A76EFC" w:rsidRPr="00106F04">
        <w:rPr>
          <w:rFonts w:ascii="Times New Roman" w:hAnsi="Times New Roman" w:cs="Times New Roman"/>
          <w:sz w:val="24"/>
        </w:rPr>
        <w:t>.</w:t>
      </w:r>
      <w:r w:rsidR="00D3111C" w:rsidRPr="00106F04">
        <w:rPr>
          <w:rFonts w:ascii="Times New Roman" w:hAnsi="Times New Roman" w:cs="Times New Roman"/>
          <w:sz w:val="24"/>
        </w:rPr>
        <w:t xml:space="preserve"> </w:t>
      </w:r>
      <w:r w:rsidR="00A76EFC" w:rsidRPr="00106F04">
        <w:rPr>
          <w:rFonts w:ascii="Times New Roman" w:hAnsi="Times New Roman" w:cs="Times New Roman"/>
          <w:sz w:val="24"/>
        </w:rPr>
        <w:t>(b) Among Trem2-</w:t>
      </w:r>
      <w:r w:rsidR="00603BE3" w:rsidRPr="00106F04">
        <w:rPr>
          <w:rFonts w:ascii="Times New Roman" w:hAnsi="Times New Roman" w:cs="Times New Roman"/>
          <w:sz w:val="24"/>
        </w:rPr>
        <w:t>regulated</w:t>
      </w:r>
      <w:r w:rsidR="00A76EFC" w:rsidRPr="00106F04">
        <w:rPr>
          <w:rFonts w:ascii="Times New Roman" w:hAnsi="Times New Roman" w:cs="Times New Roman"/>
          <w:sz w:val="24"/>
        </w:rPr>
        <w:t xml:space="preserve"> genes</w:t>
      </w:r>
      <w:r w:rsidR="00603BE3" w:rsidRPr="00106F04">
        <w:rPr>
          <w:rFonts w:ascii="Times New Roman" w:hAnsi="Times New Roman" w:cs="Times New Roman"/>
          <w:sz w:val="24"/>
        </w:rPr>
        <w:t>, the Yellow and Magenta modules were highly enriched for genes positively regulated by Trem2 while Blue and Purple modules were highly enriched for genes negatively regulated by Trem2.</w:t>
      </w:r>
      <w:r w:rsidR="00D3111C" w:rsidRPr="00106F04">
        <w:rPr>
          <w:rFonts w:ascii="Times New Roman" w:hAnsi="Times New Roman" w:cs="Times New Roman"/>
          <w:sz w:val="24"/>
        </w:rPr>
        <w:t xml:space="preserve"> </w:t>
      </w:r>
      <w:r w:rsidR="00603BE3" w:rsidRPr="00106F04">
        <w:rPr>
          <w:rFonts w:ascii="Times New Roman" w:hAnsi="Times New Roman" w:cs="Times New Roman"/>
          <w:sz w:val="24"/>
        </w:rPr>
        <w:t>(c) DAM-specific genes were highly enriched for genes positively regulated by Trem2 while Homeostatic microglial genes were highly enriched for genes negatively regulated by Trem2.</w:t>
      </w:r>
      <w:r w:rsidR="00D3111C" w:rsidRPr="00106F04">
        <w:rPr>
          <w:rFonts w:ascii="Times New Roman" w:hAnsi="Times New Roman" w:cs="Times New Roman"/>
          <w:sz w:val="24"/>
        </w:rPr>
        <w:t xml:space="preserve"> </w:t>
      </w:r>
      <w:r w:rsidR="00603BE3" w:rsidRPr="00106F04">
        <w:rPr>
          <w:rFonts w:ascii="Times New Roman" w:hAnsi="Times New Roman" w:cs="Times New Roman"/>
          <w:sz w:val="24"/>
        </w:rPr>
        <w:t>Top 10 genes for each group are highlighted.</w:t>
      </w:r>
    </w:p>
    <w:p w:rsidR="00026174" w:rsidRPr="00106F04" w:rsidRDefault="00026174" w:rsidP="00106F04">
      <w:pPr>
        <w:spacing w:line="240" w:lineRule="auto"/>
        <w:jc w:val="both"/>
        <w:rPr>
          <w:rFonts w:ascii="Times New Roman" w:hAnsi="Times New Roman" w:cs="Times New Roman"/>
          <w:sz w:val="24"/>
        </w:rPr>
      </w:pPr>
    </w:p>
    <w:p w:rsidR="00026174" w:rsidRPr="00106F04" w:rsidRDefault="00026174" w:rsidP="00106F04">
      <w:pPr>
        <w:spacing w:line="240" w:lineRule="auto"/>
        <w:jc w:val="both"/>
        <w:rPr>
          <w:rFonts w:ascii="Times New Roman" w:hAnsi="Times New Roman" w:cs="Times New Roman"/>
          <w:sz w:val="24"/>
        </w:rPr>
      </w:pPr>
      <w:r w:rsidRPr="00106F04">
        <w:rPr>
          <w:rFonts w:ascii="Times New Roman" w:hAnsi="Times New Roman" w:cs="Times New Roman"/>
          <w:sz w:val="24"/>
        </w:rPr>
        <w:br w:type="page"/>
      </w:r>
    </w:p>
    <w:p w:rsidR="00651746" w:rsidRPr="00106F04" w:rsidRDefault="00DC22AE" w:rsidP="00106F04">
      <w:pPr>
        <w:spacing w:line="240" w:lineRule="auto"/>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CC10F23">
            <wp:extent cx="6116128" cy="17257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7504" cy="1729002"/>
                    </a:xfrm>
                    <a:prstGeom prst="rect">
                      <a:avLst/>
                    </a:prstGeom>
                    <a:noFill/>
                  </pic:spPr>
                </pic:pic>
              </a:graphicData>
            </a:graphic>
          </wp:inline>
        </w:drawing>
      </w:r>
    </w:p>
    <w:p w:rsidR="00EF7FAD" w:rsidRPr="00106F04" w:rsidRDefault="00EF7FAD" w:rsidP="00106F04">
      <w:pPr>
        <w:spacing w:line="240" w:lineRule="auto"/>
        <w:jc w:val="both"/>
        <w:rPr>
          <w:rFonts w:ascii="Times New Roman" w:hAnsi="Times New Roman" w:cs="Times New Roman"/>
          <w:sz w:val="24"/>
        </w:rPr>
      </w:pPr>
    </w:p>
    <w:p w:rsidR="005F47ED" w:rsidRPr="00AE7951" w:rsidRDefault="00E94D34" w:rsidP="00106F04">
      <w:pPr>
        <w:spacing w:line="240" w:lineRule="auto"/>
        <w:jc w:val="both"/>
        <w:rPr>
          <w:rFonts w:ascii="Times New Roman" w:hAnsi="Times New Roman" w:cs="Times New Roman"/>
          <w:b/>
          <w:sz w:val="24"/>
        </w:rPr>
      </w:pPr>
      <w:r w:rsidRPr="00AE7951">
        <w:rPr>
          <w:rFonts w:ascii="Times New Roman" w:hAnsi="Times New Roman" w:cs="Times New Roman"/>
          <w:b/>
          <w:sz w:val="24"/>
        </w:rPr>
        <w:t>Figure S7</w:t>
      </w:r>
      <w:r w:rsidR="0027763E" w:rsidRPr="00AE7951">
        <w:rPr>
          <w:rFonts w:ascii="Times New Roman" w:hAnsi="Times New Roman" w:cs="Times New Roman"/>
          <w:b/>
          <w:sz w:val="24"/>
        </w:rPr>
        <w:t>.</w:t>
      </w:r>
      <w:r w:rsidR="00496312" w:rsidRPr="00AE7951">
        <w:rPr>
          <w:rFonts w:ascii="Times New Roman" w:hAnsi="Times New Roman" w:cs="Times New Roman"/>
          <w:b/>
          <w:sz w:val="24"/>
        </w:rPr>
        <w:t xml:space="preserve"> </w:t>
      </w:r>
      <w:r w:rsidR="00AE7951" w:rsidRPr="00AE7951">
        <w:rPr>
          <w:rFonts w:ascii="Times New Roman" w:hAnsi="Times New Roman" w:cs="Times New Roman"/>
          <w:b/>
          <w:sz w:val="24"/>
        </w:rPr>
        <w:t>ShK-223 promotes compartmentalization of Aβ in mature phagolysosomes</w:t>
      </w:r>
    </w:p>
    <w:p w:rsidR="00496312" w:rsidRPr="00106F04" w:rsidRDefault="00DC22AE" w:rsidP="00106F04">
      <w:pPr>
        <w:spacing w:line="240" w:lineRule="auto"/>
        <w:jc w:val="both"/>
        <w:rPr>
          <w:rFonts w:ascii="Times New Roman" w:hAnsi="Times New Roman" w:cs="Times New Roman"/>
          <w:sz w:val="24"/>
        </w:rPr>
      </w:pPr>
      <w:r w:rsidRPr="00106F04">
        <w:rPr>
          <w:rFonts w:ascii="Times New Roman" w:hAnsi="Times New Roman" w:cs="Times New Roman"/>
          <w:b/>
          <w:sz w:val="24"/>
        </w:rPr>
        <w:t xml:space="preserve"> </w:t>
      </w:r>
      <w:r w:rsidR="00E736D1" w:rsidRPr="00106F04">
        <w:rPr>
          <w:rFonts w:ascii="Times New Roman" w:hAnsi="Times New Roman" w:cs="Times New Roman"/>
          <w:b/>
          <w:sz w:val="24"/>
        </w:rPr>
        <w:t>(</w:t>
      </w:r>
      <w:r w:rsidR="00AE7951">
        <w:rPr>
          <w:rFonts w:ascii="Times New Roman" w:hAnsi="Times New Roman" w:cs="Times New Roman"/>
          <w:b/>
          <w:sz w:val="24"/>
        </w:rPr>
        <w:t>a</w:t>
      </w:r>
      <w:r w:rsidR="00496312" w:rsidRPr="00106F04">
        <w:rPr>
          <w:rFonts w:ascii="Times New Roman" w:hAnsi="Times New Roman" w:cs="Times New Roman"/>
          <w:b/>
          <w:sz w:val="24"/>
        </w:rPr>
        <w:t xml:space="preserve">) </w:t>
      </w:r>
      <w:r w:rsidR="00496312" w:rsidRPr="00106F04">
        <w:rPr>
          <w:rFonts w:ascii="Times New Roman" w:hAnsi="Times New Roman" w:cs="Times New Roman"/>
          <w:sz w:val="24"/>
        </w:rPr>
        <w:t xml:space="preserve">Time course of Aβ42 degradation in BV2 microglia. </w:t>
      </w:r>
      <w:r w:rsidR="00E736D1" w:rsidRPr="00106F04">
        <w:rPr>
          <w:rFonts w:ascii="Times New Roman" w:hAnsi="Times New Roman" w:cs="Times New Roman"/>
          <w:sz w:val="24"/>
        </w:rPr>
        <w:t xml:space="preserve">BV2 microglia were loaded with fluorescent Aβ42 fibrils for 30 min and then washed. </w:t>
      </w:r>
      <w:r w:rsidR="00496312" w:rsidRPr="00106F04">
        <w:rPr>
          <w:rFonts w:ascii="Times New Roman" w:hAnsi="Times New Roman" w:cs="Times New Roman"/>
          <w:sz w:val="24"/>
        </w:rPr>
        <w:t>At 30 min</w:t>
      </w:r>
      <w:r w:rsidR="00E736D1" w:rsidRPr="00106F04">
        <w:rPr>
          <w:rFonts w:ascii="Times New Roman" w:hAnsi="Times New Roman" w:cs="Times New Roman"/>
          <w:sz w:val="24"/>
        </w:rPr>
        <w:t xml:space="preserve"> following loading</w:t>
      </w:r>
      <w:r w:rsidR="00496312" w:rsidRPr="00106F04">
        <w:rPr>
          <w:rFonts w:ascii="Times New Roman" w:hAnsi="Times New Roman" w:cs="Times New Roman"/>
          <w:sz w:val="24"/>
        </w:rPr>
        <w:t xml:space="preserve">, aggregates </w:t>
      </w:r>
      <w:r w:rsidR="00E736D1" w:rsidRPr="00106F04">
        <w:rPr>
          <w:rFonts w:ascii="Times New Roman" w:hAnsi="Times New Roman" w:cs="Times New Roman"/>
          <w:sz w:val="24"/>
        </w:rPr>
        <w:t>were</w:t>
      </w:r>
      <w:r w:rsidR="00496312" w:rsidRPr="00106F04">
        <w:rPr>
          <w:rFonts w:ascii="Times New Roman" w:hAnsi="Times New Roman" w:cs="Times New Roman"/>
          <w:sz w:val="24"/>
        </w:rPr>
        <w:t xml:space="preserve"> seen being internalized, followed by peak fluorescence and compartmentalization into phagosomes by 16-24 hours</w:t>
      </w:r>
      <w:r w:rsidR="00214A43">
        <w:rPr>
          <w:rFonts w:ascii="Times New Roman" w:hAnsi="Times New Roman" w:cs="Times New Roman"/>
          <w:sz w:val="24"/>
        </w:rPr>
        <w:t xml:space="preserve"> after which</w:t>
      </w:r>
      <w:r w:rsidR="00496312" w:rsidRPr="00106F04">
        <w:rPr>
          <w:rFonts w:ascii="Times New Roman" w:hAnsi="Times New Roman" w:cs="Times New Roman"/>
          <w:sz w:val="24"/>
        </w:rPr>
        <w:t xml:space="preserve"> loss of fluorescence </w:t>
      </w:r>
      <w:r w:rsidR="00214A43">
        <w:rPr>
          <w:rFonts w:ascii="Times New Roman" w:hAnsi="Times New Roman" w:cs="Times New Roman"/>
          <w:sz w:val="24"/>
        </w:rPr>
        <w:t xml:space="preserve">was observed </w:t>
      </w:r>
      <w:bookmarkStart w:id="3" w:name="_GoBack"/>
      <w:bookmarkEnd w:id="3"/>
      <w:r w:rsidR="00496312" w:rsidRPr="00106F04">
        <w:rPr>
          <w:rFonts w:ascii="Times New Roman" w:hAnsi="Times New Roman" w:cs="Times New Roman"/>
          <w:sz w:val="24"/>
        </w:rPr>
        <w:t xml:space="preserve">by 72 hours. </w:t>
      </w:r>
    </w:p>
    <w:p w:rsidR="00E736D1" w:rsidRPr="00106F04" w:rsidRDefault="00892D9D" w:rsidP="00106F04">
      <w:pPr>
        <w:spacing w:line="240" w:lineRule="auto"/>
        <w:jc w:val="both"/>
        <w:rPr>
          <w:rFonts w:ascii="Times New Roman" w:hAnsi="Times New Roman" w:cs="Times New Roman"/>
          <w:sz w:val="24"/>
        </w:rPr>
      </w:pPr>
      <w:r w:rsidRPr="00297897">
        <w:rPr>
          <w:rFonts w:ascii="Times New Roman" w:hAnsi="Times New Roman" w:cs="Times New Roman"/>
          <w:b/>
          <w:sz w:val="24"/>
        </w:rPr>
        <w:t>(b, c</w:t>
      </w:r>
      <w:r w:rsidR="00E736D1" w:rsidRPr="00297897">
        <w:rPr>
          <w:rFonts w:ascii="Times New Roman" w:hAnsi="Times New Roman" w:cs="Times New Roman"/>
          <w:b/>
          <w:sz w:val="24"/>
        </w:rPr>
        <w:t>)</w:t>
      </w:r>
      <w:r w:rsidR="00E736D1" w:rsidRPr="00106F04">
        <w:rPr>
          <w:rFonts w:ascii="Times New Roman" w:hAnsi="Times New Roman" w:cs="Times New Roman"/>
          <w:sz w:val="24"/>
        </w:rPr>
        <w:t xml:space="preserve"> Effect of ShK-223 treatment on compartmentalization of Aβ42 into mature Lamp1-positive phagolysosomes in BV2 microglia. Quantitation of co-localization (mean R coefficient) between LAMP1 (Red) and Aβ42 (Green) was performed at each time point (N=6 independent </w:t>
      </w:r>
      <w:r w:rsidR="00297897">
        <w:rPr>
          <w:rFonts w:ascii="Times New Roman" w:hAnsi="Times New Roman" w:cs="Times New Roman"/>
          <w:sz w:val="24"/>
        </w:rPr>
        <w:t xml:space="preserve">experiments per condition with </w:t>
      </w:r>
      <w:r w:rsidR="00E736D1" w:rsidRPr="00106F04">
        <w:rPr>
          <w:rFonts w:ascii="Times New Roman" w:hAnsi="Times New Roman" w:cs="Times New Roman"/>
          <w:sz w:val="24"/>
        </w:rPr>
        <w:t>10</w:t>
      </w:r>
      <w:r w:rsidR="00297897">
        <w:rPr>
          <w:rFonts w:ascii="Times New Roman" w:hAnsi="Times New Roman" w:cs="Times New Roman"/>
          <w:sz w:val="24"/>
        </w:rPr>
        <w:t>-12</w:t>
      </w:r>
      <w:r w:rsidR="00E736D1" w:rsidRPr="00106F04">
        <w:rPr>
          <w:rFonts w:ascii="Times New Roman" w:hAnsi="Times New Roman" w:cs="Times New Roman"/>
          <w:sz w:val="24"/>
        </w:rPr>
        <w:t xml:space="preserve"> cells counted per time point).</w:t>
      </w:r>
    </w:p>
    <w:p w:rsidR="002862B0" w:rsidRPr="00106F04" w:rsidRDefault="002862B0" w:rsidP="00106F04">
      <w:pPr>
        <w:spacing w:line="240" w:lineRule="auto"/>
        <w:jc w:val="both"/>
        <w:rPr>
          <w:rFonts w:ascii="Times New Roman" w:hAnsi="Times New Roman" w:cs="Times New Roman"/>
          <w:sz w:val="24"/>
        </w:rPr>
      </w:pPr>
    </w:p>
    <w:sectPr w:rsidR="002862B0" w:rsidRPr="00106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C7C5D"/>
    <w:multiLevelType w:val="hybridMultilevel"/>
    <w:tmpl w:val="F8E63038"/>
    <w:lvl w:ilvl="0" w:tplc="10C84C8C">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AA6E0D"/>
    <w:multiLevelType w:val="hybridMultilevel"/>
    <w:tmpl w:val="F508B8CC"/>
    <w:lvl w:ilvl="0" w:tplc="18D055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554777"/>
    <w:multiLevelType w:val="hybridMultilevel"/>
    <w:tmpl w:val="14FE9A6E"/>
    <w:lvl w:ilvl="0" w:tplc="F072CD5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ezevx0s1rr5rrep2ecv2tsi5xrderrset9d&quot;&gt;wGCNApaper&lt;record-ids&gt;&lt;item&gt;74&lt;/item&gt;&lt;/record-ids&gt;&lt;/item&gt;&lt;/Libraries&gt;"/>
  </w:docVars>
  <w:rsids>
    <w:rsidRoot w:val="00026174"/>
    <w:rsid w:val="00026174"/>
    <w:rsid w:val="00033FC1"/>
    <w:rsid w:val="00093C35"/>
    <w:rsid w:val="000C4FA9"/>
    <w:rsid w:val="000E3037"/>
    <w:rsid w:val="000E4F5D"/>
    <w:rsid w:val="00106F04"/>
    <w:rsid w:val="0014208F"/>
    <w:rsid w:val="00150F8F"/>
    <w:rsid w:val="001B5455"/>
    <w:rsid w:val="001C6C7F"/>
    <w:rsid w:val="00214A43"/>
    <w:rsid w:val="00260E34"/>
    <w:rsid w:val="0027763E"/>
    <w:rsid w:val="002862B0"/>
    <w:rsid w:val="00297897"/>
    <w:rsid w:val="002A267D"/>
    <w:rsid w:val="002F0E29"/>
    <w:rsid w:val="002F52F8"/>
    <w:rsid w:val="00331BB5"/>
    <w:rsid w:val="00355AC9"/>
    <w:rsid w:val="003860B1"/>
    <w:rsid w:val="003E5428"/>
    <w:rsid w:val="00430EAE"/>
    <w:rsid w:val="0046787A"/>
    <w:rsid w:val="00477F0B"/>
    <w:rsid w:val="00496312"/>
    <w:rsid w:val="004F410C"/>
    <w:rsid w:val="00555BFC"/>
    <w:rsid w:val="00584C26"/>
    <w:rsid w:val="005C6A1E"/>
    <w:rsid w:val="005F1BDB"/>
    <w:rsid w:val="005F47ED"/>
    <w:rsid w:val="00603BE3"/>
    <w:rsid w:val="00613FDF"/>
    <w:rsid w:val="00651101"/>
    <w:rsid w:val="00651746"/>
    <w:rsid w:val="00676700"/>
    <w:rsid w:val="006879D5"/>
    <w:rsid w:val="006A0100"/>
    <w:rsid w:val="006A72B2"/>
    <w:rsid w:val="006B428F"/>
    <w:rsid w:val="006D068D"/>
    <w:rsid w:val="006E17FD"/>
    <w:rsid w:val="006E3F0D"/>
    <w:rsid w:val="00756927"/>
    <w:rsid w:val="00766331"/>
    <w:rsid w:val="00773BC0"/>
    <w:rsid w:val="00796A3A"/>
    <w:rsid w:val="007A38D6"/>
    <w:rsid w:val="007E2D90"/>
    <w:rsid w:val="007F12EA"/>
    <w:rsid w:val="00892D9D"/>
    <w:rsid w:val="00937C84"/>
    <w:rsid w:val="009D0F00"/>
    <w:rsid w:val="009E2891"/>
    <w:rsid w:val="00A148E2"/>
    <w:rsid w:val="00A212AD"/>
    <w:rsid w:val="00A30901"/>
    <w:rsid w:val="00A76EFC"/>
    <w:rsid w:val="00A97F6D"/>
    <w:rsid w:val="00AA3E0E"/>
    <w:rsid w:val="00AE7951"/>
    <w:rsid w:val="00AF7502"/>
    <w:rsid w:val="00B770C0"/>
    <w:rsid w:val="00B932CB"/>
    <w:rsid w:val="00BB7A94"/>
    <w:rsid w:val="00BE2E5C"/>
    <w:rsid w:val="00C06121"/>
    <w:rsid w:val="00C22077"/>
    <w:rsid w:val="00C33858"/>
    <w:rsid w:val="00C430EB"/>
    <w:rsid w:val="00C76911"/>
    <w:rsid w:val="00CA2036"/>
    <w:rsid w:val="00CF0529"/>
    <w:rsid w:val="00CF5319"/>
    <w:rsid w:val="00D04A80"/>
    <w:rsid w:val="00D14461"/>
    <w:rsid w:val="00D3111C"/>
    <w:rsid w:val="00D46A6C"/>
    <w:rsid w:val="00D4784D"/>
    <w:rsid w:val="00D70E2F"/>
    <w:rsid w:val="00D7780C"/>
    <w:rsid w:val="00DC22AE"/>
    <w:rsid w:val="00E736D1"/>
    <w:rsid w:val="00E94D34"/>
    <w:rsid w:val="00EB2895"/>
    <w:rsid w:val="00EF4C0D"/>
    <w:rsid w:val="00EF7FAD"/>
    <w:rsid w:val="00F035C1"/>
    <w:rsid w:val="00F12901"/>
    <w:rsid w:val="00F30951"/>
    <w:rsid w:val="00FE0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28BB6"/>
  <w15:docId w15:val="{2352B8B8-B093-4CBA-97F1-601DB1EA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61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6174"/>
    <w:rPr>
      <w:rFonts w:ascii="Tahoma" w:hAnsi="Tahoma" w:cs="Tahoma"/>
      <w:sz w:val="16"/>
      <w:szCs w:val="16"/>
    </w:rPr>
  </w:style>
  <w:style w:type="paragraph" w:styleId="NormalWeb">
    <w:name w:val="Normal (Web)"/>
    <w:basedOn w:val="Normal"/>
    <w:uiPriority w:val="99"/>
    <w:semiHidden/>
    <w:unhideWhenUsed/>
    <w:rsid w:val="00C7691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76EFC"/>
    <w:pPr>
      <w:ind w:left="720"/>
      <w:contextualSpacing/>
    </w:pPr>
  </w:style>
  <w:style w:type="character" w:styleId="Hyperlink">
    <w:name w:val="Hyperlink"/>
    <w:basedOn w:val="DefaultParagraphFont"/>
    <w:uiPriority w:val="99"/>
    <w:unhideWhenUsed/>
    <w:rsid w:val="00EF7F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56616">
      <w:bodyDiv w:val="1"/>
      <w:marLeft w:val="0"/>
      <w:marRight w:val="0"/>
      <w:marTop w:val="0"/>
      <w:marBottom w:val="0"/>
      <w:divBdr>
        <w:top w:val="none" w:sz="0" w:space="0" w:color="auto"/>
        <w:left w:val="none" w:sz="0" w:space="0" w:color="auto"/>
        <w:bottom w:val="none" w:sz="0" w:space="0" w:color="auto"/>
        <w:right w:val="none" w:sz="0" w:space="0" w:color="auto"/>
      </w:divBdr>
    </w:div>
    <w:div w:id="500004243">
      <w:bodyDiv w:val="1"/>
      <w:marLeft w:val="0"/>
      <w:marRight w:val="0"/>
      <w:marTop w:val="0"/>
      <w:marBottom w:val="0"/>
      <w:divBdr>
        <w:top w:val="none" w:sz="0" w:space="0" w:color="auto"/>
        <w:left w:val="none" w:sz="0" w:space="0" w:color="auto"/>
        <w:bottom w:val="none" w:sz="0" w:space="0" w:color="auto"/>
        <w:right w:val="none" w:sz="0" w:space="0" w:color="auto"/>
      </w:divBdr>
    </w:div>
    <w:div w:id="698554687">
      <w:bodyDiv w:val="1"/>
      <w:marLeft w:val="0"/>
      <w:marRight w:val="0"/>
      <w:marTop w:val="0"/>
      <w:marBottom w:val="0"/>
      <w:divBdr>
        <w:top w:val="none" w:sz="0" w:space="0" w:color="auto"/>
        <w:left w:val="none" w:sz="0" w:space="0" w:color="auto"/>
        <w:bottom w:val="none" w:sz="0" w:space="0" w:color="auto"/>
        <w:right w:val="none" w:sz="0" w:space="0" w:color="auto"/>
      </w:divBdr>
    </w:div>
    <w:div w:id="743457166">
      <w:bodyDiv w:val="1"/>
      <w:marLeft w:val="0"/>
      <w:marRight w:val="0"/>
      <w:marTop w:val="0"/>
      <w:marBottom w:val="0"/>
      <w:divBdr>
        <w:top w:val="none" w:sz="0" w:space="0" w:color="auto"/>
        <w:left w:val="none" w:sz="0" w:space="0" w:color="auto"/>
        <w:bottom w:val="none" w:sz="0" w:space="0" w:color="auto"/>
        <w:right w:val="none" w:sz="0" w:space="0" w:color="auto"/>
      </w:divBdr>
    </w:div>
    <w:div w:id="1250655927">
      <w:bodyDiv w:val="1"/>
      <w:marLeft w:val="0"/>
      <w:marRight w:val="0"/>
      <w:marTop w:val="0"/>
      <w:marBottom w:val="0"/>
      <w:divBdr>
        <w:top w:val="none" w:sz="0" w:space="0" w:color="auto"/>
        <w:left w:val="none" w:sz="0" w:space="0" w:color="auto"/>
        <w:bottom w:val="none" w:sz="0" w:space="0" w:color="auto"/>
        <w:right w:val="none" w:sz="0" w:space="0" w:color="auto"/>
      </w:divBdr>
    </w:div>
    <w:div w:id="1474180173">
      <w:bodyDiv w:val="1"/>
      <w:marLeft w:val="0"/>
      <w:marRight w:val="0"/>
      <w:marTop w:val="0"/>
      <w:marBottom w:val="0"/>
      <w:divBdr>
        <w:top w:val="none" w:sz="0" w:space="0" w:color="auto"/>
        <w:left w:val="none" w:sz="0" w:space="0" w:color="auto"/>
        <w:bottom w:val="none" w:sz="0" w:space="0" w:color="auto"/>
        <w:right w:val="none" w:sz="0" w:space="0" w:color="auto"/>
      </w:divBdr>
    </w:div>
    <w:div w:id="209481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srikant.rangaraju@emory.edu"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Emory University, Neurology and Psychiatry</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Srikant Rangaraju</dc:creator>
  <cp:lastModifiedBy>Rangaraju, Srikant</cp:lastModifiedBy>
  <cp:revision>11</cp:revision>
  <dcterms:created xsi:type="dcterms:W3CDTF">2018-02-16T20:13:00Z</dcterms:created>
  <dcterms:modified xsi:type="dcterms:W3CDTF">2018-02-20T21:11:00Z</dcterms:modified>
</cp:coreProperties>
</file>