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F2543" w14:textId="0211D000" w:rsidR="00CA3067" w:rsidRDefault="00DF4024" w:rsidP="00D4455D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14:paraId="1F15673D" w14:textId="5AED86F2" w:rsidR="00E728F6" w:rsidRDefault="00E67B11" w:rsidP="00D4455D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E728F6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DF4024">
        <w:rPr>
          <w:rFonts w:ascii="Times New Roman" w:hAnsi="Times New Roman" w:cs="Times New Roman"/>
          <w:b/>
          <w:sz w:val="24"/>
          <w:szCs w:val="24"/>
        </w:rPr>
        <w:t>S</w:t>
      </w:r>
      <w:r w:rsidR="00E728F6">
        <w:rPr>
          <w:rFonts w:ascii="Times New Roman" w:hAnsi="Times New Roman" w:cs="Times New Roman"/>
          <w:b/>
          <w:sz w:val="24"/>
          <w:szCs w:val="24"/>
        </w:rPr>
        <w:t xml:space="preserve">1.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2371"/>
        <w:gridCol w:w="2963"/>
      </w:tblGrid>
      <w:tr w:rsidR="00E728F6" w:rsidRPr="002E41D8" w14:paraId="602F1B2E" w14:textId="77777777" w:rsidTr="007E3006">
        <w:trPr>
          <w:trHeight w:val="360"/>
        </w:trPr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3265838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11313A4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</w:rPr>
            </w:pPr>
            <w:r w:rsidRPr="002E41D8">
              <w:rPr>
                <w:rFonts w:ascii="Arial" w:hAnsi="Arial" w:cs="Arial"/>
                <w:sz w:val="20"/>
              </w:rPr>
              <w:t>Controls (n = 6)</w:t>
            </w:r>
          </w:p>
        </w:tc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3E5565E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sz w:val="20"/>
              </w:rPr>
            </w:pPr>
            <w:r w:rsidRPr="002E41D8">
              <w:rPr>
                <w:rFonts w:ascii="Arial" w:hAnsi="Arial" w:cs="Arial"/>
                <w:sz w:val="20"/>
              </w:rPr>
              <w:t>AD (n = 6)</w:t>
            </w:r>
          </w:p>
        </w:tc>
      </w:tr>
      <w:tr w:rsidR="00E728F6" w:rsidRPr="002E41D8" w14:paraId="18C67BA2" w14:textId="77777777" w:rsidTr="007E3006">
        <w:trPr>
          <w:trHeight w:val="360"/>
        </w:trPr>
        <w:tc>
          <w:tcPr>
            <w:tcW w:w="2116" w:type="dxa"/>
            <w:tcBorders>
              <w:top w:val="single" w:sz="4" w:space="0" w:color="auto"/>
            </w:tcBorders>
          </w:tcPr>
          <w:p w14:paraId="0A32950C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2E41D8">
              <w:rPr>
                <w:rFonts w:ascii="Arial" w:hAnsi="Arial" w:cs="Arial"/>
                <w:sz w:val="20"/>
              </w:rPr>
              <w:t>Gender (M/F)</w:t>
            </w:r>
          </w:p>
        </w:tc>
        <w:tc>
          <w:tcPr>
            <w:tcW w:w="2371" w:type="dxa"/>
            <w:tcBorders>
              <w:top w:val="single" w:sz="4" w:space="0" w:color="auto"/>
            </w:tcBorders>
          </w:tcPr>
          <w:p w14:paraId="518C9EF6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E41D8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3/3</w:t>
            </w:r>
            <w:r w:rsidRPr="002E41D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963" w:type="dxa"/>
            <w:tcBorders>
              <w:top w:val="single" w:sz="4" w:space="0" w:color="auto"/>
            </w:tcBorders>
          </w:tcPr>
          <w:p w14:paraId="1ABB26A6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E41D8">
              <w:rPr>
                <w:rFonts w:ascii="Arial" w:hAnsi="Arial" w:cs="Arial"/>
                <w:sz w:val="20"/>
              </w:rPr>
              <w:t>(2/4)</w:t>
            </w:r>
          </w:p>
        </w:tc>
      </w:tr>
      <w:tr w:rsidR="00E728F6" w:rsidRPr="002E41D8" w14:paraId="7763D948" w14:textId="77777777" w:rsidTr="007E3006">
        <w:trPr>
          <w:trHeight w:val="360"/>
        </w:trPr>
        <w:tc>
          <w:tcPr>
            <w:tcW w:w="2116" w:type="dxa"/>
          </w:tcPr>
          <w:p w14:paraId="1181BAB7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2E41D8">
              <w:rPr>
                <w:rFonts w:ascii="Arial" w:hAnsi="Arial" w:cs="Arial"/>
                <w:sz w:val="20"/>
              </w:rPr>
              <w:t>Braak stage</w:t>
            </w:r>
          </w:p>
        </w:tc>
        <w:tc>
          <w:tcPr>
            <w:tcW w:w="2371" w:type="dxa"/>
          </w:tcPr>
          <w:p w14:paraId="38E4AF2F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E41D8">
              <w:rPr>
                <w:rFonts w:ascii="Arial" w:hAnsi="Arial" w:cs="Arial"/>
                <w:sz w:val="20"/>
              </w:rPr>
              <w:t>0 (1), 1 (2), II (2), III (1)</w:t>
            </w:r>
          </w:p>
        </w:tc>
        <w:tc>
          <w:tcPr>
            <w:tcW w:w="2963" w:type="dxa"/>
          </w:tcPr>
          <w:p w14:paraId="38217A76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E41D8">
              <w:rPr>
                <w:rFonts w:ascii="Arial" w:hAnsi="Arial" w:cs="Arial"/>
                <w:sz w:val="20"/>
              </w:rPr>
              <w:t>III (1), IV (</w:t>
            </w:r>
            <w:r>
              <w:rPr>
                <w:rFonts w:ascii="Arial" w:hAnsi="Arial" w:cs="Arial"/>
                <w:sz w:val="20"/>
              </w:rPr>
              <w:t>1</w:t>
            </w:r>
            <w:r w:rsidRPr="002E41D8">
              <w:rPr>
                <w:rFonts w:ascii="Arial" w:hAnsi="Arial" w:cs="Arial"/>
                <w:sz w:val="20"/>
              </w:rPr>
              <w:t>), V (</w:t>
            </w:r>
            <w:r>
              <w:rPr>
                <w:rFonts w:ascii="Arial" w:hAnsi="Arial" w:cs="Arial"/>
                <w:sz w:val="20"/>
              </w:rPr>
              <w:t>3</w:t>
            </w:r>
            <w:r w:rsidRPr="002E41D8">
              <w:rPr>
                <w:rFonts w:ascii="Arial" w:hAnsi="Arial" w:cs="Arial"/>
                <w:sz w:val="20"/>
              </w:rPr>
              <w:t>), V-VI (</w:t>
            </w:r>
            <w:r>
              <w:rPr>
                <w:rFonts w:ascii="Arial" w:hAnsi="Arial" w:cs="Arial"/>
                <w:sz w:val="20"/>
              </w:rPr>
              <w:t>3</w:t>
            </w:r>
            <w:r w:rsidRPr="002E41D8">
              <w:rPr>
                <w:rFonts w:ascii="Arial" w:hAnsi="Arial" w:cs="Arial"/>
                <w:sz w:val="20"/>
              </w:rPr>
              <w:t>)</w:t>
            </w:r>
          </w:p>
        </w:tc>
      </w:tr>
      <w:tr w:rsidR="00E728F6" w:rsidRPr="002E41D8" w14:paraId="5F4F1D58" w14:textId="77777777" w:rsidTr="007E3006">
        <w:trPr>
          <w:trHeight w:val="360"/>
        </w:trPr>
        <w:tc>
          <w:tcPr>
            <w:tcW w:w="2116" w:type="dxa"/>
          </w:tcPr>
          <w:p w14:paraId="4C9385E2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2E41D8">
              <w:rPr>
                <w:rFonts w:ascii="Arial" w:hAnsi="Arial" w:cs="Arial"/>
                <w:sz w:val="20"/>
              </w:rPr>
              <w:t>CERAD</w:t>
            </w:r>
          </w:p>
        </w:tc>
        <w:tc>
          <w:tcPr>
            <w:tcW w:w="2371" w:type="dxa"/>
          </w:tcPr>
          <w:p w14:paraId="52840A23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E41D8">
              <w:rPr>
                <w:rFonts w:ascii="Arial" w:hAnsi="Arial" w:cs="Arial"/>
                <w:sz w:val="20"/>
              </w:rPr>
              <w:t>Negative (6/6)</w:t>
            </w:r>
          </w:p>
        </w:tc>
        <w:tc>
          <w:tcPr>
            <w:tcW w:w="2963" w:type="dxa"/>
          </w:tcPr>
          <w:p w14:paraId="2E85D528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E41D8">
              <w:rPr>
                <w:rFonts w:ascii="Arial" w:hAnsi="Arial" w:cs="Arial"/>
                <w:sz w:val="20"/>
              </w:rPr>
              <w:t>Frequent (6/6)</w:t>
            </w:r>
          </w:p>
        </w:tc>
      </w:tr>
      <w:tr w:rsidR="00E728F6" w:rsidRPr="002E41D8" w14:paraId="647F9A1F" w14:textId="77777777" w:rsidTr="007E3006">
        <w:trPr>
          <w:trHeight w:val="353"/>
        </w:trPr>
        <w:tc>
          <w:tcPr>
            <w:tcW w:w="2116" w:type="dxa"/>
          </w:tcPr>
          <w:p w14:paraId="7925B38C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2E41D8">
              <w:rPr>
                <w:rFonts w:ascii="Arial" w:hAnsi="Arial" w:cs="Arial"/>
                <w:sz w:val="20"/>
              </w:rPr>
              <w:t>Vascular risk factors</w:t>
            </w:r>
          </w:p>
        </w:tc>
        <w:tc>
          <w:tcPr>
            <w:tcW w:w="2371" w:type="dxa"/>
          </w:tcPr>
          <w:p w14:paraId="3666085B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E41D8">
              <w:rPr>
                <w:rFonts w:ascii="Arial" w:hAnsi="Arial" w:cs="Arial"/>
                <w:sz w:val="20"/>
              </w:rPr>
              <w:t>6/6</w:t>
            </w:r>
          </w:p>
        </w:tc>
        <w:tc>
          <w:tcPr>
            <w:tcW w:w="2963" w:type="dxa"/>
          </w:tcPr>
          <w:p w14:paraId="035B66B3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E41D8">
              <w:rPr>
                <w:rFonts w:ascii="Arial" w:hAnsi="Arial" w:cs="Arial"/>
                <w:sz w:val="20"/>
              </w:rPr>
              <w:t>4/6</w:t>
            </w:r>
          </w:p>
        </w:tc>
      </w:tr>
      <w:tr w:rsidR="009263B8" w:rsidRPr="002E41D8" w14:paraId="7BA9852A" w14:textId="77777777" w:rsidTr="007E3006">
        <w:trPr>
          <w:trHeight w:val="353"/>
        </w:trPr>
        <w:tc>
          <w:tcPr>
            <w:tcW w:w="2116" w:type="dxa"/>
          </w:tcPr>
          <w:p w14:paraId="00E9EAD7" w14:textId="0B528439" w:rsidR="009263B8" w:rsidRPr="007822EF" w:rsidRDefault="009263B8" w:rsidP="007E3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7822EF">
              <w:rPr>
                <w:rFonts w:ascii="Arial" w:hAnsi="Arial" w:cs="Arial"/>
                <w:i/>
                <w:sz w:val="20"/>
              </w:rPr>
              <w:t>APOE</w:t>
            </w:r>
            <w:r w:rsidRPr="007822EF">
              <w:rPr>
                <w:rFonts w:ascii="Arial" w:hAnsi="Arial" w:cs="Arial"/>
                <w:sz w:val="20"/>
              </w:rPr>
              <w:t xml:space="preserve"> genotypes</w:t>
            </w:r>
          </w:p>
        </w:tc>
        <w:tc>
          <w:tcPr>
            <w:tcW w:w="2371" w:type="dxa"/>
          </w:tcPr>
          <w:p w14:paraId="28E2DBE6" w14:textId="78D48A9D" w:rsidR="009263B8" w:rsidRPr="007822EF" w:rsidRDefault="009263B8" w:rsidP="007E3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7822EF">
              <w:rPr>
                <w:rFonts w:ascii="Arial" w:hAnsi="Arial" w:cs="Arial"/>
                <w:sz w:val="20"/>
              </w:rPr>
              <w:t>ε3/ε3 (2), ε3/ε4 (4)</w:t>
            </w:r>
          </w:p>
        </w:tc>
        <w:tc>
          <w:tcPr>
            <w:tcW w:w="2963" w:type="dxa"/>
          </w:tcPr>
          <w:p w14:paraId="221ADD53" w14:textId="1E3A0D73" w:rsidR="009263B8" w:rsidRPr="007822EF" w:rsidRDefault="009263B8" w:rsidP="007E3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7822EF">
              <w:rPr>
                <w:rFonts w:ascii="Arial" w:hAnsi="Arial" w:cs="Arial"/>
                <w:sz w:val="20"/>
              </w:rPr>
              <w:t>ε3/ε3(2), ε3/ε4 (3), ε4/ε4 (1)</w:t>
            </w:r>
          </w:p>
        </w:tc>
      </w:tr>
      <w:tr w:rsidR="00E728F6" w:rsidRPr="002E41D8" w14:paraId="5AFB8BB0" w14:textId="77777777" w:rsidTr="007E3006">
        <w:trPr>
          <w:trHeight w:val="360"/>
        </w:trPr>
        <w:tc>
          <w:tcPr>
            <w:tcW w:w="2116" w:type="dxa"/>
          </w:tcPr>
          <w:p w14:paraId="0E4880D7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2E41D8">
              <w:rPr>
                <w:rFonts w:ascii="Arial" w:hAnsi="Arial" w:cs="Arial"/>
                <w:sz w:val="20"/>
              </w:rPr>
              <w:t>Age of death</w:t>
            </w:r>
          </w:p>
        </w:tc>
        <w:tc>
          <w:tcPr>
            <w:tcW w:w="2371" w:type="dxa"/>
          </w:tcPr>
          <w:p w14:paraId="0E8368F6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E41D8">
              <w:rPr>
                <w:rFonts w:ascii="Arial" w:hAnsi="Arial" w:cs="Arial"/>
                <w:sz w:val="20"/>
              </w:rPr>
              <w:t>76 ± 11</w:t>
            </w:r>
          </w:p>
        </w:tc>
        <w:tc>
          <w:tcPr>
            <w:tcW w:w="2963" w:type="dxa"/>
          </w:tcPr>
          <w:p w14:paraId="625E6953" w14:textId="77777777" w:rsidR="00E728F6" w:rsidRPr="002E41D8" w:rsidRDefault="00E728F6" w:rsidP="007E3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E41D8">
              <w:rPr>
                <w:rFonts w:ascii="Arial" w:hAnsi="Arial" w:cs="Arial"/>
                <w:sz w:val="20"/>
              </w:rPr>
              <w:t>83 ± 6</w:t>
            </w:r>
          </w:p>
        </w:tc>
      </w:tr>
    </w:tbl>
    <w:p w14:paraId="7F2AC669" w14:textId="77777777" w:rsidR="00E728F6" w:rsidRPr="00E728F6" w:rsidRDefault="00E728F6" w:rsidP="00E728F6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728F6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mographic and clinical features </w:t>
      </w:r>
      <w:r w:rsidRPr="00E728F6">
        <w:rPr>
          <w:rFonts w:ascii="Times New Roman" w:hAnsi="Times New Roman" w:cs="Times New Roman"/>
          <w:sz w:val="24"/>
          <w:szCs w:val="24"/>
        </w:rPr>
        <w:t>of human subjects</w:t>
      </w:r>
      <w:r>
        <w:rPr>
          <w:rFonts w:ascii="Times New Roman" w:hAnsi="Times New Roman" w:cs="Times New Roman"/>
          <w:sz w:val="24"/>
          <w:szCs w:val="24"/>
        </w:rPr>
        <w:t xml:space="preserve"> used in this study</w:t>
      </w:r>
      <w:r w:rsidRPr="00E728F6">
        <w:rPr>
          <w:rFonts w:ascii="Times New Roman" w:hAnsi="Times New Roman" w:cs="Times New Roman"/>
          <w:sz w:val="24"/>
          <w:szCs w:val="24"/>
        </w:rPr>
        <w:t>. Abbreviations:</w:t>
      </w:r>
    </w:p>
    <w:p w14:paraId="270AA46E" w14:textId="77777777" w:rsidR="00E728F6" w:rsidRPr="00E728F6" w:rsidRDefault="00E728F6" w:rsidP="00E728F6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728F6">
        <w:rPr>
          <w:rFonts w:ascii="Times New Roman" w:hAnsi="Times New Roman" w:cs="Times New Roman"/>
          <w:sz w:val="24"/>
          <w:szCs w:val="24"/>
        </w:rPr>
        <w:t>CERAD = Con</w:t>
      </w:r>
      <w:r>
        <w:rPr>
          <w:rFonts w:ascii="Times New Roman" w:hAnsi="Times New Roman" w:cs="Times New Roman"/>
          <w:sz w:val="24"/>
          <w:szCs w:val="24"/>
        </w:rPr>
        <w:t xml:space="preserve">sortium to Establish a Registry </w:t>
      </w:r>
      <w:r w:rsidRPr="00E728F6">
        <w:rPr>
          <w:rFonts w:ascii="Times New Roman" w:hAnsi="Times New Roman" w:cs="Times New Roman"/>
          <w:sz w:val="24"/>
          <w:szCs w:val="24"/>
        </w:rPr>
        <w:t>for Alzheimer’s Disease</w:t>
      </w:r>
      <w:r>
        <w:rPr>
          <w:rFonts w:ascii="Times New Roman" w:hAnsi="Times New Roman" w:cs="Times New Roman"/>
          <w:sz w:val="24"/>
          <w:szCs w:val="24"/>
        </w:rPr>
        <w:t>. Mean ± SD.</w:t>
      </w:r>
    </w:p>
    <w:p w14:paraId="5E52D438" w14:textId="77777777" w:rsidR="00E728F6" w:rsidRDefault="00E728F6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AA45464" w14:textId="4F2D155D" w:rsidR="00CA3067" w:rsidRPr="003A48E3" w:rsidRDefault="0056598E" w:rsidP="00D4455D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</w:t>
      </w:r>
      <w:r w:rsidR="00CA3067" w:rsidRPr="003A48E3">
        <w:rPr>
          <w:rFonts w:ascii="Times New Roman" w:hAnsi="Times New Roman" w:cs="Times New Roman"/>
          <w:b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CA3067" w:rsidRPr="003A48E3">
        <w:rPr>
          <w:rFonts w:ascii="Times New Roman" w:hAnsi="Times New Roman" w:cs="Times New Roman"/>
          <w:b/>
          <w:sz w:val="24"/>
          <w:szCs w:val="24"/>
        </w:rPr>
        <w:t xml:space="preserve">1. Aβ deposition in microvessels in AD patients and </w:t>
      </w:r>
      <w:r w:rsidR="00CA3067" w:rsidRPr="003A48E3">
        <w:rPr>
          <w:rFonts w:ascii="Times New Roman" w:hAnsi="Times New Roman" w:cs="Times New Roman"/>
          <w:b/>
          <w:i/>
          <w:sz w:val="24"/>
          <w:szCs w:val="24"/>
        </w:rPr>
        <w:t>APP</w:t>
      </w:r>
      <w:r w:rsidR="00CA30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A3067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Swe</w:t>
      </w:r>
      <w:r w:rsidR="00CA3067" w:rsidRPr="003A48E3">
        <w:rPr>
          <w:rFonts w:ascii="Times New Roman" w:hAnsi="Times New Roman" w:cs="Times New Roman"/>
          <w:b/>
          <w:sz w:val="24"/>
          <w:szCs w:val="24"/>
        </w:rPr>
        <w:t xml:space="preserve"> mice</w:t>
      </w:r>
    </w:p>
    <w:p w14:paraId="7D465751" w14:textId="77777777" w:rsidR="00CA3067" w:rsidRDefault="00A2615C" w:rsidP="00D445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A32FA4" wp14:editId="53676B5D">
            <wp:extent cx="3847465" cy="4756150"/>
            <wp:effectExtent l="0" t="0" r="635" b="6350"/>
            <wp:docPr id="2" name="Picture 2" descr="C:\Users\zzhao\Dropbox\Zhao Lab\Manuscipt\Molecular Neurodegeneration\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zhao\Dropbox\Zhao Lab\Manuscipt\Molecular Neurodegeneration\S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475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0BA36" w14:textId="77777777" w:rsidR="00CA3067" w:rsidRPr="003A48E3" w:rsidRDefault="00CA3067" w:rsidP="00D4455D">
      <w:p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Pr="003A48E3">
        <w:rPr>
          <w:rFonts w:ascii="Times New Roman" w:eastAsia="Calibri" w:hAnsi="Times New Roman" w:cs="Times New Roman"/>
          <w:b/>
          <w:bCs/>
          <w:sz w:val="24"/>
          <w:szCs w:val="24"/>
        </w:rPr>
        <w:t>A-C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r w:rsidRPr="00084602">
        <w:rPr>
          <w:rFonts w:ascii="Times New Roman" w:eastAsia="Calibri" w:hAnsi="Times New Roman" w:cs="Times New Roman"/>
          <w:bCs/>
          <w:sz w:val="24"/>
          <w:szCs w:val="24"/>
        </w:rPr>
        <w:t xml:space="preserve">Representative high resolution confocal microscopy analysis </w:t>
      </w:r>
      <w:r>
        <w:rPr>
          <w:rFonts w:ascii="Times New Roman" w:hAnsi="Times New Roman" w:cs="Times New Roman"/>
          <w:sz w:val="24"/>
          <w:szCs w:val="24"/>
        </w:rPr>
        <w:t>showing Aβ deposition (green) in L</w:t>
      </w:r>
      <w:r w:rsidRPr="003A48E3">
        <w:rPr>
          <w:rFonts w:ascii="Times New Roman" w:hAnsi="Times New Roman" w:cs="Times New Roman"/>
          <w:sz w:val="24"/>
          <w:szCs w:val="24"/>
        </w:rPr>
        <w:t>ectin-pos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A48E3">
        <w:rPr>
          <w:rFonts w:ascii="Times New Roman" w:hAnsi="Times New Roman" w:cs="Times New Roman"/>
          <w:sz w:val="24"/>
          <w:szCs w:val="24"/>
        </w:rPr>
        <w:t xml:space="preserve">tive brain microvessels </w:t>
      </w:r>
      <w:r>
        <w:rPr>
          <w:rFonts w:ascii="Times New Roman" w:hAnsi="Times New Roman" w:cs="Times New Roman"/>
          <w:sz w:val="24"/>
          <w:szCs w:val="24"/>
        </w:rPr>
        <w:t xml:space="preserve">(magenta) </w:t>
      </w:r>
      <w:r w:rsidRPr="003A48E3">
        <w:rPr>
          <w:rFonts w:ascii="Times New Roman" w:hAnsi="Times New Roman" w:cs="Times New Roman"/>
          <w:sz w:val="24"/>
          <w:szCs w:val="24"/>
        </w:rPr>
        <w:t xml:space="preserve">in human </w:t>
      </w:r>
      <w:r w:rsidR="00A2615C">
        <w:rPr>
          <w:rFonts w:ascii="Times New Roman" w:hAnsi="Times New Roman" w:cs="Times New Roman"/>
          <w:sz w:val="24"/>
          <w:szCs w:val="24"/>
        </w:rPr>
        <w:t>control and AD patient</w:t>
      </w:r>
      <w:r w:rsidRPr="003A48E3">
        <w:rPr>
          <w:rFonts w:ascii="Times New Roman" w:hAnsi="Times New Roman" w:cs="Times New Roman"/>
          <w:sz w:val="24"/>
          <w:szCs w:val="24"/>
        </w:rPr>
        <w:t xml:space="preserve"> (</w:t>
      </w:r>
      <w:r w:rsidRPr="003A48E3">
        <w:rPr>
          <w:rFonts w:ascii="Times New Roman" w:hAnsi="Times New Roman" w:cs="Times New Roman"/>
          <w:b/>
          <w:sz w:val="24"/>
          <w:szCs w:val="24"/>
        </w:rPr>
        <w:t>A, B</w:t>
      </w:r>
      <w:r w:rsidRPr="003A48E3">
        <w:rPr>
          <w:rFonts w:ascii="Times New Roman" w:hAnsi="Times New Roman" w:cs="Times New Roman"/>
          <w:sz w:val="24"/>
          <w:szCs w:val="24"/>
        </w:rPr>
        <w:t xml:space="preserve">), and 8.5 months old </w:t>
      </w:r>
      <w:r w:rsidRPr="003A48E3">
        <w:rPr>
          <w:rFonts w:ascii="Times New Roman" w:hAnsi="Times New Roman" w:cs="Times New Roman"/>
          <w:i/>
          <w:sz w:val="24"/>
          <w:szCs w:val="24"/>
        </w:rPr>
        <w:t xml:space="preserve">APP </w:t>
      </w:r>
      <w:r w:rsidRPr="003A48E3">
        <w:rPr>
          <w:rFonts w:ascii="Times New Roman" w:hAnsi="Times New Roman" w:cs="Times New Roman"/>
          <w:i/>
          <w:sz w:val="24"/>
          <w:szCs w:val="24"/>
          <w:vertAlign w:val="superscript"/>
        </w:rPr>
        <w:t>sw/0</w:t>
      </w:r>
      <w:r w:rsidRPr="003A48E3">
        <w:rPr>
          <w:rFonts w:ascii="Times New Roman" w:hAnsi="Times New Roman" w:cs="Times New Roman"/>
          <w:sz w:val="24"/>
          <w:szCs w:val="24"/>
        </w:rPr>
        <w:t xml:space="preserve"> mice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Pr="003A48E3">
        <w:rPr>
          <w:rFonts w:ascii="Times New Roman" w:eastAsia="Calibri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Pr="003A48E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Colocalization is shown as white. </w:t>
      </w:r>
      <w:r w:rsidRPr="003A48E3">
        <w:rPr>
          <w:rFonts w:ascii="Times New Roman" w:hAnsi="Times New Roman" w:cs="Times New Roman"/>
          <w:sz w:val="24"/>
          <w:szCs w:val="24"/>
        </w:rPr>
        <w:t xml:space="preserve">Scale bar: </w:t>
      </w:r>
      <w:r w:rsidR="00A2615C">
        <w:rPr>
          <w:rFonts w:ascii="Times New Roman" w:hAnsi="Times New Roman" w:cs="Times New Roman"/>
          <w:sz w:val="24"/>
          <w:szCs w:val="24"/>
        </w:rPr>
        <w:t>10</w:t>
      </w:r>
      <w:r w:rsidRPr="003A48E3">
        <w:rPr>
          <w:rFonts w:ascii="Times New Roman" w:hAnsi="Times New Roman" w:cs="Times New Roman"/>
          <w:sz w:val="24"/>
          <w:szCs w:val="24"/>
        </w:rPr>
        <w:t xml:space="preserve"> µm.</w:t>
      </w:r>
    </w:p>
    <w:p w14:paraId="61445FCA" w14:textId="765569AB" w:rsidR="00E728F6" w:rsidRPr="003A48E3" w:rsidRDefault="00CA3067" w:rsidP="00E728F6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8E3">
        <w:rPr>
          <w:rFonts w:ascii="Times New Roman" w:hAnsi="Times New Roman" w:cs="Times New Roman"/>
          <w:b/>
          <w:sz w:val="24"/>
          <w:szCs w:val="24"/>
        </w:rPr>
        <w:br w:type="page"/>
      </w:r>
      <w:r w:rsidR="000D5372">
        <w:rPr>
          <w:rFonts w:ascii="Times New Roman" w:hAnsi="Times New Roman" w:cs="Times New Roman"/>
          <w:b/>
          <w:sz w:val="24"/>
          <w:szCs w:val="24"/>
        </w:rPr>
        <w:lastRenderedPageBreak/>
        <w:t>Fi</w:t>
      </w:r>
      <w:r w:rsidR="00E728F6" w:rsidRPr="003A48E3">
        <w:rPr>
          <w:rFonts w:ascii="Times New Roman" w:hAnsi="Times New Roman" w:cs="Times New Roman"/>
          <w:b/>
          <w:sz w:val="24"/>
          <w:szCs w:val="24"/>
        </w:rPr>
        <w:t xml:space="preserve">gure </w:t>
      </w:r>
      <w:r w:rsidR="000D5372">
        <w:rPr>
          <w:rFonts w:ascii="Times New Roman" w:hAnsi="Times New Roman" w:cs="Times New Roman"/>
          <w:b/>
          <w:sz w:val="24"/>
          <w:szCs w:val="24"/>
        </w:rPr>
        <w:t>S</w:t>
      </w:r>
      <w:r w:rsidR="00E728F6">
        <w:rPr>
          <w:rFonts w:ascii="Times New Roman" w:hAnsi="Times New Roman" w:cs="Times New Roman"/>
          <w:b/>
          <w:sz w:val="24"/>
          <w:szCs w:val="24"/>
        </w:rPr>
        <w:t>2</w:t>
      </w:r>
      <w:r w:rsidR="00E728F6" w:rsidRPr="003A48E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71BAEBD" w14:textId="77777777" w:rsidR="00E728F6" w:rsidRPr="003A48E3" w:rsidRDefault="00E728F6" w:rsidP="00E728F6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0B40C9" w14:textId="77777777" w:rsidR="00E728F6" w:rsidRPr="003A48E3" w:rsidRDefault="00E728F6" w:rsidP="00E728F6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18E9EE2" wp14:editId="1772249D">
            <wp:extent cx="1638300" cy="2286000"/>
            <wp:effectExtent l="0" t="0" r="0" b="0"/>
            <wp:docPr id="1" name="Picture 1" descr="C:\Users\Abhay\Desktop\aBETA-GEL\Abeta42Oligomer 2h incub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hay\Desktop\aBETA-GEL\Abeta42Oligomer 2h incubati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1145E" w14:textId="77777777" w:rsidR="00E728F6" w:rsidRPr="003A48E3" w:rsidRDefault="00E728F6" w:rsidP="00E728F6">
      <w:pPr>
        <w:spacing w:before="120"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82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Western blot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analyses of Aβ42 aggregates separated on a 4-12% Bis-Tris nonreducing SDS-PAGE and probed with the β-amyloid (D54D2) XP rabbit monoclonal antibody (Cat #8243S, Cell Signaling) recognizing the amino terminus of human Aβ. 1 µM Aβ42 in serum-free pericyte culture medium (freshly prepared, lane 1) and after 2 h incubation at 37°C (lane 2).</w:t>
      </w:r>
    </w:p>
    <w:p w14:paraId="68374093" w14:textId="77777777" w:rsidR="00E728F6" w:rsidRPr="00A2615C" w:rsidRDefault="00E728F6" w:rsidP="00E728F6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14:paraId="2AB52CEF" w14:textId="77777777" w:rsidR="00E728F6" w:rsidRDefault="00E728F6" w:rsidP="00E728F6"/>
    <w:p w14:paraId="03898506" w14:textId="77777777" w:rsidR="00E728F6" w:rsidRDefault="00E728F6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DC0F37F" w14:textId="412FE2DC" w:rsidR="004C7EBC" w:rsidRPr="003A48E3" w:rsidRDefault="00550CE1" w:rsidP="004C7EBC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</w:t>
      </w:r>
      <w:r w:rsidR="004C7EBC" w:rsidRPr="003A48E3">
        <w:rPr>
          <w:rFonts w:ascii="Times New Roman" w:hAnsi="Times New Roman" w:cs="Times New Roman"/>
          <w:b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E728F6">
        <w:rPr>
          <w:rFonts w:ascii="Times New Roman" w:hAnsi="Times New Roman" w:cs="Times New Roman"/>
          <w:b/>
          <w:sz w:val="24"/>
          <w:szCs w:val="24"/>
        </w:rPr>
        <w:t>3</w:t>
      </w:r>
      <w:r w:rsidR="004C7EBC" w:rsidRPr="003A48E3">
        <w:rPr>
          <w:rFonts w:ascii="Times New Roman" w:hAnsi="Times New Roman" w:cs="Times New Roman"/>
          <w:b/>
          <w:sz w:val="24"/>
          <w:szCs w:val="24"/>
        </w:rPr>
        <w:t>.</w:t>
      </w:r>
      <w:r w:rsidR="004C7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7EBC" w:rsidRPr="003A48E3">
        <w:rPr>
          <w:rFonts w:ascii="Times New Roman" w:hAnsi="Times New Roman" w:cs="Times New Roman"/>
          <w:b/>
          <w:sz w:val="24"/>
          <w:szCs w:val="24"/>
        </w:rPr>
        <w:t>Cy3-Aβ42 cellular uptake in wild type mouse brain slices within 30 min.</w:t>
      </w:r>
    </w:p>
    <w:p w14:paraId="7E4A3170" w14:textId="77777777" w:rsidR="004C7EBC" w:rsidRPr="003A48E3" w:rsidRDefault="004C7EBC" w:rsidP="004C7EBC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0F34CB7" wp14:editId="60D2CC5D">
            <wp:extent cx="5936615" cy="4947285"/>
            <wp:effectExtent l="0" t="0" r="6985" b="5715"/>
            <wp:docPr id="4" name="Picture 4" descr="C:\Users\zzhao\Dropbox\Zhao Lab\Manuscipt\Molecular Neurodegeneration\S3_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zhao\Dropbox\Zhao Lab\Manuscipt\Molecular Neurodegeneration\S3_8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94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7A1E0" w14:textId="77777777" w:rsidR="004C7EBC" w:rsidRPr="008C65BC" w:rsidRDefault="004C7EBC" w:rsidP="004C7EBC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</w:t>
      </w:r>
      <w:r w:rsidRPr="003A48E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A48E3">
        <w:rPr>
          <w:rFonts w:ascii="Times New Roman" w:hAnsi="Times New Roman" w:cs="Times New Roman"/>
          <w:sz w:val="24"/>
          <w:szCs w:val="24"/>
        </w:rPr>
        <w:t xml:space="preserve">Representative </w:t>
      </w:r>
      <w:r w:rsidRPr="00084602">
        <w:rPr>
          <w:rFonts w:ascii="Times New Roman" w:eastAsia="Calibri" w:hAnsi="Times New Roman" w:cs="Times New Roman"/>
          <w:bCs/>
          <w:sz w:val="24"/>
          <w:szCs w:val="24"/>
        </w:rPr>
        <w:t xml:space="preserve">high resolution confocal microscopy </w:t>
      </w:r>
      <w:r w:rsidRPr="003A48E3">
        <w:rPr>
          <w:rFonts w:ascii="Times New Roman" w:hAnsi="Times New Roman" w:cs="Times New Roman"/>
          <w:sz w:val="24"/>
          <w:szCs w:val="24"/>
        </w:rPr>
        <w:t xml:space="preserve">images showing Cy3-Aβ42 </w:t>
      </w:r>
      <w:r>
        <w:rPr>
          <w:rFonts w:ascii="Times New Roman" w:hAnsi="Times New Roman" w:cs="Times New Roman"/>
          <w:sz w:val="24"/>
          <w:szCs w:val="24"/>
        </w:rPr>
        <w:t xml:space="preserve">(red) </w:t>
      </w:r>
      <w:r w:rsidRPr="003A48E3">
        <w:rPr>
          <w:rFonts w:ascii="Times New Roman" w:hAnsi="Times New Roman" w:cs="Times New Roman"/>
          <w:sz w:val="24"/>
          <w:szCs w:val="24"/>
        </w:rPr>
        <w:t>uptake by PDGFRβ-positive pericyte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A4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(green) </w:t>
      </w:r>
      <w:r w:rsidRPr="003A48E3">
        <w:rPr>
          <w:rFonts w:ascii="Times New Roman" w:hAnsi="Times New Roman" w:cs="Times New Roman"/>
          <w:sz w:val="24"/>
          <w:szCs w:val="24"/>
        </w:rPr>
        <w:t>in murine bra</w:t>
      </w:r>
      <w:r>
        <w:rPr>
          <w:rFonts w:ascii="Times New Roman" w:hAnsi="Times New Roman" w:cs="Times New Roman"/>
          <w:sz w:val="24"/>
          <w:szCs w:val="24"/>
        </w:rPr>
        <w:t>in slices within 30 min in</w:t>
      </w:r>
      <w:r w:rsidRPr="003A48E3">
        <w:rPr>
          <w:rFonts w:ascii="Times New Roman" w:hAnsi="Times New Roman" w:cs="Times New Roman"/>
          <w:sz w:val="24"/>
          <w:szCs w:val="24"/>
        </w:rPr>
        <w:t xml:space="preserve"> the presence of 5 µg/ml Cy3-Aβ42. </w:t>
      </w:r>
      <w:r>
        <w:rPr>
          <w:rFonts w:ascii="Times New Roman" w:hAnsi="Times New Roman" w:cs="Times New Roman"/>
          <w:sz w:val="24"/>
          <w:szCs w:val="24"/>
        </w:rPr>
        <w:t xml:space="preserve">Mouse brain slices were prepared as in Fig 5. </w:t>
      </w:r>
      <w:r w:rsidRPr="003A48E3">
        <w:rPr>
          <w:rFonts w:ascii="Times New Roman" w:hAnsi="Times New Roman" w:cs="Times New Roman"/>
          <w:sz w:val="24"/>
          <w:szCs w:val="24"/>
        </w:rPr>
        <w:t xml:space="preserve">Scale bar: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A48E3">
        <w:rPr>
          <w:rFonts w:ascii="Times New Roman" w:hAnsi="Times New Roman" w:cs="Times New Roman"/>
          <w:sz w:val="24"/>
          <w:szCs w:val="24"/>
        </w:rPr>
        <w:t xml:space="preserve"> µm (</w:t>
      </w:r>
      <w:r w:rsidRPr="003A48E3">
        <w:rPr>
          <w:rFonts w:ascii="Times New Roman" w:hAnsi="Times New Roman" w:cs="Times New Roman"/>
          <w:b/>
          <w:sz w:val="24"/>
          <w:szCs w:val="24"/>
        </w:rPr>
        <w:t>B</w:t>
      </w:r>
      <w:r w:rsidRPr="003A48E3">
        <w:rPr>
          <w:rFonts w:ascii="Times New Roman" w:hAnsi="Times New Roman" w:cs="Times New Roman"/>
          <w:sz w:val="24"/>
          <w:szCs w:val="24"/>
        </w:rPr>
        <w:t>) Orthogonal views show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3A48E3">
        <w:rPr>
          <w:rFonts w:ascii="Times New Roman" w:hAnsi="Times New Roman" w:cs="Times New Roman"/>
          <w:sz w:val="24"/>
          <w:szCs w:val="24"/>
        </w:rPr>
        <w:t xml:space="preserve"> Cy3-Aβ42 </w:t>
      </w:r>
      <w:r>
        <w:rPr>
          <w:rFonts w:ascii="Times New Roman" w:hAnsi="Times New Roman" w:cs="Times New Roman"/>
          <w:sz w:val="24"/>
          <w:szCs w:val="24"/>
        </w:rPr>
        <w:t xml:space="preserve">(red) </w:t>
      </w:r>
      <w:r w:rsidRPr="003A48E3">
        <w:rPr>
          <w:rFonts w:ascii="Times New Roman" w:hAnsi="Times New Roman" w:cs="Times New Roman"/>
          <w:sz w:val="24"/>
          <w:szCs w:val="24"/>
        </w:rPr>
        <w:t>accumulation in</w:t>
      </w:r>
      <w:r>
        <w:rPr>
          <w:rFonts w:ascii="Times New Roman" w:hAnsi="Times New Roman" w:cs="Times New Roman"/>
          <w:sz w:val="24"/>
          <w:szCs w:val="24"/>
        </w:rPr>
        <w:t>side of</w:t>
      </w:r>
      <w:r w:rsidRPr="003A4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PDGFR-β-positive pericyte (green)</w:t>
      </w:r>
      <w:r w:rsidRPr="003A48E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Merge: yellow.</w:t>
      </w:r>
      <w:r w:rsidRPr="003A4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(C</w:t>
      </w:r>
      <w:r w:rsidRPr="003A48E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A48E3">
        <w:rPr>
          <w:rFonts w:ascii="Times New Roman" w:hAnsi="Times New Roman" w:cs="Times New Roman"/>
          <w:sz w:val="24"/>
          <w:szCs w:val="24"/>
        </w:rPr>
        <w:t xml:space="preserve">Representative </w:t>
      </w:r>
      <w:r w:rsidRPr="00084602">
        <w:rPr>
          <w:rFonts w:ascii="Times New Roman" w:eastAsia="Calibri" w:hAnsi="Times New Roman" w:cs="Times New Roman"/>
          <w:bCs/>
          <w:sz w:val="24"/>
          <w:szCs w:val="24"/>
        </w:rPr>
        <w:t xml:space="preserve">high resolution confocal microscopy </w:t>
      </w:r>
      <w:r w:rsidRPr="003A48E3">
        <w:rPr>
          <w:rFonts w:ascii="Times New Roman" w:hAnsi="Times New Roman" w:cs="Times New Roman"/>
          <w:sz w:val="24"/>
          <w:szCs w:val="24"/>
        </w:rPr>
        <w:t xml:space="preserve">images showing Cy3-Aβ42 </w:t>
      </w:r>
      <w:r>
        <w:rPr>
          <w:rFonts w:ascii="Times New Roman" w:hAnsi="Times New Roman" w:cs="Times New Roman"/>
          <w:sz w:val="24"/>
          <w:szCs w:val="24"/>
        </w:rPr>
        <w:t xml:space="preserve">(red) </w:t>
      </w:r>
      <w:r w:rsidRPr="003A48E3">
        <w:rPr>
          <w:rFonts w:ascii="Times New Roman" w:hAnsi="Times New Roman" w:cs="Times New Roman"/>
          <w:sz w:val="24"/>
          <w:szCs w:val="24"/>
        </w:rPr>
        <w:t xml:space="preserve">uptake by </w:t>
      </w:r>
      <w:r>
        <w:rPr>
          <w:rFonts w:ascii="Times New Roman" w:hAnsi="Times New Roman" w:cs="Times New Roman"/>
          <w:sz w:val="24"/>
          <w:szCs w:val="24"/>
        </w:rPr>
        <w:t>lectin</w:t>
      </w:r>
      <w:r w:rsidRPr="003A48E3">
        <w:rPr>
          <w:rFonts w:ascii="Times New Roman" w:hAnsi="Times New Roman" w:cs="Times New Roman"/>
          <w:sz w:val="24"/>
          <w:szCs w:val="24"/>
        </w:rPr>
        <w:t xml:space="preserve">-positive </w:t>
      </w:r>
      <w:r>
        <w:rPr>
          <w:rFonts w:ascii="Times New Roman" w:hAnsi="Times New Roman" w:cs="Times New Roman"/>
          <w:sz w:val="24"/>
          <w:szCs w:val="24"/>
        </w:rPr>
        <w:t>endothelial cells</w:t>
      </w:r>
      <w:r w:rsidRPr="003A4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(green) </w:t>
      </w:r>
      <w:r w:rsidRPr="003A48E3">
        <w:rPr>
          <w:rFonts w:ascii="Times New Roman" w:hAnsi="Times New Roman" w:cs="Times New Roman"/>
          <w:sz w:val="24"/>
          <w:szCs w:val="24"/>
        </w:rPr>
        <w:t>in murine bra</w:t>
      </w:r>
      <w:r>
        <w:rPr>
          <w:rFonts w:ascii="Times New Roman" w:hAnsi="Times New Roman" w:cs="Times New Roman"/>
          <w:sz w:val="24"/>
          <w:szCs w:val="24"/>
        </w:rPr>
        <w:t xml:space="preserve">in slices 30 min or 2 h after </w:t>
      </w:r>
      <w:r w:rsidRPr="003A48E3">
        <w:rPr>
          <w:rFonts w:ascii="Times New Roman" w:hAnsi="Times New Roman" w:cs="Times New Roman"/>
          <w:sz w:val="24"/>
          <w:szCs w:val="24"/>
        </w:rPr>
        <w:t>5 µg/ml Cy3-Aβ42</w:t>
      </w:r>
      <w:r>
        <w:rPr>
          <w:rFonts w:ascii="Times New Roman" w:hAnsi="Times New Roman" w:cs="Times New Roman"/>
          <w:sz w:val="24"/>
          <w:szCs w:val="24"/>
        </w:rPr>
        <w:t xml:space="preserve"> treatment</w:t>
      </w:r>
      <w:r w:rsidRPr="003A48E3">
        <w:rPr>
          <w:rFonts w:ascii="Times New Roman" w:hAnsi="Times New Roman" w:cs="Times New Roman"/>
          <w:sz w:val="24"/>
          <w:szCs w:val="24"/>
        </w:rPr>
        <w:t>. Scale bar: 20 µm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3A48E3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3A48E3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3A48E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A48E3">
        <w:rPr>
          <w:rFonts w:ascii="Times New Roman" w:hAnsi="Times New Roman" w:cs="Times New Roman"/>
          <w:sz w:val="24"/>
          <w:szCs w:val="24"/>
        </w:rPr>
        <w:t xml:space="preserve">Representative images showing Cy3-Aβ42 uptake by GFAP-positive astrocyte </w:t>
      </w:r>
      <w:r w:rsidRPr="003A48E3">
        <w:rPr>
          <w:rFonts w:ascii="Times New Roman" w:hAnsi="Times New Roman" w:cs="Times New Roman"/>
          <w:b/>
          <w:sz w:val="24"/>
          <w:szCs w:val="24"/>
        </w:rPr>
        <w:t xml:space="preserve">(C) </w:t>
      </w:r>
      <w:r w:rsidRPr="003A48E3">
        <w:rPr>
          <w:rFonts w:ascii="Times New Roman" w:hAnsi="Times New Roman" w:cs="Times New Roman"/>
          <w:sz w:val="24"/>
          <w:szCs w:val="24"/>
        </w:rPr>
        <w:t xml:space="preserve">and Iba-1-positive microglia </w:t>
      </w:r>
      <w:r w:rsidRPr="003A48E3">
        <w:rPr>
          <w:rFonts w:ascii="Times New Roman" w:hAnsi="Times New Roman" w:cs="Times New Roman"/>
          <w:b/>
          <w:sz w:val="24"/>
          <w:szCs w:val="24"/>
        </w:rPr>
        <w:t>(D)</w:t>
      </w:r>
      <w:r w:rsidRPr="003A48E3">
        <w:rPr>
          <w:rFonts w:ascii="Times New Roman" w:hAnsi="Times New Roman" w:cs="Times New Roman"/>
          <w:sz w:val="24"/>
          <w:szCs w:val="24"/>
        </w:rPr>
        <w:t>. Scale bar: 20 µm.</w:t>
      </w:r>
    </w:p>
    <w:p w14:paraId="5FEA08E2" w14:textId="77777777" w:rsidR="00CA3067" w:rsidRPr="003A48E3" w:rsidRDefault="004C7EBC" w:rsidP="004C7EBC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AA48224" w14:textId="78D88879" w:rsidR="000E5956" w:rsidRDefault="00B340B6" w:rsidP="00D4455D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</w:t>
      </w:r>
      <w:r w:rsidR="000E5956" w:rsidRPr="007822EF">
        <w:rPr>
          <w:rFonts w:ascii="Times New Roman" w:hAnsi="Times New Roman" w:cs="Times New Roman"/>
          <w:b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0E5956" w:rsidRPr="007822E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263B8" w:rsidRPr="007822EF">
        <w:rPr>
          <w:rFonts w:ascii="Times New Roman" w:hAnsi="Times New Roman" w:cs="Times New Roman"/>
          <w:b/>
          <w:sz w:val="24"/>
          <w:szCs w:val="24"/>
        </w:rPr>
        <w:t xml:space="preserve">Pericyte coverages in </w:t>
      </w:r>
      <w:r w:rsidR="009263B8" w:rsidRPr="007822EF">
        <w:rPr>
          <w:rFonts w:ascii="Times New Roman" w:hAnsi="Times New Roman" w:cs="Times New Roman"/>
          <w:b/>
          <w:i/>
        </w:rPr>
        <w:t>Lrp1</w:t>
      </w:r>
      <w:r w:rsidR="009263B8" w:rsidRPr="007822EF">
        <w:rPr>
          <w:rFonts w:ascii="Times New Roman" w:hAnsi="Times New Roman" w:cs="Times New Roman"/>
          <w:b/>
          <w:i/>
          <w:vertAlign w:val="superscript"/>
        </w:rPr>
        <w:t>lox/lox</w:t>
      </w:r>
      <w:r w:rsidR="009263B8" w:rsidRPr="007822EF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9263B8" w:rsidRPr="007822EF">
        <w:rPr>
          <w:rFonts w:ascii="Times New Roman" w:hAnsi="Times New Roman" w:cs="Times New Roman"/>
          <w:b/>
          <w:i/>
        </w:rPr>
        <w:t>Lrp1</w:t>
      </w:r>
      <w:r w:rsidR="009263B8" w:rsidRPr="007822EF">
        <w:rPr>
          <w:rFonts w:ascii="Times New Roman" w:hAnsi="Times New Roman" w:cs="Times New Roman"/>
          <w:b/>
          <w:i/>
          <w:vertAlign w:val="superscript"/>
        </w:rPr>
        <w:t>lox/lox</w:t>
      </w:r>
      <w:r w:rsidR="009263B8" w:rsidRPr="007822EF">
        <w:rPr>
          <w:rFonts w:ascii="Times New Roman" w:hAnsi="Times New Roman" w:cs="Times New Roman"/>
          <w:b/>
          <w:i/>
        </w:rPr>
        <w:t xml:space="preserve">; Cspg4-Cre </w:t>
      </w:r>
      <w:r w:rsidR="009263B8" w:rsidRPr="007822EF">
        <w:rPr>
          <w:rFonts w:ascii="Times New Roman" w:hAnsi="Times New Roman" w:cs="Times New Roman"/>
          <w:b/>
        </w:rPr>
        <w:t>mice.</w:t>
      </w:r>
    </w:p>
    <w:p w14:paraId="71268FF8" w14:textId="1CFD0DD0" w:rsidR="009263B8" w:rsidRDefault="009263B8" w:rsidP="009263B8">
      <w:pPr>
        <w:rPr>
          <w:rFonts w:eastAsia="Times New Roman"/>
          <w:lang w:eastAsia="zh-CN"/>
        </w:rPr>
      </w:pPr>
      <w:r>
        <w:rPr>
          <w:rFonts w:eastAsia="Times New Roman"/>
          <w:noProof/>
        </w:rPr>
        <w:drawing>
          <wp:inline distT="0" distB="0" distL="0" distR="0" wp14:anchorId="0CD8B864" wp14:editId="4AE70D7B">
            <wp:extent cx="2776855" cy="2433955"/>
            <wp:effectExtent l="0" t="0" r="4445" b="4445"/>
            <wp:docPr id="5" name="Picture 5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E0D69" w14:textId="58EC6CA9" w:rsidR="009263B8" w:rsidRDefault="005C00A4" w:rsidP="009263B8">
      <w:pPr>
        <w:spacing w:before="120" w:after="12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="009263B8">
        <w:rPr>
          <w:rFonts w:ascii="Times New Roman" w:hAnsi="Times New Roman" w:cs="Times New Roman"/>
          <w:b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9263B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263B8">
        <w:rPr>
          <w:rFonts w:ascii="Times New Roman" w:hAnsi="Times New Roman" w:cs="Times New Roman"/>
          <w:b/>
        </w:rPr>
        <w:t xml:space="preserve">(A) </w:t>
      </w:r>
      <w:r w:rsidR="009263B8">
        <w:rPr>
          <w:rFonts w:ascii="Times New Roman" w:hAnsi="Times New Roman" w:cs="Times New Roman"/>
        </w:rPr>
        <w:t xml:space="preserve">Representative confocal images showing CD13-positive pericytes and lectin-positive endothelium in the cortex of </w:t>
      </w:r>
      <w:r w:rsidR="009263B8">
        <w:rPr>
          <w:rFonts w:ascii="Times New Roman" w:hAnsi="Times New Roman" w:cs="Times New Roman"/>
          <w:i/>
        </w:rPr>
        <w:t>Lrp1</w:t>
      </w:r>
      <w:r w:rsidR="009263B8">
        <w:rPr>
          <w:rFonts w:ascii="Times New Roman" w:hAnsi="Times New Roman" w:cs="Times New Roman"/>
          <w:i/>
          <w:vertAlign w:val="superscript"/>
        </w:rPr>
        <w:t>lox/lox</w:t>
      </w:r>
      <w:r w:rsidR="009263B8">
        <w:rPr>
          <w:rFonts w:ascii="Times New Roman" w:hAnsi="Times New Roman" w:cs="Times New Roman"/>
          <w:sz w:val="24"/>
          <w:szCs w:val="24"/>
        </w:rPr>
        <w:t xml:space="preserve"> and </w:t>
      </w:r>
      <w:r w:rsidR="009263B8">
        <w:rPr>
          <w:rFonts w:ascii="Times New Roman" w:hAnsi="Times New Roman" w:cs="Times New Roman"/>
          <w:i/>
        </w:rPr>
        <w:t>Lrp1</w:t>
      </w:r>
      <w:r w:rsidR="009263B8">
        <w:rPr>
          <w:rFonts w:ascii="Times New Roman" w:hAnsi="Times New Roman" w:cs="Times New Roman"/>
          <w:i/>
          <w:vertAlign w:val="superscript"/>
        </w:rPr>
        <w:t>lox/lox</w:t>
      </w:r>
      <w:r w:rsidR="009263B8">
        <w:rPr>
          <w:rFonts w:ascii="Times New Roman" w:hAnsi="Times New Roman" w:cs="Times New Roman"/>
          <w:i/>
        </w:rPr>
        <w:t xml:space="preserve">; Cspg4-Cre </w:t>
      </w:r>
      <w:r w:rsidR="009263B8">
        <w:rPr>
          <w:rFonts w:ascii="Times New Roman" w:hAnsi="Times New Roman" w:cs="Times New Roman"/>
        </w:rPr>
        <w:t>mice, as used in Figure 3. Bar = 25 µm. (</w:t>
      </w:r>
      <w:r w:rsidR="009263B8">
        <w:rPr>
          <w:rFonts w:ascii="Times New Roman" w:hAnsi="Times New Roman" w:cs="Times New Roman"/>
          <w:b/>
        </w:rPr>
        <w:t>B</w:t>
      </w:r>
      <w:r w:rsidR="009263B8">
        <w:rPr>
          <w:rFonts w:ascii="Times New Roman" w:hAnsi="Times New Roman" w:cs="Times New Roman"/>
        </w:rPr>
        <w:t xml:space="preserve">) Quantification of CD13+ pericyte coverage over lectin+ endothelial profiles. </w:t>
      </w:r>
      <w:r w:rsidR="009263B8">
        <w:rPr>
          <w:rFonts w:ascii="Times New Roman" w:eastAsia="Times New Roman" w:hAnsi="Times New Roman" w:cs="Times New Roman"/>
        </w:rPr>
        <w:t>N = 3</w:t>
      </w:r>
      <w:r w:rsidR="009263B8">
        <w:rPr>
          <w:rFonts w:ascii="Times New Roman" w:hAnsi="Times New Roman" w:cs="Times New Roman"/>
        </w:rPr>
        <w:t xml:space="preserve"> mice per group</w:t>
      </w:r>
      <w:r w:rsidR="009263B8">
        <w:rPr>
          <w:rFonts w:ascii="Times New Roman" w:eastAsia="Times New Roman" w:hAnsi="Times New Roman" w:cs="Times New Roman"/>
        </w:rPr>
        <w:t xml:space="preserve">; mean ± s.e.m.; </w:t>
      </w:r>
      <w:r w:rsidR="009263B8">
        <w:rPr>
          <w:rFonts w:ascii="Times New Roman" w:hAnsi="Times New Roman" w:cs="Times New Roman"/>
        </w:rPr>
        <w:t>NS, not significant, by Student’s t-test.</w:t>
      </w:r>
    </w:p>
    <w:p w14:paraId="78AC30BE" w14:textId="77777777" w:rsidR="009263B8" w:rsidRDefault="009263B8" w:rsidP="00D4455D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A7C965" w14:textId="77777777" w:rsidR="000E5956" w:rsidRDefault="000E5956" w:rsidP="00D4455D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4BA2B7" w14:textId="77777777" w:rsidR="009263B8" w:rsidRDefault="009263B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0639F58" w14:textId="3CE3AA44" w:rsidR="00CA3067" w:rsidRDefault="009654FF" w:rsidP="00D4455D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</w:t>
      </w:r>
      <w:r w:rsidR="00CA3067" w:rsidRPr="003A48E3">
        <w:rPr>
          <w:rFonts w:ascii="Times New Roman" w:hAnsi="Times New Roman" w:cs="Times New Roman"/>
          <w:b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="000E5956">
        <w:rPr>
          <w:rFonts w:ascii="Times New Roman" w:hAnsi="Times New Roman" w:cs="Times New Roman"/>
          <w:b/>
          <w:sz w:val="24"/>
          <w:szCs w:val="24"/>
        </w:rPr>
        <w:t>5</w:t>
      </w:r>
      <w:r w:rsidR="00CA3067" w:rsidRPr="003A48E3">
        <w:rPr>
          <w:rFonts w:ascii="Times New Roman" w:hAnsi="Times New Roman" w:cs="Times New Roman"/>
          <w:b/>
          <w:sz w:val="24"/>
          <w:szCs w:val="24"/>
        </w:rPr>
        <w:t xml:space="preserve">. LRP1 </w:t>
      </w:r>
      <w:r w:rsidR="000E5956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0E5956" w:rsidRPr="007822EF">
        <w:rPr>
          <w:rFonts w:ascii="Times New Roman" w:hAnsi="Times New Roman" w:cs="Times New Roman"/>
          <w:b/>
          <w:sz w:val="24"/>
          <w:szCs w:val="24"/>
        </w:rPr>
        <w:t>apoE</w:t>
      </w:r>
      <w:r w:rsidR="000E59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3067" w:rsidRPr="003A48E3">
        <w:rPr>
          <w:rFonts w:ascii="Times New Roman" w:hAnsi="Times New Roman" w:cs="Times New Roman"/>
          <w:b/>
          <w:sz w:val="24"/>
          <w:szCs w:val="24"/>
        </w:rPr>
        <w:t xml:space="preserve">suppression </w:t>
      </w:r>
      <w:r w:rsidR="004C7EBC">
        <w:rPr>
          <w:rFonts w:ascii="Times New Roman" w:hAnsi="Times New Roman" w:cs="Times New Roman"/>
          <w:b/>
          <w:sz w:val="24"/>
          <w:szCs w:val="24"/>
        </w:rPr>
        <w:t>with siRNA</w:t>
      </w:r>
    </w:p>
    <w:p w14:paraId="78E4B341" w14:textId="77777777" w:rsidR="004C7EBC" w:rsidRPr="003A48E3" w:rsidRDefault="004C7EBC" w:rsidP="00D4455D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BDBEF8" w14:textId="0BF3F838" w:rsidR="00CA3067" w:rsidRPr="003A48E3" w:rsidRDefault="00B507E3" w:rsidP="00D4455D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4A7B7C6" wp14:editId="2AEE1DA4">
            <wp:extent cx="4105275" cy="1685925"/>
            <wp:effectExtent l="0" t="0" r="9525" b="9525"/>
            <wp:docPr id="6" name="Picture 6" descr="C:\Users\zzhao\Dropbox\Zhao Lab\Manuscipt\Molecular Neurodegeneration\sFig 5_9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zhao\Dropbox\Zhao Lab\Manuscipt\Molecular Neurodegeneration\sFig 5_9_1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421C3" w14:textId="77777777" w:rsidR="00CA3067" w:rsidRPr="003A48E3" w:rsidRDefault="00CA3067" w:rsidP="00D4455D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CD288F" w14:textId="4938F03F" w:rsidR="00B507E3" w:rsidRPr="003A48E3" w:rsidRDefault="00CA3067" w:rsidP="00B507E3">
      <w:pPr>
        <w:spacing w:before="120"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48E3">
        <w:rPr>
          <w:rFonts w:ascii="Times New Roman" w:hAnsi="Times New Roman" w:cs="Times New Roman"/>
          <w:b/>
          <w:sz w:val="24"/>
          <w:szCs w:val="24"/>
        </w:rPr>
        <w:t>(A)</w:t>
      </w:r>
      <w:r w:rsidRPr="003A48E3">
        <w:rPr>
          <w:rFonts w:ascii="Times New Roman" w:hAnsi="Times New Roman" w:cs="Times New Roman"/>
          <w:sz w:val="24"/>
          <w:szCs w:val="24"/>
        </w:rPr>
        <w:t xml:space="preserve"> </w:t>
      </w:r>
      <w:r w:rsidR="00D4455D" w:rsidRPr="003828DF">
        <w:rPr>
          <w:rFonts w:ascii="Times New Roman" w:eastAsia="Times New Roman" w:hAnsi="Times New Roman" w:cs="Times New Roman"/>
          <w:color w:val="000000"/>
          <w:sz w:val="24"/>
          <w:szCs w:val="24"/>
        </w:rPr>
        <w:t>Western blot of LRP1 level in cultured pericytes at 24 h after si.</w:t>
      </w:r>
      <w:r w:rsidR="00D4455D" w:rsidRPr="003828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Control</w:t>
      </w:r>
      <w:r w:rsidR="00D4455D" w:rsidRPr="00382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si.</w:t>
      </w:r>
      <w:r w:rsidR="00D4455D" w:rsidRPr="00382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Lrp1 </w:t>
      </w:r>
      <w:r w:rsidR="00D4455D" w:rsidRPr="003828DF">
        <w:rPr>
          <w:rFonts w:ascii="Times New Roman" w:eastAsia="Times New Roman" w:hAnsi="Times New Roman" w:cs="Times New Roman"/>
          <w:color w:val="000000"/>
          <w:sz w:val="24"/>
          <w:szCs w:val="24"/>
        </w:rPr>
        <w:t>transfection.</w:t>
      </w:r>
      <w:r w:rsidR="00D445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Actin is used as a loading control.</w:t>
      </w:r>
      <w:r w:rsidR="00B50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07E3" w:rsidRPr="003A48E3">
        <w:rPr>
          <w:rFonts w:ascii="Times New Roman" w:hAnsi="Times New Roman" w:cs="Times New Roman"/>
          <w:b/>
          <w:sz w:val="24"/>
          <w:szCs w:val="24"/>
        </w:rPr>
        <w:t>(</w:t>
      </w:r>
      <w:r w:rsidR="00B507E3">
        <w:rPr>
          <w:rFonts w:ascii="Times New Roman" w:hAnsi="Times New Roman" w:cs="Times New Roman"/>
          <w:b/>
          <w:sz w:val="24"/>
          <w:szCs w:val="24"/>
        </w:rPr>
        <w:t>B</w:t>
      </w:r>
      <w:r w:rsidR="00B507E3" w:rsidRPr="003A48E3">
        <w:rPr>
          <w:rFonts w:ascii="Times New Roman" w:hAnsi="Times New Roman" w:cs="Times New Roman"/>
          <w:b/>
          <w:sz w:val="24"/>
          <w:szCs w:val="24"/>
        </w:rPr>
        <w:t>)</w:t>
      </w:r>
      <w:r w:rsidR="00B507E3" w:rsidRPr="003A48E3">
        <w:rPr>
          <w:rFonts w:ascii="Times New Roman" w:hAnsi="Times New Roman" w:cs="Times New Roman"/>
          <w:sz w:val="24"/>
          <w:szCs w:val="24"/>
        </w:rPr>
        <w:t xml:space="preserve"> </w:t>
      </w:r>
      <w:r w:rsidR="00B507E3">
        <w:rPr>
          <w:rFonts w:ascii="Times New Roman" w:eastAsia="Times New Roman" w:hAnsi="Times New Roman" w:cs="Times New Roman"/>
          <w:color w:val="000000"/>
          <w:sz w:val="24"/>
          <w:szCs w:val="24"/>
        </w:rPr>
        <w:t>Western blot of apoE</w:t>
      </w:r>
      <w:r w:rsidR="00B507E3" w:rsidRPr="00382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cultured pericytes at 24 h after si.</w:t>
      </w:r>
      <w:r w:rsidR="00B507E3" w:rsidRPr="003828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Control</w:t>
      </w:r>
      <w:r w:rsidR="00B507E3" w:rsidRPr="00382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si.</w:t>
      </w:r>
      <w:r w:rsidR="00B507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apoE</w:t>
      </w:r>
      <w:r w:rsidR="00B507E3" w:rsidRPr="003828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B507E3" w:rsidRPr="003828DF">
        <w:rPr>
          <w:rFonts w:ascii="Times New Roman" w:eastAsia="Times New Roman" w:hAnsi="Times New Roman" w:cs="Times New Roman"/>
          <w:color w:val="000000"/>
          <w:sz w:val="24"/>
          <w:szCs w:val="24"/>
        </w:rPr>
        <w:t>transfection.</w:t>
      </w:r>
      <w:r w:rsidR="00B507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Actin is used as a loading control.</w:t>
      </w:r>
    </w:p>
    <w:p w14:paraId="109FFE73" w14:textId="1CBCF344" w:rsidR="00CA3067" w:rsidRPr="003A48E3" w:rsidRDefault="00CA3067" w:rsidP="00D4455D">
      <w:pPr>
        <w:spacing w:before="120" w:after="12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4F135A0" w14:textId="77777777" w:rsidR="00CA3067" w:rsidRPr="00A2615C" w:rsidRDefault="00CA3067" w:rsidP="00D4455D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sectPr w:rsidR="00CA3067" w:rsidRPr="00A2615C" w:rsidSect="00D4455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CA3067"/>
    <w:rsid w:val="000A78EF"/>
    <w:rsid w:val="000D5372"/>
    <w:rsid w:val="000E5956"/>
    <w:rsid w:val="001A2919"/>
    <w:rsid w:val="00394E91"/>
    <w:rsid w:val="004A1AA9"/>
    <w:rsid w:val="004C7EBC"/>
    <w:rsid w:val="004E0840"/>
    <w:rsid w:val="00550CE1"/>
    <w:rsid w:val="0056598E"/>
    <w:rsid w:val="005C00A4"/>
    <w:rsid w:val="007822EF"/>
    <w:rsid w:val="008C65BC"/>
    <w:rsid w:val="008F4460"/>
    <w:rsid w:val="009263B8"/>
    <w:rsid w:val="009654FF"/>
    <w:rsid w:val="00A2615C"/>
    <w:rsid w:val="00B340B6"/>
    <w:rsid w:val="00B507E3"/>
    <w:rsid w:val="00C736FA"/>
    <w:rsid w:val="00CA3067"/>
    <w:rsid w:val="00D4455D"/>
    <w:rsid w:val="00DF4024"/>
    <w:rsid w:val="00E67B11"/>
    <w:rsid w:val="00E7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792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067"/>
    <w:pPr>
      <w:spacing w:after="200" w:line="276" w:lineRule="auto"/>
    </w:pPr>
    <w:rPr>
      <w:rFonts w:eastAsia="SimSu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455D"/>
    <w:pPr>
      <w:ind w:left="720"/>
      <w:contextualSpacing/>
    </w:pPr>
  </w:style>
  <w:style w:type="table" w:styleId="TableGrid">
    <w:name w:val="Table Grid"/>
    <w:basedOn w:val="TableNormal"/>
    <w:uiPriority w:val="39"/>
    <w:rsid w:val="00E72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2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2EF"/>
    <w:rPr>
      <w:rFonts w:ascii="Tahoma" w:eastAsia="SimSu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067"/>
    <w:pPr>
      <w:spacing w:after="200" w:line="276" w:lineRule="auto"/>
    </w:pPr>
    <w:rPr>
      <w:rFonts w:eastAsia="SimSu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455D"/>
    <w:pPr>
      <w:ind w:left="720"/>
      <w:contextualSpacing/>
    </w:pPr>
  </w:style>
  <w:style w:type="table" w:styleId="TableGrid">
    <w:name w:val="Table Grid"/>
    <w:basedOn w:val="TableNormal"/>
    <w:uiPriority w:val="39"/>
    <w:rsid w:val="00E72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2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2EF"/>
    <w:rPr>
      <w:rFonts w:ascii="Tahoma" w:eastAsia="SimSu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4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441</Words>
  <Characters>2383</Characters>
  <Application>Microsoft Office Word</Application>
  <DocSecurity>0</DocSecurity>
  <Lines>70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Keck Medical Center of USC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Zhao, Zhen</dc:creator>
  <cp:lastModifiedBy>ADAYAP</cp:lastModifiedBy>
  <cp:revision>12</cp:revision>
  <dcterms:created xsi:type="dcterms:W3CDTF">2018-09-14T03:04:00Z</dcterms:created>
  <dcterms:modified xsi:type="dcterms:W3CDTF">2018-10-04T16:40:00Z</dcterms:modified>
</cp:coreProperties>
</file>