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3B4" w:rsidRPr="00550C2F" w:rsidRDefault="00AE73B4" w:rsidP="00AE73B4">
      <w:pPr>
        <w:spacing w:after="0" w:line="480" w:lineRule="auto"/>
        <w:rPr>
          <w:rFonts w:ascii="Times New Roman" w:hAnsi="Times New Roman" w:cs="Times New Roman"/>
          <w:b/>
        </w:rPr>
      </w:pPr>
      <w:r w:rsidRPr="00550C2F">
        <w:rPr>
          <w:rFonts w:ascii="Times New Roman" w:hAnsi="Times New Roman" w:cs="Times New Roman"/>
          <w:b/>
        </w:rPr>
        <w:t>References</w:t>
      </w:r>
      <w:r>
        <w:rPr>
          <w:rFonts w:ascii="Times New Roman" w:hAnsi="Times New Roman" w:cs="Times New Roman"/>
          <w:b/>
        </w:rPr>
        <w:t xml:space="preserve"> list for figure 3</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Feneberg E, Oeckl P, Steinacker P, Verde F, Barro C, Van Damme P, et al. Multicenter evaluation of neurofilaments in early symptom onset amyotrophic lateral sclerosis. Neurology. 2018;90:e22-e30. doi: 10.1212/WNL.0000000000004761.</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lang w:val="it-IT"/>
        </w:rPr>
        <w:t xml:space="preserve">Darras BT, Crawford TO, Finkel RS, Mercuri E, De Vivo DC, Oskoui M, et al. </w:t>
      </w:r>
      <w:r w:rsidRPr="00D9358E">
        <w:rPr>
          <w:rFonts w:ascii="Times New Roman" w:hAnsi="Times New Roman" w:cs="Times New Roman"/>
        </w:rPr>
        <w:t>Neurofilament as a potential biomarker for spinal muscular atrophy. Ann Clin Transl Neurol. 2019;6:932-944. doi: 10.1002/acn3.779.</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Wurster CD, Günther R, Steinacker P, Dreyhaupt J, Wollinsky K, Uzelac Z, et al. Neurochemical markers in CSF of adolescent and adult SMA patients undergoing nusinersen treatment. Ther Adv Neurol Disord 2019; 12:1756286419846058. doi: 10.1177/1756286419846058.</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Wurster CD, Steinacker P, Günther R, Koch JC, Lingor P, Uzelac Z, et al. Neurofilament light chain in serum of adolescent and adult SMA patients under treatment with nusinersen. J Neurol. 2020;267:36-44. doi: 10.1007/s00415-019-09547-y.</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Benatar M, Zhang L, Wang L, Granit V, Statland J, Barohn R, et al. Validation of serum neurofilaments as prognostic and potential pharmacodynamic biomarkers for ALS. Neurology. 2020;95:e59-e69. doi:10.1212/WNL.0000000000009559</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Benatar M, Wuu J, Andersen PM, Lombardi V, Malaspina A. Neurofilament light: A candidate biomarker of presymptomatic amyotrophic lateral sclerosis and phenoconversion. Ann Neurol. 2018;84:130-139. doi: 10.1002/ana.25276.</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Benatar M, Wuu J, Lombardi V, Jeromin A, Bowser R, Andersen PM, Malaspina A. Neurofilaments in pre-symptomatic ALS and the impact of genotype. Amyotroph Lateral Scler Frontotemporal Degener. 2019;20:538-548. doi: 10.1080/21678421.2019.1646769.</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rPr>
        <w:t>Olsson B, Alberg L, Cullen NC, Michael E, Wahlgren L, Kroksmark AK, et al. NFL is a marker of treatment response in children with SMA treated with nusinersen. J Neurol. 2019;266:2129-2136. doi: 10.1007/s00415-019-09389-8.</w:t>
      </w:r>
    </w:p>
    <w:p w:rsidR="00AE73B4" w:rsidRPr="00D9358E" w:rsidRDefault="00AE73B4" w:rsidP="00AE73B4">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it-IT"/>
        </w:rPr>
        <w:t xml:space="preserve">Miller T, Cudkowicz M, Shaw PJ, Andersen PM, Atassi N, Bucelli RC, et al. </w:t>
      </w:r>
      <w:r w:rsidRPr="00D9358E">
        <w:rPr>
          <w:rFonts w:ascii="Times New Roman" w:hAnsi="Times New Roman" w:cs="Times New Roman"/>
          <w:lang w:val="en-US"/>
        </w:rPr>
        <w:t>Phase 1-2 Trial of Antisense Oligonucleotide Tofersen for SOD1 ALS. N Engl J Med. 2020;383:109-119. doi:10.1056/NEJMoa2003715</w:t>
      </w:r>
    </w:p>
    <w:p w:rsidR="00AE73B4" w:rsidRPr="00D9358E" w:rsidRDefault="00AE73B4" w:rsidP="00AE73B4">
      <w:pPr>
        <w:pStyle w:val="ListParagraph"/>
        <w:numPr>
          <w:ilvl w:val="0"/>
          <w:numId w:val="1"/>
        </w:numPr>
        <w:spacing w:after="0" w:line="480" w:lineRule="auto"/>
        <w:rPr>
          <w:rFonts w:ascii="Times New Roman" w:hAnsi="Times New Roman" w:cs="Times New Roman"/>
        </w:rPr>
      </w:pPr>
      <w:r w:rsidRPr="00D9358E">
        <w:rPr>
          <w:rFonts w:ascii="Times New Roman" w:hAnsi="Times New Roman" w:cs="Times New Roman"/>
          <w:lang w:val="it-IT"/>
        </w:rPr>
        <w:lastRenderedPageBreak/>
        <w:t xml:space="preserve">Abu-Rumeileh S, Capellari S, Stanzani-Maserati M, Polischi B, Martinelli P, Caroppo P, et al. </w:t>
      </w:r>
      <w:r w:rsidRPr="00D9358E">
        <w:rPr>
          <w:rFonts w:ascii="Times New Roman" w:hAnsi="Times New Roman" w:cs="Times New Roman"/>
        </w:rPr>
        <w:t>The CSF neurofilament light signature in rapidly progressive neurodegenerative dementias. Alzheimers Res Ther. 2018;10:3.  doi:10.1186/s13195-017-0331-1</w:t>
      </w:r>
    </w:p>
    <w:p w:rsidR="00517FB9" w:rsidRPr="00D9358E" w:rsidRDefault="00517FB9" w:rsidP="00517FB9">
      <w:pPr>
        <w:pStyle w:val="ListParagraph"/>
        <w:numPr>
          <w:ilvl w:val="0"/>
          <w:numId w:val="1"/>
        </w:numPr>
        <w:spacing w:after="0" w:line="480" w:lineRule="auto"/>
        <w:rPr>
          <w:rFonts w:ascii="Times New Roman" w:hAnsi="Times New Roman" w:cs="Times New Roman"/>
          <w:lang w:val="it-IT"/>
        </w:rPr>
      </w:pPr>
      <w:r w:rsidRPr="00D9358E">
        <w:rPr>
          <w:rFonts w:ascii="Times New Roman" w:hAnsi="Times New Roman" w:cs="Times New Roman"/>
        </w:rPr>
        <w:t xml:space="preserve">De Vivo DC, Bertini E, Swoboda KJ, Hwu WL, Crawford TO, Finkel RS, et al. Nusinersen initiated in infants during the presymptomatic stage of spinal muscular atrophy: Interim efficacy and safety results from the Phase 2 NURTURE study.  </w:t>
      </w:r>
      <w:r w:rsidRPr="00D9358E">
        <w:rPr>
          <w:rFonts w:ascii="Times New Roman" w:hAnsi="Times New Roman" w:cs="Times New Roman"/>
          <w:lang w:val="it-IT"/>
        </w:rPr>
        <w:t>Neuromuscul Disord. 2019;29:842-856. doi: 10.1016/j.nmd.2019.09.007.</w:t>
      </w:r>
    </w:p>
    <w:p w:rsidR="00517FB9" w:rsidRPr="00D9358E" w:rsidRDefault="00405315" w:rsidP="00517FB9">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 xml:space="preserve">Totzeck A, Stolte B, Kizina K, Bolz S, Schlag M, Thimm A, et al.  </w:t>
      </w:r>
      <w:r w:rsidR="00517FB9" w:rsidRPr="00D9358E">
        <w:rPr>
          <w:rFonts w:ascii="Times New Roman" w:hAnsi="Times New Roman" w:cs="Times New Roman"/>
          <w:lang w:val="en-US"/>
        </w:rPr>
        <w:t>Neurofilament Heavy Chain and Tau Protein Are Not Elevated in Cerebrospinal Fluid of Adult Patients with Spinal Muscular Atrophy during Loading with Nusinersen.  Int J Mol Sci. 2019;20:5397. doi: 10.3390/ijms20215397.</w:t>
      </w:r>
    </w:p>
    <w:p w:rsidR="00405315" w:rsidRPr="00D9358E" w:rsidRDefault="00405315" w:rsidP="00405315">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it-IT"/>
        </w:rPr>
        <w:t xml:space="preserve">Faravelli I, Meneri M, Saccomanno D, Velardo D, Abati E, Gagliardi D, et al. </w:t>
      </w:r>
      <w:r w:rsidRPr="00D9358E">
        <w:rPr>
          <w:rFonts w:ascii="Times New Roman" w:hAnsi="Times New Roman" w:cs="Times New Roman"/>
          <w:lang w:val="en-US"/>
        </w:rPr>
        <w:t>Nusinersen treatment and cerebrospinal fluid neurofilaments: An explorative study on Spinal Muscular Atrophy type 3 patients.  J Cell Mol Med. 2020;24:3034-3039. doi: 10.1111/jcmm.14939.</w:t>
      </w:r>
    </w:p>
    <w:p w:rsidR="00405315" w:rsidRPr="00D9358E" w:rsidRDefault="00405315" w:rsidP="00405315">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Walter MC, Wenninger S, Thiele S, Stauber J, Hiebeler M, Greckl E, et al. Safety and Treatment Effects of Nusinersen in Longstanding Adult 5q-SMA Type 3 - A Prospective Observational Study. J Neuromuscul Dis. 2019;6:453-465. doi: 10.3233/JND-190416.</w:t>
      </w:r>
    </w:p>
    <w:p w:rsidR="00405315" w:rsidRPr="00D9358E" w:rsidRDefault="00405315" w:rsidP="00405315">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Hermansson L, Yilmaz A, Axelsson M, Blennow K, Fuchs D, Hagberg L, et al. Cerebrospinal fluid levels of glial marker YKL-40 strongly associated with axonal injury in HIV infection.  J Neuroinflammation. 2019;16:16. doi: 10.1186/s12974-019-1404-9.</w:t>
      </w:r>
    </w:p>
    <w:p w:rsidR="008105E7" w:rsidRPr="00D9358E" w:rsidRDefault="008105E7" w:rsidP="008105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Wild EJ, Petzold A, Keir G, Tabrizi SJ. Plasma neurofilament heavy chain levels in Huntington's disease. Neurosci Lett. 2007 May 7;417:231-3. doi: 10.1016/j.neulet.2007.02.053.</w:t>
      </w:r>
    </w:p>
    <w:p w:rsidR="008105E7" w:rsidRPr="00D9358E" w:rsidRDefault="008105E7" w:rsidP="008105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Anderson AM, Easley KA, Kasher N, Franklin D, Heaton RK, Zetterberg H, et al. Neurofilament light chain in blood is negatively associated with neuropsychological performance in HIV-infected adults and declines with initiation of antiretroviral therapy.  J Neurovirol. 2018;24:695-701. doi: 10.1007/s13365-018-0664-y.</w:t>
      </w:r>
    </w:p>
    <w:p w:rsidR="008105E7" w:rsidRPr="00D9358E" w:rsidRDefault="008105E7" w:rsidP="008105E7">
      <w:pPr>
        <w:pStyle w:val="ListParagraph"/>
        <w:numPr>
          <w:ilvl w:val="0"/>
          <w:numId w:val="1"/>
        </w:numPr>
        <w:spacing w:after="0" w:line="480" w:lineRule="auto"/>
        <w:rPr>
          <w:rFonts w:ascii="Times New Roman" w:hAnsi="Times New Roman" w:cs="Times New Roman"/>
          <w:lang w:val="it-IT"/>
        </w:rPr>
      </w:pPr>
      <w:r w:rsidRPr="00D9358E">
        <w:rPr>
          <w:rFonts w:ascii="Times New Roman" w:hAnsi="Times New Roman" w:cs="Times New Roman"/>
          <w:lang w:val="en-US"/>
        </w:rPr>
        <w:t xml:space="preserve">Anesten B, Yilmaz A, Hagberg L, Zetterberg H, Nilsson S, Brew BJ, et al. Blood-brain barrier integrity, intrathecal immunoactivation, and neuronal injury in HIV.  </w:t>
      </w:r>
      <w:r w:rsidRPr="00D9358E">
        <w:rPr>
          <w:rFonts w:ascii="Times New Roman" w:hAnsi="Times New Roman" w:cs="Times New Roman"/>
          <w:lang w:val="it-IT"/>
        </w:rPr>
        <w:t>Neurol Neuroimmunol Neuroinflamm. 2016;3:e300. doi: 10.1212/NXI.0000000000000300.</w:t>
      </w:r>
    </w:p>
    <w:p w:rsidR="008105E7" w:rsidRPr="00D9358E" w:rsidRDefault="008105E7" w:rsidP="008105E7">
      <w:pPr>
        <w:pStyle w:val="ListParagraph"/>
        <w:numPr>
          <w:ilvl w:val="0"/>
          <w:numId w:val="1"/>
        </w:numPr>
        <w:spacing w:after="0" w:line="480" w:lineRule="auto"/>
        <w:rPr>
          <w:rFonts w:ascii="Times New Roman" w:hAnsi="Times New Roman" w:cs="Times New Roman"/>
          <w:lang w:val="it-IT"/>
        </w:rPr>
      </w:pPr>
      <w:r w:rsidRPr="00D9358E">
        <w:rPr>
          <w:rFonts w:ascii="Times New Roman" w:hAnsi="Times New Roman" w:cs="Times New Roman"/>
          <w:lang w:val="it-IT"/>
        </w:rPr>
        <w:lastRenderedPageBreak/>
        <w:t xml:space="preserve">Ulfhammer G, Edén A, Mellgren Å, Fuchs D, Zetterberg H, Hagberg L, et al.  </w:t>
      </w:r>
      <w:r w:rsidRPr="00D9358E">
        <w:rPr>
          <w:rFonts w:ascii="Times New Roman" w:hAnsi="Times New Roman" w:cs="Times New Roman"/>
          <w:lang w:val="en-US"/>
        </w:rPr>
        <w:t xml:space="preserve">Persistent central nervous system immune activation following more than 10 years of effective HIV antiretroviral treatment.  </w:t>
      </w:r>
      <w:r w:rsidRPr="00D9358E">
        <w:rPr>
          <w:rFonts w:ascii="Times New Roman" w:hAnsi="Times New Roman" w:cs="Times New Roman"/>
          <w:lang w:val="it-IT"/>
        </w:rPr>
        <w:t>AIDS. 201</w:t>
      </w:r>
      <w:r w:rsidR="00D71AE7" w:rsidRPr="00D9358E">
        <w:rPr>
          <w:rFonts w:ascii="Times New Roman" w:hAnsi="Times New Roman" w:cs="Times New Roman"/>
          <w:lang w:val="it-IT"/>
        </w:rPr>
        <w:t>8</w:t>
      </w:r>
      <w:r w:rsidRPr="00D9358E">
        <w:rPr>
          <w:rFonts w:ascii="Times New Roman" w:hAnsi="Times New Roman" w:cs="Times New Roman"/>
          <w:lang w:val="it-IT"/>
        </w:rPr>
        <w:t>;32:2171-2178. doi: 10.1097/QAD.0000000000001950.</w:t>
      </w:r>
    </w:p>
    <w:p w:rsidR="008105E7" w:rsidRPr="00D9358E" w:rsidRDefault="00D71AE7" w:rsidP="008105E7">
      <w:pPr>
        <w:pStyle w:val="ListParagraph"/>
        <w:numPr>
          <w:ilvl w:val="0"/>
          <w:numId w:val="1"/>
        </w:numPr>
        <w:spacing w:after="0" w:line="480" w:lineRule="auto"/>
        <w:rPr>
          <w:rFonts w:ascii="Times New Roman" w:hAnsi="Times New Roman" w:cs="Times New Roman"/>
          <w:lang w:val="it-IT"/>
        </w:rPr>
      </w:pPr>
      <w:r w:rsidRPr="00D9358E">
        <w:rPr>
          <w:rFonts w:ascii="Times New Roman" w:hAnsi="Times New Roman" w:cs="Times New Roman"/>
          <w:lang w:val="en-US"/>
        </w:rPr>
        <w:t xml:space="preserve">Gisslén M, Price RW, Andreasson U, Norgren N, Nilsson S, Hagberg L, et al. </w:t>
      </w:r>
      <w:r w:rsidR="008105E7" w:rsidRPr="00D9358E">
        <w:rPr>
          <w:rFonts w:ascii="Times New Roman" w:hAnsi="Times New Roman" w:cs="Times New Roman"/>
          <w:lang w:val="en-US"/>
        </w:rPr>
        <w:t>Plasma Concentration of the Neurofilament Light Protein (NFL) is a Biomarker of CNS Injury in HIV Infection: A Cross-Sectional Study.  EBioMedicine. 2015;3:135-140. doi: 10.1016/j.ebiom.</w:t>
      </w:r>
      <w:r w:rsidR="008105E7" w:rsidRPr="00D9358E">
        <w:rPr>
          <w:rFonts w:ascii="Times New Roman" w:hAnsi="Times New Roman" w:cs="Times New Roman"/>
          <w:lang w:val="it-IT"/>
        </w:rPr>
        <w:t>2015.11.036.</w:t>
      </w:r>
    </w:p>
    <w:p w:rsidR="008105E7" w:rsidRPr="00D9358E" w:rsidRDefault="00D71AE7" w:rsidP="008105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 xml:space="preserve">McGuire JL, Gill AJ, Douglas SD, Kolson DL; CNS HIV Anti-Retroviral Therapy Effects Research (CHARTER) group. </w:t>
      </w:r>
      <w:r w:rsidR="008105E7" w:rsidRPr="00D9358E">
        <w:rPr>
          <w:rFonts w:ascii="Times New Roman" w:hAnsi="Times New Roman" w:cs="Times New Roman"/>
          <w:lang w:val="en-US"/>
        </w:rPr>
        <w:t>Central and peripheral markers of neurodegeneration and monocyte activation in HIV-associated neurocognitive disorders.  J Neurovirol. 2015;21:439-48. doi: 10.1007/s13365-015-0333-3.</w:t>
      </w:r>
    </w:p>
    <w:p w:rsidR="00D71AE7" w:rsidRPr="00D9358E" w:rsidRDefault="00D71AE7" w:rsidP="00D71A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Scahill RI, Zeun P, Osborne-Crowley K, Johnson EB, Gregory S, Parker C, et al. Biological and clinical characteristics of gene carriers far from predicted onset in the Huntington's disease Young Adult Study (HD-YAS): a cross-sectional analysis.  Lancet Neurol. 2020;19:502-512. doi: 10.1016/S1474-4422(20)30143-5.</w:t>
      </w:r>
    </w:p>
    <w:p w:rsidR="00D71AE7" w:rsidRPr="00D9358E" w:rsidRDefault="00D9358E" w:rsidP="00D71A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 xml:space="preserve">Byrne LM, Rodrigues FB, Johnson EB, Wijeratne PA, De Vita E, Alexander DC, et al.  </w:t>
      </w:r>
      <w:r w:rsidR="00D71AE7" w:rsidRPr="00D9358E">
        <w:rPr>
          <w:rFonts w:ascii="Times New Roman" w:hAnsi="Times New Roman" w:cs="Times New Roman"/>
          <w:lang w:val="en-US"/>
        </w:rPr>
        <w:t>Evaluation of mutant huntingtin and neurofilament proteins as potential markers in Huntington's disease.  Sci Transl Med. 2018</w:t>
      </w:r>
      <w:r w:rsidRPr="00D9358E">
        <w:rPr>
          <w:rFonts w:ascii="Times New Roman" w:hAnsi="Times New Roman" w:cs="Times New Roman"/>
          <w:lang w:val="en-US"/>
        </w:rPr>
        <w:t>;10</w:t>
      </w:r>
      <w:r w:rsidR="00D71AE7" w:rsidRPr="00D9358E">
        <w:rPr>
          <w:rFonts w:ascii="Times New Roman" w:hAnsi="Times New Roman" w:cs="Times New Roman"/>
          <w:lang w:val="en-US"/>
        </w:rPr>
        <w:t>:eaat7108. doi: 10.1126/scitranslmed.aat7108.</w:t>
      </w:r>
    </w:p>
    <w:p w:rsidR="00D812ED" w:rsidRPr="00D9358E" w:rsidRDefault="00D9358E" w:rsidP="00D71A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 xml:space="preserve">Byrne LM, Rodrigues FB, Blennow K, Durr A, Leavitt BR, Roos RAC, et al. </w:t>
      </w:r>
      <w:r w:rsidR="00D71AE7" w:rsidRPr="00D9358E">
        <w:rPr>
          <w:rFonts w:ascii="Times New Roman" w:hAnsi="Times New Roman" w:cs="Times New Roman"/>
          <w:lang w:val="en-US"/>
        </w:rPr>
        <w:t>Neurofilament light protein in blood as a potential biomarker of neurodegeneration in Huntington's disease: a retrospective cohort analysis.  Lancet Neurol. 2017;16:601-609. doi: 10.1016/S1474-4422(17)30124-2.</w:t>
      </w:r>
    </w:p>
    <w:p w:rsidR="00D71AE7" w:rsidRPr="00D9358E" w:rsidRDefault="00D9358E" w:rsidP="00D71AE7">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 xml:space="preserve">Steinacker P, Blennow K, Halbgebauer S, Shi S, Ruf V, Oeckl P, et al. </w:t>
      </w:r>
      <w:r w:rsidR="00D71AE7" w:rsidRPr="00D9358E">
        <w:rPr>
          <w:rFonts w:ascii="Times New Roman" w:hAnsi="Times New Roman" w:cs="Times New Roman"/>
          <w:lang w:val="en-US"/>
        </w:rPr>
        <w:t>Neurofilaments in blood and CSF for diagnosis and prediction of onset in Creutzfeldt-Jakob disease.  Sci Rep. 2016;6:38737. doi: 10.1038/srep38737.</w:t>
      </w:r>
    </w:p>
    <w:p w:rsidR="00532CAA" w:rsidRDefault="00D9358E" w:rsidP="00D9358E">
      <w:pPr>
        <w:pStyle w:val="ListParagraph"/>
        <w:numPr>
          <w:ilvl w:val="0"/>
          <w:numId w:val="1"/>
        </w:numPr>
        <w:spacing w:after="0" w:line="480" w:lineRule="auto"/>
        <w:rPr>
          <w:rFonts w:ascii="Times New Roman" w:hAnsi="Times New Roman" w:cs="Times New Roman"/>
          <w:lang w:val="en-US"/>
        </w:rPr>
      </w:pPr>
      <w:r w:rsidRPr="00D9358E">
        <w:rPr>
          <w:rFonts w:ascii="Times New Roman" w:hAnsi="Times New Roman" w:cs="Times New Roman"/>
          <w:lang w:val="en-US"/>
        </w:rPr>
        <w:t>Thompson AGB, Luk C, Heslegrave AJ, Zetterberg H, Mead SH, Collinge J, Jackson GS. Neurofilament light chain and tau concentrations are markedly increased in the serum of patients with sporadic Creutzfeldt-Jakob disease, and tau correlates with rate of disease progression.  J Neurol Neurosurg Psychiatry. 2018;89:955-961. doi: 10.1136/jnnp-2017-317793.</w:t>
      </w:r>
    </w:p>
    <w:p w:rsidR="00532CAA" w:rsidRDefault="00532CAA">
      <w:pPr>
        <w:suppressAutoHyphens w:val="0"/>
        <w:spacing w:line="259" w:lineRule="auto"/>
        <w:rPr>
          <w:rFonts w:ascii="Times New Roman" w:hAnsi="Times New Roman" w:cs="Times New Roman"/>
          <w:lang w:val="en-US"/>
        </w:rPr>
      </w:pPr>
      <w:r>
        <w:rPr>
          <w:rFonts w:ascii="Times New Roman" w:hAnsi="Times New Roman" w:cs="Times New Roman"/>
          <w:lang w:val="en-US"/>
        </w:rPr>
        <w:lastRenderedPageBreak/>
        <w:br w:type="page"/>
      </w:r>
    </w:p>
    <w:p w:rsidR="00532CAA" w:rsidRDefault="00532CAA">
      <w:pPr>
        <w:spacing w:line="480" w:lineRule="auto"/>
        <w:rPr>
          <w:rFonts w:ascii="Times New Roman" w:hAnsi="Times New Roman" w:cs="Times New Roman"/>
          <w:b/>
          <w:lang w:val="en-US"/>
        </w:rPr>
      </w:pPr>
      <w:r>
        <w:rPr>
          <w:rFonts w:ascii="Times New Roman" w:hAnsi="Times New Roman" w:cs="Times New Roman"/>
          <w:b/>
          <w:lang w:val="en-US"/>
        </w:rPr>
        <w:lastRenderedPageBreak/>
        <w:t xml:space="preserve">Table 1. Key NfL studies for the diagnosis of MND. </w:t>
      </w:r>
      <w:r>
        <w:rPr>
          <w:rFonts w:ascii="Times New Roman" w:hAnsi="Times New Roman" w:cs="Times New Roman"/>
          <w:lang w:val="en-US"/>
        </w:rPr>
        <w:t xml:space="preserve">The table displays a list of studies dealing with NfL role in the differential diagnosis of MND according to current literature. </w:t>
      </w:r>
    </w:p>
    <w:tbl>
      <w:tblPr>
        <w:tblW w:w="5000" w:type="pct"/>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0" w:type="dxa"/>
          <w:right w:w="70" w:type="dxa"/>
        </w:tblCellMar>
        <w:tblLook w:val="04A0" w:firstRow="1" w:lastRow="0" w:firstColumn="1" w:lastColumn="0" w:noHBand="0" w:noVBand="1"/>
      </w:tblPr>
      <w:tblGrid>
        <w:gridCol w:w="854"/>
        <w:gridCol w:w="787"/>
        <w:gridCol w:w="1344"/>
        <w:gridCol w:w="796"/>
        <w:gridCol w:w="1370"/>
        <w:gridCol w:w="1325"/>
        <w:gridCol w:w="823"/>
        <w:gridCol w:w="831"/>
        <w:gridCol w:w="696"/>
        <w:gridCol w:w="947"/>
      </w:tblGrid>
      <w:tr w:rsidR="00532CAA">
        <w:trPr>
          <w:trHeight w:val="276"/>
        </w:trPr>
        <w:tc>
          <w:tcPr>
            <w:tcW w:w="918"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Study</w:t>
            </w:r>
          </w:p>
        </w:tc>
        <w:tc>
          <w:tcPr>
            <w:tcW w:w="747"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Biomatrix</w:t>
            </w:r>
          </w:p>
        </w:tc>
        <w:tc>
          <w:tcPr>
            <w:tcW w:w="920"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Method</w:t>
            </w:r>
          </w:p>
        </w:tc>
        <w:tc>
          <w:tcPr>
            <w:tcW w:w="796"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sample size (n)</w:t>
            </w:r>
          </w:p>
        </w:tc>
        <w:tc>
          <w:tcPr>
            <w:tcW w:w="3455"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Disease controls (n)</w:t>
            </w:r>
          </w:p>
        </w:tc>
        <w:tc>
          <w:tcPr>
            <w:tcW w:w="2390"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Type of comparison</w:t>
            </w:r>
          </w:p>
        </w:tc>
        <w:tc>
          <w:tcPr>
            <w:tcW w:w="1594"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Sensitivity</w:t>
            </w:r>
          </w:p>
        </w:tc>
        <w:tc>
          <w:tcPr>
            <w:tcW w:w="1330"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Specificity</w:t>
            </w:r>
          </w:p>
        </w:tc>
        <w:tc>
          <w:tcPr>
            <w:tcW w:w="926"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Cut-off value</w:t>
            </w:r>
          </w:p>
        </w:tc>
        <w:tc>
          <w:tcPr>
            <w:tcW w:w="1209" w:type="dxa"/>
            <w:tcBorders>
              <w:top w:val="single" w:sz="4" w:space="0" w:color="00000A"/>
              <w:left w:val="single" w:sz="4" w:space="0" w:color="00000A"/>
              <w:bottom w:val="single" w:sz="4" w:space="0" w:color="00000A"/>
              <w:right w:val="single" w:sz="4" w:space="0" w:color="00000A"/>
            </w:tcBorders>
            <w:shd w:val="clear" w:color="000000" w:fill="C5D9F1"/>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AUC</w:t>
            </w:r>
          </w:p>
        </w:tc>
      </w:tr>
      <w:tr w:rsidR="00532CAA">
        <w:trPr>
          <w:trHeight w:val="850"/>
        </w:trPr>
        <w:tc>
          <w:tcPr>
            <w:tcW w:w="918"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Reijn, 2009</w:t>
            </w:r>
          </w:p>
          <w:p w:rsidR="00532CAA" w:rsidRDefault="00532CAA">
            <w:pPr>
              <w:spacing w:after="0" w:line="240" w:lineRule="auto"/>
              <w:jc w:val="center"/>
            </w:pPr>
            <w:r>
              <w:rPr>
                <w:rFonts w:ascii="Times New Roman" w:eastAsia="Times New Roman" w:hAnsi="Times New Roman" w:cs="Times New Roman"/>
                <w:color w:val="000000"/>
                <w:sz w:val="20"/>
                <w:szCs w:val="20"/>
                <w:shd w:val="clear" w:color="auto" w:fill="FFFFFF"/>
                <w:lang w:eastAsia="it-IT"/>
              </w:rPr>
              <w:t>[61]</w:t>
            </w:r>
          </w:p>
        </w:tc>
        <w:tc>
          <w:tcPr>
            <w:tcW w:w="747"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val="en-US" w:eastAsia="it-IT"/>
              </w:rPr>
              <w:t xml:space="preserve">sandwich-ELISA </w:t>
            </w:r>
          </w:p>
        </w:tc>
        <w:tc>
          <w:tcPr>
            <w:tcW w:w="79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32</w:t>
            </w: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eastAsia="it-IT"/>
              </w:rPr>
            </w:pPr>
            <w:r>
              <w:rPr>
                <w:rFonts w:ascii="Times New Roman" w:eastAsia="Times New Roman" w:hAnsi="Times New Roman" w:cs="Times New Roman"/>
                <w:i/>
                <w:iCs/>
                <w:color w:val="000000"/>
                <w:sz w:val="20"/>
                <w:szCs w:val="20"/>
                <w:lang w:eastAsia="it-IT"/>
              </w:rPr>
              <w:t>ALS-mimic disorders (26)</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ALS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75%</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79%</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22.6 ng/L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0.79</w:t>
            </w:r>
          </w:p>
        </w:tc>
      </w:tr>
      <w:tr w:rsidR="00532CAA">
        <w:trPr>
          <w:trHeight w:val="276"/>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Tortelli, </w:t>
            </w:r>
            <w:r>
              <w:rPr>
                <w:rFonts w:ascii="Times New Roman" w:eastAsia="Times New Roman" w:hAnsi="Times New Roman" w:cs="Times New Roman"/>
                <w:color w:val="000000"/>
                <w:sz w:val="20"/>
                <w:szCs w:val="20"/>
                <w:shd w:val="clear" w:color="auto" w:fill="FFFFFF"/>
                <w:lang w:eastAsia="it-IT"/>
              </w:rPr>
              <w:t>2012</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[62]</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ELISA test Uman Diagnostic AB; Umea, Sweden</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37</w:t>
            </w: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all non-ALS</w:t>
            </w:r>
          </w:p>
        </w:tc>
        <w:tc>
          <w:tcPr>
            <w:tcW w:w="1594"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78.4%</w:t>
            </w:r>
          </w:p>
        </w:tc>
        <w:tc>
          <w:tcPr>
            <w:tcW w:w="133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72.5%</w:t>
            </w:r>
          </w:p>
        </w:tc>
        <w:tc>
          <w:tcPr>
            <w:tcW w:w="92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1981 ng/l</w:t>
            </w:r>
          </w:p>
        </w:tc>
        <w:tc>
          <w:tcPr>
            <w:tcW w:w="1209"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0.79  (CI 0.69–0.87)</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i/>
                <w:iCs/>
                <w:color w:val="000000"/>
                <w:sz w:val="20"/>
                <w:szCs w:val="20"/>
                <w:lang w:val="en-US" w:eastAsia="it-IT"/>
              </w:rPr>
              <w:t>Neurodegenerative diseases (21)</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color w:val="000000"/>
                <w:sz w:val="20"/>
                <w:szCs w:val="20"/>
                <w:lang w:eastAsia="it-IT"/>
              </w:rPr>
              <w:t>CIDP (25)</w:t>
            </w:r>
          </w:p>
        </w:tc>
        <w:tc>
          <w:tcPr>
            <w:tcW w:w="239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val="en-US" w:eastAsia="it-IT"/>
              </w:rPr>
            </w:pPr>
          </w:p>
        </w:tc>
        <w:tc>
          <w:tcPr>
            <w:tcW w:w="1594"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val="en-US" w:eastAsia="it-IT"/>
              </w:rPr>
            </w:pPr>
          </w:p>
        </w:tc>
        <w:tc>
          <w:tcPr>
            <w:tcW w:w="133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val="en-US" w:eastAsia="it-IT"/>
              </w:rPr>
            </w:pPr>
          </w:p>
        </w:tc>
        <w:tc>
          <w:tcPr>
            <w:tcW w:w="92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val="en-US" w:eastAsia="it-IT"/>
              </w:rPr>
            </w:pPr>
          </w:p>
        </w:tc>
        <w:tc>
          <w:tcPr>
            <w:tcW w:w="1209"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val="en-US" w:eastAsia="it-IT"/>
              </w:rPr>
            </w:pPr>
          </w:p>
        </w:tc>
      </w:tr>
      <w:tr w:rsidR="00532CAA">
        <w:trPr>
          <w:trHeight w:val="828"/>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Steinacker, 2016</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[60]</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Elisa test IBL,</w:t>
            </w:r>
            <w:r>
              <w:rPr>
                <w:rFonts w:ascii="Times New Roman" w:eastAsia="Times New Roman" w:hAnsi="Times New Roman" w:cs="Times New Roman"/>
                <w:color w:val="000000"/>
                <w:sz w:val="20"/>
                <w:szCs w:val="20"/>
                <w:lang w:val="en-US" w:eastAsia="it-IT"/>
              </w:rPr>
              <w:br/>
              <w:t>HamburgGermany</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253</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(including 20 fALS and 11 PLS)</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r>
              <w:rPr>
                <w:rFonts w:ascii="Times New Roman" w:eastAsia="Times New Roman" w:hAnsi="Times New Roman" w:cs="Times New Roman"/>
                <w:i/>
                <w:color w:val="000000"/>
                <w:sz w:val="20"/>
                <w:szCs w:val="20"/>
                <w:lang w:val="en-US" w:eastAsia="it-IT"/>
              </w:rPr>
              <w:t>MND mimics (85)</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i/>
                <w:iCs/>
                <w:color w:val="000000"/>
                <w:sz w:val="20"/>
                <w:szCs w:val="20"/>
                <w:lang w:val="en-US" w:eastAsia="it-IT"/>
              </w:rPr>
              <w:t>Other neurological diseases (117)</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MND vs MND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77%</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 (CI 71-82%)</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88% (CI 79% to</w:t>
            </w:r>
            <w:r>
              <w:rPr>
                <w:rFonts w:ascii="Times New Roman" w:eastAsia="Times New Roman" w:hAnsi="Times New Roman" w:cs="Times New Roman"/>
                <w:color w:val="000000"/>
                <w:sz w:val="20"/>
                <w:szCs w:val="20"/>
                <w:lang w:eastAsia="it-IT"/>
              </w:rPr>
              <w:br/>
              <w:t>94%)</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2200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0.866±0.023 (CI 0.821 - 0.911)</w:t>
            </w:r>
          </w:p>
        </w:tc>
      </w:tr>
      <w:tr w:rsidR="00532CAA">
        <w:trPr>
          <w:trHeight w:val="864"/>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MND vs all non-MND</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85% (CI 79% to 90%)</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2,200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0.851±0.019 (CI 0.813 to 0.888)</w:t>
            </w:r>
          </w:p>
        </w:tc>
      </w:tr>
      <w:tr w:rsidR="00532CAA">
        <w:trPr>
          <w:trHeight w:val="279"/>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Oeckl, 2016</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[59]</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Elisa test IBL,</w:t>
            </w:r>
            <w:r>
              <w:rPr>
                <w:rFonts w:ascii="Times New Roman" w:eastAsia="Times New Roman" w:hAnsi="Times New Roman" w:cs="Times New Roman"/>
                <w:color w:val="000000"/>
                <w:sz w:val="20"/>
                <w:szCs w:val="20"/>
                <w:lang w:val="en-US" w:eastAsia="it-IT"/>
              </w:rPr>
              <w:br/>
              <w:t>HamburgGermany</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75 (5 for each center)</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r>
              <w:rPr>
                <w:rFonts w:ascii="Times New Roman" w:eastAsia="Times New Roman" w:hAnsi="Times New Roman" w:cs="Times New Roman"/>
                <w:i/>
                <w:color w:val="000000"/>
                <w:sz w:val="20"/>
                <w:szCs w:val="20"/>
                <w:lang w:val="en-US" w:eastAsia="it-IT"/>
              </w:rPr>
              <w:t>Neurological controls from each center with variable diagnosis (76)</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cumulative dataset</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bottom"/>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79% (CI 66.1-88.6%)</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86.4% (CI 75.7% - 93.6%)</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1,431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0.86 (CI 0.79 - 0.93)</w:t>
            </w:r>
          </w:p>
        </w:tc>
      </w:tr>
      <w:tr w:rsidR="00532CAA">
        <w:trPr>
          <w:trHeight w:val="657"/>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Paris measurement</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81.1%</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88.3%</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2,521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r>
      <w:tr w:rsidR="00532CAA">
        <w:trPr>
          <w:trHeight w:val="279"/>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Poesen, 2017</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[65]</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ELISA test Uman Diagnostic AB; Umea, Sweden</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220</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Disease controls (316) </w:t>
            </w:r>
            <w:r>
              <w:rPr>
                <w:rFonts w:ascii="Times New Roman" w:eastAsia="Times New Roman" w:hAnsi="Times New Roman" w:cs="Times New Roman"/>
                <w:color w:val="000000"/>
                <w:sz w:val="20"/>
                <w:szCs w:val="20"/>
                <w:lang w:val="en-US" w:eastAsia="it-IT"/>
              </w:rPr>
              <w:t>including 10 normal controls</w:t>
            </w: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Disease mimics (50)</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 xml:space="preserve">ALS vs </w:t>
            </w:r>
            <w:r>
              <w:rPr>
                <w:rFonts w:ascii="Times New Roman" w:eastAsia="Times New Roman" w:hAnsi="Times New Roman" w:cs="Times New Roman"/>
                <w:i/>
                <w:color w:val="000000"/>
                <w:sz w:val="20"/>
                <w:szCs w:val="20"/>
                <w:lang w:val="en-US" w:eastAsia="it-IT"/>
              </w:rPr>
              <w:t>Disease Controls</w:t>
            </w:r>
            <w:r>
              <w:rPr>
                <w:rFonts w:ascii="Times New Roman" w:eastAsia="Times New Roman" w:hAnsi="Times New Roman" w:cs="Times New Roman"/>
                <w:color w:val="000000"/>
                <w:sz w:val="20"/>
                <w:szCs w:val="20"/>
                <w:lang w:val="en-US" w:eastAsia="it-IT"/>
              </w:rPr>
              <w:t xml:space="preserve"> in training cohort</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78.8% (71.4-85%)</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72.7% (66-78.8%)</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3,819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0.809 (CI 0.763-0.849) </w:t>
            </w:r>
          </w:p>
        </w:tc>
      </w:tr>
      <w:tr w:rsidR="00532CAA">
        <w:trPr>
          <w:trHeight w:val="761"/>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w:t>
            </w:r>
            <w:r>
              <w:rPr>
                <w:rFonts w:ascii="Times New Roman" w:eastAsia="Times New Roman" w:hAnsi="Times New Roman" w:cs="Times New Roman"/>
                <w:i/>
                <w:color w:val="000000"/>
                <w:sz w:val="20"/>
                <w:szCs w:val="20"/>
                <w:lang w:val="en-US" w:eastAsia="it-IT"/>
              </w:rPr>
              <w:t xml:space="preserve"> Disease Controls </w:t>
            </w:r>
            <w:r>
              <w:rPr>
                <w:rFonts w:ascii="Times New Roman" w:eastAsia="Times New Roman" w:hAnsi="Times New Roman" w:cs="Times New Roman"/>
                <w:color w:val="000000"/>
                <w:sz w:val="20"/>
                <w:szCs w:val="20"/>
                <w:lang w:val="en-US" w:eastAsia="it-IT"/>
              </w:rPr>
              <w:t>in validation cohort</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88.4% (CI 78.8%–94.0%)</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84.7% (CI 76.8%–90.2%)</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3,819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r>
      <w:tr w:rsidR="00532CAA">
        <w:trPr>
          <w:trHeight w:val="795"/>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ALS vs </w:t>
            </w:r>
            <w:r>
              <w:rPr>
                <w:rFonts w:ascii="Times New Roman" w:eastAsia="Times New Roman" w:hAnsi="Times New Roman" w:cs="Times New Roman"/>
                <w:i/>
                <w:color w:val="000000"/>
                <w:sz w:val="20"/>
                <w:szCs w:val="20"/>
                <w:lang w:eastAsia="it-IT"/>
              </w:rPr>
              <w:t>Disease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85.4% (CI 78.8%–90.6%)</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78.0% (CI 64.0%–88.5%)</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2,453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0.863 (CI 0.808-0.908)</w:t>
            </w:r>
          </w:p>
        </w:tc>
      </w:tr>
      <w:tr w:rsidR="00532CAA">
        <w:trPr>
          <w:trHeight w:val="652"/>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Gaiani, 2017</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[75]</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ELISA test Uman Diagnostic AB; Umea, Sweden</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94 ALS</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and 20 FTD</w:t>
            </w: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Motor neuropathies (18) including CIDP (15) and MMN (3)</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all other patients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val="en-US" w:eastAsia="it-IT"/>
              </w:rPr>
              <w:t> </w:t>
            </w:r>
            <w:r>
              <w:rPr>
                <w:rFonts w:ascii="Times New Roman" w:eastAsia="Times New Roman" w:hAnsi="Times New Roman" w:cs="Times New Roman"/>
                <w:color w:val="000000"/>
                <w:sz w:val="20"/>
                <w:szCs w:val="20"/>
                <w:lang w:eastAsia="it-IT"/>
              </w:rPr>
              <w:t>81.9% (CI 74.5%-89.4%)</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80.5% (CI 71.9%-89%)</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1,843.52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0.91 (CI 0.87-0.95)</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Controls (44): </w:t>
            </w:r>
            <w:r>
              <w:rPr>
                <w:rFonts w:ascii="Times New Roman" w:eastAsia="Times New Roman" w:hAnsi="Times New Roman" w:cs="Times New Roman"/>
                <w:color w:val="000000"/>
                <w:sz w:val="20"/>
                <w:szCs w:val="20"/>
                <w:lang w:val="en-US" w:eastAsia="it-IT"/>
              </w:rPr>
              <w:t>mononeuritis, primary headaches, and no objective signs of a neurologic disease</w:t>
            </w: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88.7% (CI 79.5%-97.7%)</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89.4% (CI 83%-96%)</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1,380.48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0.96 (CI 0.92-0.99)</w:t>
            </w:r>
          </w:p>
        </w:tc>
      </w:tr>
      <w:tr w:rsidR="00532CAA">
        <w:trPr>
          <w:trHeight w:val="556"/>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lastRenderedPageBreak/>
              <w:t>Feneberg 2018</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[54]</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Elisa test IBL,</w:t>
            </w:r>
            <w:r>
              <w:rPr>
                <w:rFonts w:ascii="Times New Roman" w:eastAsia="Times New Roman" w:hAnsi="Times New Roman" w:cs="Times New Roman"/>
                <w:color w:val="000000"/>
                <w:sz w:val="20"/>
                <w:szCs w:val="20"/>
                <w:lang w:val="en-US" w:eastAsia="it-IT"/>
              </w:rPr>
              <w:br/>
              <w:t>HamburgGermany</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early phase (54)</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Other neurological diseases </w:t>
            </w:r>
            <w:r>
              <w:rPr>
                <w:rFonts w:ascii="Times New Roman" w:eastAsia="Times New Roman" w:hAnsi="Times New Roman" w:cs="Times New Roman"/>
                <w:i/>
                <w:color w:val="000000"/>
                <w:sz w:val="20"/>
                <w:szCs w:val="20"/>
                <w:lang w:val="en-US" w:eastAsia="it-IT"/>
              </w:rPr>
              <w:t>(65 CSF, 28 serum)</w:t>
            </w: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MND mimics (27 CSF, 21 serum)</w:t>
            </w: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Other MND </w:t>
            </w:r>
            <w:r>
              <w:rPr>
                <w:rFonts w:ascii="Times New Roman" w:eastAsia="Times New Roman" w:hAnsi="Times New Roman" w:cs="Times New Roman"/>
                <w:i/>
                <w:color w:val="000000"/>
                <w:sz w:val="20"/>
                <w:szCs w:val="20"/>
                <w:lang w:val="en-US" w:eastAsia="it-IT"/>
              </w:rPr>
              <w:t>(21 CSF, 16 serum)</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early symptomatic ALS vs other neurological diseases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94% (83%–99%)</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86% (75%–93%)</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2,300 pg/mL </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0.95 (0.91–0.99)</w:t>
            </w:r>
          </w:p>
        </w:tc>
      </w:tr>
      <w:tr w:rsidR="00532CAA">
        <w:trPr>
          <w:trHeight w:val="705"/>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early symptomatic ALS vs MND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 (71%–98%)</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94% (83%–99%)</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2,183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 (0.94–1)</w:t>
            </w:r>
          </w:p>
        </w:tc>
      </w:tr>
      <w:tr w:rsidR="00532CAA">
        <w:trPr>
          <w:trHeight w:val="687"/>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late phase (135)</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p>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late symptomatic ALS vs other neurological diseases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 (82%–93%)</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84% (73%–92%)</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2,146 pg/mL </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0.93 (0.9–0.96)</w:t>
            </w:r>
          </w:p>
        </w:tc>
      </w:tr>
      <w:tr w:rsidR="00532CAA">
        <w:trPr>
          <w:trHeight w:val="569"/>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late symptomatic ALS vs MND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 (71%–98%)</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 (81%–93%)</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2,089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0.96 (0.93–0.99)</w:t>
            </w:r>
          </w:p>
        </w:tc>
      </w:tr>
      <w:tr w:rsidR="00532CAA">
        <w:trPr>
          <w:trHeight w:val="691"/>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serum</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SiMOA</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early phase (45)</w:t>
            </w: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early symptomatic ALS vs other neurological diseases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88% (73%–96%)</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92% (80%–94%)</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128 pg/mL </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0.92 (0.85–0.99)</w:t>
            </w:r>
          </w:p>
        </w:tc>
      </w:tr>
      <w:tr w:rsidR="00532CAA">
        <w:trPr>
          <w:trHeight w:val="700"/>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shd w:val="clear" w:color="auto" w:fill="FFFF0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early symptomatic ALS vs MND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100% (84%–100%)</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90% (76%–97%)</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97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0.99 (0.97–1)</w:t>
            </w:r>
          </w:p>
        </w:tc>
      </w:tr>
      <w:tr w:rsidR="00532CAA">
        <w:trPr>
          <w:trHeight w:val="69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late phase (118)</w:t>
            </w: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shd w:val="clear" w:color="auto" w:fill="FFFF0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late symptomatic ALS vs other neurological diseases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79% (CI 70%–86%)</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92% (80%–98%)</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116 pg /mL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 (0.83–0.97)</w:t>
            </w:r>
          </w:p>
        </w:tc>
      </w:tr>
      <w:tr w:rsidR="00532CAA">
        <w:trPr>
          <w:trHeight w:val="665"/>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shd w:val="clear" w:color="auto" w:fill="FFFF0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late symptomatic ALS vs MND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100% (84%–100%)</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84% (76%–90%)</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 95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0.97 (0.94–1)</w:t>
            </w:r>
          </w:p>
        </w:tc>
      </w:tr>
      <w:tr w:rsidR="00532CAA">
        <w:trPr>
          <w:trHeight w:val="687"/>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Li, 2018</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[56]</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ELISA test Uman Diagnostic AB; Umea, Sweden</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53 </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(35 early phase)</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Controls (32)</w:t>
            </w: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r>
              <w:rPr>
                <w:rFonts w:ascii="Times New Roman" w:eastAsia="Times New Roman" w:hAnsi="Times New Roman" w:cs="Times New Roman"/>
                <w:i/>
                <w:color w:val="000000"/>
                <w:sz w:val="20"/>
                <w:szCs w:val="20"/>
                <w:lang w:val="en-US" w:eastAsia="it-IT"/>
              </w:rPr>
              <w:t>ALS mimics (7)</w:t>
            </w:r>
          </w:p>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color w:val="000000"/>
                <w:sz w:val="20"/>
                <w:szCs w:val="20"/>
                <w:lang w:val="en-US" w:eastAsia="it-IT"/>
              </w:rPr>
              <w:t>Other neurological diseases (25)</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all non-ALS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lang w:val="en-US"/>
              </w:rPr>
              <w:t> </w:t>
            </w:r>
            <w:r>
              <w:rPr>
                <w:rFonts w:ascii="Times New Roman" w:hAnsi="Times New Roman" w:cs="Times New Roman"/>
                <w:color w:val="000000"/>
                <w:sz w:val="20"/>
                <w:szCs w:val="20"/>
                <w:shd w:val="clear" w:color="auto" w:fill="FFFFFF"/>
              </w:rPr>
              <w:t>96.2% (95% CI, 87–99.5)</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hAnsi="Times New Roman" w:cs="Times New Roman"/>
                <w:color w:val="000000"/>
                <w:sz w:val="20"/>
                <w:szCs w:val="20"/>
                <w:shd w:val="clear" w:color="auto" w:fill="FFFFFF"/>
                <w:lang w:val="en-US"/>
              </w:rPr>
            </w:pPr>
            <w:r>
              <w:rPr>
                <w:rFonts w:ascii="Times New Roman" w:hAnsi="Times New Roman" w:cs="Times New Roman"/>
                <w:color w:val="000000"/>
                <w:sz w:val="20"/>
                <w:szCs w:val="20"/>
                <w:shd w:val="clear" w:color="auto" w:fill="FFFFFF"/>
              </w:rPr>
              <w:t>56.3% (95% CI, 37.7–73.6)</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hAnsi="Times New Roman" w:cs="Times New Roman"/>
                <w:color w:val="000000"/>
                <w:sz w:val="20"/>
                <w:szCs w:val="20"/>
                <w:shd w:val="clear" w:color="auto" w:fill="FFFFFF"/>
                <w:lang w:val="en-US"/>
              </w:rPr>
            </w:pPr>
            <w:r>
              <w:rPr>
                <w:rFonts w:ascii="Times New Roman" w:hAnsi="Times New Roman" w:cs="Times New Roman"/>
                <w:color w:val="000000"/>
                <w:sz w:val="20"/>
                <w:szCs w:val="20"/>
                <w:shd w:val="clear" w:color="auto" w:fill="FFFFFF"/>
              </w:rPr>
              <w:t>1,139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0.775 (CI, 0.671–0.858</w:t>
            </w:r>
          </w:p>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r>
      <w:tr w:rsidR="00532CAA">
        <w:trPr>
          <w:trHeight w:val="882"/>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Early ALS vs all non-ALS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91.4% (CI 76.9–98.2)</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59.4% (CI 40.6–76.3)</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1,307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0.772 (CI 0.654–0.866)</w:t>
            </w:r>
          </w:p>
        </w:tc>
      </w:tr>
      <w:tr w:rsidR="00532CAA">
        <w:trPr>
          <w:trHeight w:val="711"/>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Rossi, 2018</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[43]</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ELISA test Uman Diagnostic AB; Umea, Sweden</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190</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Control group 1 (82): </w:t>
            </w:r>
            <w:r>
              <w:rPr>
                <w:rFonts w:ascii="Times New Roman" w:eastAsia="Times New Roman" w:hAnsi="Times New Roman" w:cs="Times New Roman"/>
                <w:color w:val="000000"/>
                <w:sz w:val="20"/>
                <w:szCs w:val="20"/>
                <w:lang w:val="en-US" w:eastAsia="it-IT"/>
              </w:rPr>
              <w:t xml:space="preserve">non-inflammatory, non-acute onset neurological disorders, including </w:t>
            </w:r>
            <w:r>
              <w:rPr>
                <w:rFonts w:ascii="Times New Roman" w:eastAsia="Times New Roman" w:hAnsi="Times New Roman" w:cs="Times New Roman"/>
                <w:i/>
                <w:color w:val="000000"/>
                <w:sz w:val="20"/>
                <w:szCs w:val="20"/>
                <w:lang w:val="en-US" w:eastAsia="it-IT"/>
              </w:rPr>
              <w:t>ALS-mimic diseases</w:t>
            </w:r>
            <w:r>
              <w:rPr>
                <w:rFonts w:ascii="Times New Roman" w:eastAsia="Times New Roman" w:hAnsi="Times New Roman" w:cs="Times New Roman"/>
                <w:color w:val="000000"/>
                <w:sz w:val="20"/>
                <w:szCs w:val="20"/>
                <w:lang w:val="en-US" w:eastAsia="it-IT"/>
              </w:rPr>
              <w:t xml:space="preserve"> (31)</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ALS vs </w:t>
            </w:r>
            <w:r>
              <w:rPr>
                <w:rFonts w:ascii="Times New Roman" w:eastAsia="Times New Roman" w:hAnsi="Times New Roman" w:cs="Times New Roman"/>
                <w:i/>
                <w:color w:val="000000"/>
                <w:sz w:val="20"/>
                <w:szCs w:val="20"/>
                <w:lang w:eastAsia="it-IT"/>
              </w:rPr>
              <w:t>control group 1</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76.3% (CI 69.8–81.7)</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72.8% (CI 69.2–80.9)</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1,838 ng/L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0.775 (CI 0.713–0.837)</w:t>
            </w:r>
          </w:p>
        </w:tc>
      </w:tr>
      <w:tr w:rsidR="00532CAA">
        <w:trPr>
          <w:trHeight w:val="552"/>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ALS vs </w:t>
            </w:r>
            <w:r>
              <w:rPr>
                <w:rFonts w:ascii="Times New Roman" w:eastAsia="Times New Roman" w:hAnsi="Times New Roman" w:cs="Times New Roman"/>
                <w:i/>
                <w:color w:val="000000"/>
                <w:sz w:val="20"/>
                <w:szCs w:val="20"/>
                <w:lang w:eastAsia="it-IT"/>
              </w:rPr>
              <w:t>ALS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78.2% CI (71.2–83.5)</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63.0% CI (44.1–78.4)</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1,540 ng/L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0.694 CI (0.572–0.817)</w:t>
            </w:r>
          </w:p>
        </w:tc>
      </w:tr>
      <w:tr w:rsidR="00532CAA">
        <w:trPr>
          <w:trHeight w:val="845"/>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Control group 2 (48): </w:t>
            </w:r>
            <w:r>
              <w:rPr>
                <w:rFonts w:ascii="Times New Roman" w:eastAsia="Times New Roman" w:hAnsi="Times New Roman" w:cs="Times New Roman"/>
                <w:color w:val="000000"/>
                <w:sz w:val="20"/>
                <w:szCs w:val="20"/>
                <w:lang w:val="en-US" w:eastAsia="it-IT"/>
              </w:rPr>
              <w:t>acute/subacute inflammatory disorders and tumors/metasta</w:t>
            </w:r>
            <w:r>
              <w:rPr>
                <w:rFonts w:ascii="Times New Roman" w:eastAsia="Times New Roman" w:hAnsi="Times New Roman" w:cs="Times New Roman"/>
                <w:color w:val="000000"/>
                <w:sz w:val="20"/>
                <w:szCs w:val="20"/>
                <w:lang w:val="en-US" w:eastAsia="it-IT"/>
              </w:rPr>
              <w:lastRenderedPageBreak/>
              <w:t>ses of the nervous system</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lastRenderedPageBreak/>
              <w:t xml:space="preserve">ALS vs </w:t>
            </w:r>
            <w:r>
              <w:rPr>
                <w:rFonts w:ascii="Times New Roman" w:eastAsia="Times New Roman" w:hAnsi="Times New Roman" w:cs="Times New Roman"/>
                <w:i/>
                <w:color w:val="000000"/>
                <w:sz w:val="20"/>
                <w:szCs w:val="20"/>
                <w:lang w:eastAsia="it-IT"/>
              </w:rPr>
              <w:t>control group 2</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79.2% CI (72.9–84.3)</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41.3% CI (28.3–55.7)</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1,470 ng/L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0.542 CI (0.437–0.648)</w:t>
            </w:r>
          </w:p>
        </w:tc>
      </w:tr>
      <w:tr w:rsidR="00532CAA">
        <w:trPr>
          <w:trHeight w:val="552"/>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lastRenderedPageBreak/>
              <w:t>Verde, 2019</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[64]</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serum</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SiMOA</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124</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r>
              <w:rPr>
                <w:rFonts w:ascii="Times New Roman" w:eastAsia="Times New Roman" w:hAnsi="Times New Roman" w:cs="Times New Roman"/>
                <w:i/>
                <w:color w:val="000000"/>
                <w:sz w:val="20"/>
                <w:szCs w:val="20"/>
                <w:lang w:val="en-US" w:eastAsia="it-IT"/>
              </w:rPr>
              <w:t>Disease controls (44)</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color w:val="000000"/>
                <w:sz w:val="20"/>
                <w:szCs w:val="20"/>
                <w:lang w:val="en-US" w:eastAsia="it-IT"/>
              </w:rPr>
            </w:pPr>
            <w:r>
              <w:rPr>
                <w:rFonts w:ascii="Times New Roman" w:eastAsia="Times New Roman" w:hAnsi="Times New Roman" w:cs="Times New Roman"/>
                <w:i/>
                <w:color w:val="000000"/>
                <w:sz w:val="20"/>
                <w:szCs w:val="20"/>
                <w:lang w:val="en-US" w:eastAsia="it-IT"/>
              </w:rPr>
              <w:t>Non-neurodegenerative controls (50)</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i/>
                <w:color w:val="000000"/>
                <w:sz w:val="20"/>
                <w:szCs w:val="20"/>
                <w:lang w:val="en-US" w:eastAsia="it-IT"/>
              </w:rPr>
              <w:t>Neurodegenerative diseases (65)</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disease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85.5% (CI 78-91.2%)</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77.3% (CI 62.2% to 88.5%)</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62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0.873 (CI 0.81 to 0.935</w:t>
            </w:r>
          </w:p>
        </w:tc>
      </w:tr>
      <w:tr w:rsidR="00532CAA">
        <w:trPr>
          <w:trHeight w:val="552"/>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non neurodegenerative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89.5% (CI 82.7- 94.3%)</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92% (CI 80.8-97.8%)</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49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0.971 (CI 0.95 to 0.991)</w:t>
            </w:r>
          </w:p>
        </w:tc>
      </w:tr>
      <w:tr w:rsidR="00532CAA">
        <w:trPr>
          <w:trHeight w:val="877"/>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all non-ALS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85.5% (CI 78% to 91.2%)</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81.8% (CI 74.9% to 87.4%)</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62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0.887 (CI 0.849 to 0.926)</w:t>
            </w:r>
          </w:p>
        </w:tc>
      </w:tr>
      <w:tr w:rsidR="00532CAA">
        <w:trPr>
          <w:trHeight w:val="279"/>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pPr>
            <w:r>
              <w:rPr>
                <w:rFonts w:ascii="Times New Roman" w:eastAsia="Times New Roman" w:hAnsi="Times New Roman" w:cs="Times New Roman"/>
                <w:color w:val="000000"/>
                <w:sz w:val="20"/>
                <w:szCs w:val="20"/>
                <w:lang w:eastAsia="it-IT"/>
              </w:rPr>
              <w:t>Gille, 2019 [73]</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serum</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 xml:space="preserve">ECL-based assay </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149</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PLS (11)</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PMA (6)</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PLS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80.5% (Ci 73.3–86.6)</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90.9% (Ci 58.7–99.8)</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val="en-US" w:eastAsia="it-IT"/>
              </w:rPr>
              <w:t>88 pg/</w:t>
            </w:r>
            <w:r>
              <w:rPr>
                <w:rFonts w:ascii="Times New Roman" w:eastAsia="Times New Roman" w:hAnsi="Times New Roman" w:cs="Times New Roman"/>
                <w:color w:val="000000"/>
                <w:sz w:val="20"/>
                <w:szCs w:val="20"/>
                <w:lang w:eastAsia="it-IT"/>
              </w:rPr>
              <w:t>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0.89 (Ci 0.83–0.93)</w:t>
            </w:r>
          </w:p>
        </w:tc>
      </w:tr>
      <w:tr w:rsidR="00532CAA">
        <w:trPr>
          <w:trHeight w:val="279"/>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PMA</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81.2% (CI 74.0–87.1)</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66.7% (CI 22.3–95.7)</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86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0.71 (CI 0.63–0.78)</w:t>
            </w:r>
          </w:p>
        </w:tc>
      </w:tr>
      <w:tr w:rsidR="00532CAA">
        <w:trPr>
          <w:trHeight w:val="665"/>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i/>
                <w:iCs/>
                <w:color w:val="000000"/>
                <w:sz w:val="20"/>
                <w:szCs w:val="20"/>
                <w:lang w:val="en-US" w:eastAsia="it-IT"/>
              </w:rPr>
              <w:t xml:space="preserve">Disease controls (82): </w:t>
            </w:r>
            <w:r>
              <w:rPr>
                <w:rFonts w:ascii="Times New Roman" w:eastAsia="Times New Roman" w:hAnsi="Times New Roman" w:cs="Times New Roman"/>
                <w:color w:val="000000"/>
                <w:sz w:val="20"/>
                <w:szCs w:val="20"/>
                <w:lang w:val="en-US" w:eastAsia="it-IT"/>
              </w:rPr>
              <w:t>GBS (48), CIDP (20)</w:t>
            </w:r>
          </w:p>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p>
          <w:p w:rsidR="00532CAA" w:rsidRDefault="00532CAA">
            <w:pPr>
              <w:spacing w:after="0" w:line="240" w:lineRule="auto"/>
              <w:jc w:val="center"/>
              <w:rPr>
                <w:rFonts w:ascii="Times New Roman" w:eastAsia="Times New Roman" w:hAnsi="Times New Roman" w:cs="Times New Roman"/>
                <w:i/>
                <w:iCs/>
                <w:color w:val="000000"/>
                <w:sz w:val="20"/>
                <w:szCs w:val="20"/>
                <w:lang w:val="en-US" w:eastAsia="it-IT"/>
              </w:rPr>
            </w:pPr>
            <w:r>
              <w:rPr>
                <w:rFonts w:ascii="Times New Roman" w:eastAsia="Times New Roman" w:hAnsi="Times New Roman" w:cs="Times New Roman"/>
                <w:color w:val="000000"/>
                <w:sz w:val="20"/>
                <w:szCs w:val="20"/>
                <w:lang w:val="en-US" w:eastAsia="it-IT"/>
              </w:rPr>
              <w:t>hSP (14)</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vs disease controls (hSP excluded)</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63.2% (CI 50.7–74.6)</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139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0.58 (CI 0.51–0.64)</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hSP</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89.3% (CI 83.1–93.7)</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78.6% (CI 49.2–95.35)</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55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0.84 (CI 0.78–0.90)</w:t>
            </w:r>
          </w:p>
        </w:tc>
      </w:tr>
      <w:tr w:rsidR="00532CAA">
        <w:trPr>
          <w:trHeight w:val="276"/>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Kasai, 2019</w:t>
            </w:r>
          </w:p>
          <w:p w:rsidR="00532CAA" w:rsidRDefault="00532CAA" w:rsidP="00FF108B">
            <w:pPr>
              <w:spacing w:after="0" w:line="240" w:lineRule="auto"/>
              <w:jc w:val="center"/>
            </w:pPr>
            <w:r>
              <w:rPr>
                <w:rFonts w:ascii="Times New Roman" w:eastAsia="Times New Roman" w:hAnsi="Times New Roman" w:cs="Times New Roman"/>
                <w:color w:val="000000"/>
                <w:sz w:val="20"/>
                <w:szCs w:val="20"/>
                <w:lang w:eastAsia="it-IT"/>
              </w:rPr>
              <w:t>[109]</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plasma</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SiMOA</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discovery cohort: 29</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color w:val="000000"/>
                <w:sz w:val="20"/>
                <w:szCs w:val="20"/>
                <w:lang w:val="fr-FR" w:eastAsia="it-IT"/>
              </w:rPr>
            </w:pPr>
            <w:r>
              <w:rPr>
                <w:rFonts w:ascii="Times New Roman" w:eastAsia="Times New Roman" w:hAnsi="Times New Roman" w:cs="Times New Roman"/>
                <w:i/>
                <w:color w:val="000000"/>
                <w:sz w:val="20"/>
                <w:szCs w:val="20"/>
                <w:lang w:val="fr-FR" w:eastAsia="it-IT"/>
              </w:rPr>
              <w:t>Non-neurological controls (29)</w:t>
            </w:r>
          </w:p>
          <w:p w:rsidR="00532CAA" w:rsidRDefault="00532CAA">
            <w:pPr>
              <w:spacing w:after="0" w:line="240" w:lineRule="auto"/>
              <w:jc w:val="center"/>
              <w:rPr>
                <w:rFonts w:ascii="Times New Roman" w:eastAsia="Times New Roman" w:hAnsi="Times New Roman" w:cs="Times New Roman"/>
                <w:i/>
                <w:color w:val="000000"/>
                <w:sz w:val="20"/>
                <w:szCs w:val="20"/>
                <w:lang w:val="fr-FR" w:eastAsia="it-IT"/>
              </w:rPr>
            </w:pPr>
          </w:p>
          <w:p w:rsidR="00532CAA" w:rsidRDefault="00532CAA">
            <w:pPr>
              <w:spacing w:after="0" w:line="240" w:lineRule="auto"/>
              <w:jc w:val="center"/>
              <w:rPr>
                <w:rFonts w:ascii="Times New Roman" w:eastAsia="Times New Roman" w:hAnsi="Times New Roman" w:cs="Times New Roman"/>
                <w:i/>
                <w:color w:val="000000"/>
                <w:sz w:val="20"/>
                <w:szCs w:val="20"/>
                <w:lang w:val="fr-FR" w:eastAsia="it-IT"/>
              </w:rPr>
            </w:pPr>
            <w:r>
              <w:rPr>
                <w:rFonts w:ascii="Times New Roman" w:eastAsia="Times New Roman" w:hAnsi="Times New Roman" w:cs="Times New Roman"/>
                <w:i/>
                <w:color w:val="000000"/>
                <w:sz w:val="20"/>
                <w:szCs w:val="20"/>
                <w:lang w:val="fr-FR" w:eastAsia="it-IT"/>
              </w:rPr>
              <w:t>NMD patients (46)</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(discovery cohort) vs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0.6659</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(validation cohort) vs NMD</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0.7824</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validation cohort: 46</w:t>
            </w: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(discovery cohort) vs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0.7206</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ALS (validation cohort) vs NMD</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not reported</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0.9012</w:t>
            </w:r>
          </w:p>
        </w:tc>
      </w:tr>
      <w:tr w:rsidR="00532CAA">
        <w:trPr>
          <w:trHeight w:val="276"/>
        </w:trPr>
        <w:tc>
          <w:tcPr>
            <w:tcW w:w="918"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Abu-Rumeileh, 2020</w:t>
            </w:r>
          </w:p>
          <w:p w:rsidR="00532CAA" w:rsidRDefault="00532CAA">
            <w:pPr>
              <w:spacing w:after="0" w:line="240" w:lineRule="auto"/>
              <w:jc w:val="center"/>
            </w:pPr>
            <w:r>
              <w:rPr>
                <w:rFonts w:ascii="Times New Roman" w:eastAsia="Times New Roman" w:hAnsi="Times New Roman" w:cs="Times New Roman"/>
                <w:color w:val="000000"/>
                <w:sz w:val="20"/>
                <w:szCs w:val="20"/>
                <w:lang w:eastAsia="it-IT"/>
              </w:rPr>
              <w:t>[63]</w:t>
            </w:r>
          </w:p>
        </w:tc>
        <w:tc>
          <w:tcPr>
            <w:tcW w:w="747"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CSF</w:t>
            </w:r>
          </w:p>
        </w:tc>
        <w:tc>
          <w:tcPr>
            <w:tcW w:w="920"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val="en-US" w:eastAsia="it-IT"/>
              </w:rPr>
            </w:pPr>
            <w:r>
              <w:rPr>
                <w:rFonts w:ascii="Times New Roman" w:eastAsia="Times New Roman" w:hAnsi="Times New Roman" w:cs="Times New Roman"/>
                <w:color w:val="000000"/>
                <w:sz w:val="20"/>
                <w:szCs w:val="20"/>
                <w:lang w:val="en-US" w:eastAsia="it-IT"/>
              </w:rPr>
              <w:t>ELISA test IBL, HamburgGermany</w:t>
            </w:r>
          </w:p>
        </w:tc>
        <w:tc>
          <w:tcPr>
            <w:tcW w:w="796"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80</w:t>
            </w:r>
          </w:p>
        </w:tc>
        <w:tc>
          <w:tcPr>
            <w:tcW w:w="3455" w:type="dxa"/>
            <w:vMerge w:val="restart"/>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i/>
                <w:color w:val="000000"/>
                <w:sz w:val="20"/>
                <w:szCs w:val="20"/>
                <w:lang w:eastAsia="it-IT"/>
              </w:rPr>
            </w:pPr>
            <w:r>
              <w:rPr>
                <w:rFonts w:ascii="Times New Roman" w:eastAsia="Times New Roman" w:hAnsi="Times New Roman" w:cs="Times New Roman"/>
                <w:i/>
                <w:color w:val="000000"/>
                <w:sz w:val="20"/>
                <w:szCs w:val="20"/>
                <w:lang w:eastAsia="it-IT"/>
              </w:rPr>
              <w:t>healthy controls (43)</w:t>
            </w:r>
          </w:p>
          <w:p w:rsidR="00532CAA" w:rsidRDefault="00532CAA">
            <w:pPr>
              <w:spacing w:after="0" w:line="240" w:lineRule="auto"/>
              <w:jc w:val="center"/>
              <w:rPr>
                <w:rFonts w:ascii="Times New Roman" w:eastAsia="Times New Roman" w:hAnsi="Times New Roman" w:cs="Times New Roman"/>
                <w:i/>
                <w:color w:val="000000"/>
                <w:sz w:val="20"/>
                <w:szCs w:val="20"/>
                <w:lang w:eastAsia="it-IT"/>
              </w:rPr>
            </w:pPr>
          </w:p>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i/>
                <w:color w:val="000000"/>
                <w:sz w:val="20"/>
                <w:szCs w:val="20"/>
                <w:lang w:eastAsia="it-IT"/>
              </w:rPr>
              <w:t>ALS mimics (46)</w:t>
            </w: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ALS vs healthy controls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96.3 %</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97.7 %</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1207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0.981 ± 0.011</w:t>
            </w:r>
          </w:p>
        </w:tc>
      </w:tr>
      <w:tr w:rsidR="00532CAA">
        <w:trPr>
          <w:trHeight w:val="276"/>
        </w:trPr>
        <w:tc>
          <w:tcPr>
            <w:tcW w:w="918"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747"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sz w:val="20"/>
                <w:szCs w:val="20"/>
                <w:lang w:eastAsia="it-IT"/>
              </w:rPr>
            </w:pPr>
          </w:p>
        </w:tc>
        <w:tc>
          <w:tcPr>
            <w:tcW w:w="920"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sz w:val="20"/>
                <w:szCs w:val="20"/>
                <w:lang w:eastAsia="it-IT"/>
              </w:rPr>
            </w:pPr>
          </w:p>
        </w:tc>
        <w:tc>
          <w:tcPr>
            <w:tcW w:w="796"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sz w:val="20"/>
                <w:szCs w:val="20"/>
                <w:lang w:eastAsia="it-IT"/>
              </w:rPr>
            </w:pPr>
          </w:p>
        </w:tc>
        <w:tc>
          <w:tcPr>
            <w:tcW w:w="3455" w:type="dxa"/>
            <w:vMerge/>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p>
        </w:tc>
        <w:tc>
          <w:tcPr>
            <w:tcW w:w="239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 xml:space="preserve">ALS vs </w:t>
            </w:r>
            <w:r>
              <w:rPr>
                <w:rFonts w:ascii="Times New Roman" w:eastAsia="Times New Roman" w:hAnsi="Times New Roman" w:cs="Times New Roman"/>
                <w:i/>
                <w:color w:val="000000"/>
                <w:sz w:val="20"/>
                <w:szCs w:val="20"/>
                <w:lang w:eastAsia="it-IT"/>
              </w:rPr>
              <w:t>ALS mimics</w:t>
            </w:r>
          </w:p>
        </w:tc>
        <w:tc>
          <w:tcPr>
            <w:tcW w:w="1594"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91.7 %</w:t>
            </w:r>
          </w:p>
        </w:tc>
        <w:tc>
          <w:tcPr>
            <w:tcW w:w="1330"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91.3%</w:t>
            </w:r>
          </w:p>
        </w:tc>
        <w:tc>
          <w:tcPr>
            <w:tcW w:w="926"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1955 pg/ml</w:t>
            </w:r>
          </w:p>
        </w:tc>
        <w:tc>
          <w:tcPr>
            <w:tcW w:w="1209" w:type="dxa"/>
            <w:tcBorders>
              <w:top w:val="single" w:sz="4" w:space="0" w:color="00000A"/>
              <w:left w:val="single" w:sz="4" w:space="0" w:color="00000A"/>
              <w:bottom w:val="single" w:sz="4" w:space="0" w:color="00000A"/>
              <w:right w:val="single" w:sz="4" w:space="0" w:color="00000A"/>
            </w:tcBorders>
            <w:shd w:val="clear" w:color="auto" w:fill="auto"/>
            <w:tcMar>
              <w:left w:w="60" w:type="dxa"/>
            </w:tcMar>
            <w:vAlign w:val="center"/>
          </w:tcPr>
          <w:p w:rsidR="00532CAA" w:rsidRDefault="00532CAA">
            <w:pPr>
              <w:spacing w:after="0" w:line="240" w:lineRule="auto"/>
              <w:jc w:val="center"/>
              <w:rPr>
                <w:rFonts w:ascii="Times New Roman" w:eastAsia="Times New Roman" w:hAnsi="Times New Roman" w:cs="Times New Roman"/>
                <w:color w:val="000000"/>
                <w:sz w:val="20"/>
                <w:szCs w:val="20"/>
                <w:lang w:eastAsia="it-IT"/>
              </w:rPr>
            </w:pPr>
            <w:r>
              <w:rPr>
                <w:rFonts w:ascii="Times New Roman" w:eastAsia="Times New Roman" w:hAnsi="Times New Roman" w:cs="Times New Roman"/>
                <w:color w:val="000000"/>
                <w:sz w:val="20"/>
                <w:szCs w:val="20"/>
                <w:lang w:eastAsia="it-IT"/>
              </w:rPr>
              <w:t>0.922 ± 0.031</w:t>
            </w:r>
          </w:p>
        </w:tc>
      </w:tr>
    </w:tbl>
    <w:p w:rsidR="00532CAA" w:rsidRDefault="00532CAA"/>
    <w:p w:rsidR="00532CAA" w:rsidRDefault="00532CAA">
      <w:pPr>
        <w:rPr>
          <w:rFonts w:ascii="Times New Roman" w:eastAsia="Times New Roman" w:hAnsi="Times New Roman" w:cs="Times New Roman"/>
          <w:color w:val="000000"/>
          <w:lang w:val="en-US" w:eastAsia="it-IT"/>
        </w:rPr>
      </w:pPr>
      <w:r>
        <w:rPr>
          <w:rFonts w:ascii="Times New Roman" w:hAnsi="Times New Roman" w:cs="Times New Roman"/>
          <w:i/>
          <w:lang w:val="en-US"/>
        </w:rPr>
        <w:t>Abbreviations</w:t>
      </w:r>
      <w:r>
        <w:rPr>
          <w:rFonts w:ascii="Times New Roman" w:hAnsi="Times New Roman" w:cs="Times New Roman"/>
          <w:lang w:val="en-US"/>
        </w:rPr>
        <w:t xml:space="preserve">: ALS: amyotrophic Lateral Sclerosis, AUC: area under the curve; CI: confidential interval; NfL: neurofilament light chain; pNfH: neurofilament heavy chain; CSF: cerebrospinal fluid; ECL: elettrochemoluminescence assay; ELISA: enzyme -linked immunoadsorbent assay; MND: motor neuron disorder; </w:t>
      </w:r>
      <w:r>
        <w:rPr>
          <w:rFonts w:ascii="Times New Roman" w:eastAsia="Times New Roman" w:hAnsi="Times New Roman" w:cs="Times New Roman"/>
          <w:color w:val="000000"/>
          <w:lang w:val="en-US" w:eastAsia="it-IT"/>
        </w:rPr>
        <w:t>fALS</w:t>
      </w:r>
      <w:r>
        <w:rPr>
          <w:rFonts w:ascii="Times New Roman" w:hAnsi="Times New Roman" w:cs="Times New Roman"/>
          <w:lang w:val="en-US"/>
        </w:rPr>
        <w:t>: familiar ALS; SiMoA: single-molecule array. FTD: Fronto-Temporal-Dementia</w:t>
      </w:r>
      <w:r>
        <w:rPr>
          <w:rFonts w:ascii="Times New Roman" w:eastAsia="Times New Roman" w:hAnsi="Times New Roman" w:cs="Times New Roman"/>
          <w:color w:val="000000"/>
          <w:lang w:val="en-US" w:eastAsia="it-IT"/>
        </w:rPr>
        <w:t xml:space="preserve">; MMN: </w:t>
      </w:r>
      <w:r>
        <w:rPr>
          <w:rFonts w:ascii="Times New Roman" w:eastAsia="Times New Roman" w:hAnsi="Times New Roman" w:cs="Times New Roman"/>
          <w:color w:val="000000"/>
          <w:lang w:val="en-US" w:eastAsia="it-IT"/>
        </w:rPr>
        <w:lastRenderedPageBreak/>
        <w:t xml:space="preserve">multifocal motor neuropathy; PLS: primary lateral sclerosis, CIDP: Chronic inflammatory demyelinating polyneuropathy; hSP: hereditary spastic paraplegia, GBS: Guillain-Barre Syndrome; NMD: neuromuscular disease. </w:t>
      </w:r>
    </w:p>
    <w:p w:rsidR="00532CAA" w:rsidRDefault="00532CAA">
      <w:pPr>
        <w:rPr>
          <w:rFonts w:ascii="Times New Roman" w:eastAsia="Times New Roman" w:hAnsi="Times New Roman" w:cs="Times New Roman"/>
          <w:color w:val="000000"/>
          <w:lang w:val="en-US" w:eastAsia="it-IT"/>
        </w:rPr>
      </w:pPr>
    </w:p>
    <w:p w:rsidR="00532CAA" w:rsidRPr="00FF108B" w:rsidRDefault="00532CAA">
      <w:pPr>
        <w:pStyle w:val="ListParagraph"/>
        <w:spacing w:after="0" w:line="240" w:lineRule="auto"/>
        <w:rPr>
          <w:rFonts w:ascii="Times New Roman" w:hAnsi="Times New Roman" w:cs="Times New Roman"/>
          <w:color w:val="212121"/>
          <w:shd w:val="clear" w:color="auto" w:fill="FFFFFF"/>
          <w:lang w:val="en-US"/>
        </w:rPr>
      </w:pPr>
    </w:p>
    <w:p w:rsidR="00532CAA" w:rsidRDefault="00532CAA">
      <w:pPr>
        <w:suppressAutoHyphens w:val="0"/>
        <w:spacing w:line="259" w:lineRule="auto"/>
        <w:rPr>
          <w:rFonts w:ascii="Times New Roman" w:hAnsi="Times New Roman" w:cs="Times New Roman"/>
          <w:lang w:val="en-US"/>
        </w:rPr>
      </w:pPr>
      <w:r>
        <w:rPr>
          <w:rFonts w:ascii="Times New Roman" w:hAnsi="Times New Roman" w:cs="Times New Roman"/>
          <w:lang w:val="en-US"/>
        </w:rPr>
        <w:br w:type="page"/>
      </w:r>
    </w:p>
    <w:p w:rsidR="00532CAA" w:rsidRDefault="00532CAA" w:rsidP="0055220B">
      <w:pPr>
        <w:spacing w:line="480" w:lineRule="auto"/>
        <w:rPr>
          <w:rFonts w:ascii="Times New Roman" w:hAnsi="Times New Roman" w:cs="Times New Roman"/>
        </w:rPr>
      </w:pPr>
      <w:r w:rsidRPr="0049020B">
        <w:rPr>
          <w:rFonts w:ascii="Times New Roman" w:hAnsi="Times New Roman" w:cs="Times New Roman"/>
          <w:b/>
        </w:rPr>
        <w:lastRenderedPageBreak/>
        <w:t xml:space="preserve">Table </w:t>
      </w:r>
      <w:r>
        <w:rPr>
          <w:rFonts w:ascii="Times New Roman" w:hAnsi="Times New Roman" w:cs="Times New Roman"/>
          <w:b/>
        </w:rPr>
        <w:t>2</w:t>
      </w:r>
      <w:r w:rsidRPr="0049020B">
        <w:rPr>
          <w:rFonts w:ascii="Times New Roman" w:hAnsi="Times New Roman" w:cs="Times New Roman"/>
          <w:b/>
        </w:rPr>
        <w:t xml:space="preserve">. Data on longitudinal behaviour of NFs </w:t>
      </w:r>
      <w:r>
        <w:rPr>
          <w:rFonts w:ascii="Times New Roman" w:hAnsi="Times New Roman" w:cs="Times New Roman"/>
          <w:b/>
        </w:rPr>
        <w:t xml:space="preserve">in MND </w:t>
      </w:r>
      <w:r w:rsidRPr="0049020B">
        <w:rPr>
          <w:rFonts w:ascii="Times New Roman" w:hAnsi="Times New Roman" w:cs="Times New Roman"/>
          <w:b/>
        </w:rPr>
        <w:t>according to current literature</w:t>
      </w:r>
      <w:r>
        <w:rPr>
          <w:rFonts w:ascii="Times New Roman" w:hAnsi="Times New Roman" w:cs="Times New Roman"/>
        </w:rPr>
        <w:t xml:space="preserve">. The table displays a list of studies with at least one longitudinal follow-up after the first observation for the neurofilament of interest; the main findings are highlighted in bold characters. Methods for NF quantification and the potential limits of these findings are briefly reported. </w:t>
      </w:r>
    </w:p>
    <w:tbl>
      <w:tblPr>
        <w:tblStyle w:val="TableGrid"/>
        <w:tblW w:w="5000" w:type="pct"/>
        <w:tblLook w:val="04A0" w:firstRow="1" w:lastRow="0" w:firstColumn="1" w:lastColumn="0" w:noHBand="0" w:noVBand="1"/>
      </w:tblPr>
      <w:tblGrid>
        <w:gridCol w:w="616"/>
        <w:gridCol w:w="702"/>
        <w:gridCol w:w="496"/>
        <w:gridCol w:w="761"/>
        <w:gridCol w:w="614"/>
        <w:gridCol w:w="614"/>
        <w:gridCol w:w="575"/>
        <w:gridCol w:w="528"/>
        <w:gridCol w:w="2994"/>
        <w:gridCol w:w="1954"/>
      </w:tblGrid>
      <w:tr w:rsidR="00532CAA" w:rsidRPr="00B200F0" w:rsidTr="00BB64F5">
        <w:trPr>
          <w:trHeight w:val="855"/>
        </w:trPr>
        <w:tc>
          <w:tcPr>
            <w:tcW w:w="316" w:type="pct"/>
            <w:hideMark/>
          </w:tcPr>
          <w:p w:rsidR="00532CAA" w:rsidRPr="00B200F0" w:rsidRDefault="00532CAA" w:rsidP="00B200F0">
            <w:pPr>
              <w:jc w:val="center"/>
              <w:rPr>
                <w:rFonts w:ascii="Times New Roman" w:eastAsia="Times New Roman" w:hAnsi="Times New Roman" w:cs="Times New Roman"/>
                <w:b/>
                <w:bCs/>
                <w:color w:val="000000"/>
                <w:sz w:val="16"/>
                <w:szCs w:val="16"/>
                <w:lang w:val="it-IT" w:eastAsia="it-IT"/>
              </w:rPr>
            </w:pPr>
            <w:r w:rsidRPr="00B200F0">
              <w:rPr>
                <w:rFonts w:ascii="Times New Roman" w:eastAsia="Times New Roman" w:hAnsi="Times New Roman" w:cs="Times New Roman"/>
                <w:b/>
                <w:bCs/>
                <w:color w:val="000000"/>
                <w:sz w:val="16"/>
                <w:szCs w:val="16"/>
              </w:rPr>
              <w:t>Neurofilament isoform</w:t>
            </w:r>
          </w:p>
        </w:tc>
        <w:tc>
          <w:tcPr>
            <w:tcW w:w="310" w:type="pct"/>
            <w:noWrap/>
            <w:hideMark/>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Study</w:t>
            </w:r>
          </w:p>
        </w:tc>
        <w:tc>
          <w:tcPr>
            <w:tcW w:w="341" w:type="pct"/>
            <w:noWrap/>
            <w:hideMark/>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Biomatrix</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Methods</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b/>
                <w:bCs/>
                <w:color w:val="000000"/>
                <w:sz w:val="16"/>
                <w:szCs w:val="16"/>
              </w:rPr>
              <w:t>Concentration range of the kit</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b/>
                <w:bCs/>
                <w:color w:val="000000"/>
                <w:sz w:val="16"/>
                <w:szCs w:val="16"/>
              </w:rPr>
              <w:t>Concentration range of cross-sectional results</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b/>
                <w:bCs/>
                <w:color w:val="000000"/>
                <w:sz w:val="16"/>
                <w:szCs w:val="16"/>
              </w:rPr>
              <w:t>Longitudinal sample size (n)</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b/>
                <w:bCs/>
                <w:color w:val="000000"/>
                <w:sz w:val="16"/>
                <w:szCs w:val="16"/>
              </w:rPr>
              <w:t>Genetic carriers (n)</w:t>
            </w:r>
          </w:p>
        </w:tc>
        <w:tc>
          <w:tcPr>
            <w:tcW w:w="900" w:type="pct"/>
            <w:noWrap/>
            <w:hideMark/>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Longitudinal data</w:t>
            </w:r>
          </w:p>
        </w:tc>
        <w:tc>
          <w:tcPr>
            <w:tcW w:w="712" w:type="pct"/>
            <w:noWrap/>
            <w:hideMark/>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Potential limits</w:t>
            </w:r>
          </w:p>
        </w:tc>
      </w:tr>
      <w:tr w:rsidR="00532CAA" w:rsidRPr="00B200F0" w:rsidTr="00BB64F5">
        <w:trPr>
          <w:trHeight w:val="1260"/>
        </w:trPr>
        <w:tc>
          <w:tcPr>
            <w:tcW w:w="316" w:type="pct"/>
            <w:vMerge w:val="restar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NfL</w:t>
            </w: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Lu, 2015</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[52]</w:t>
            </w:r>
          </w:p>
        </w:tc>
        <w:tc>
          <w:tcPr>
            <w:tcW w:w="341"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 plasma and CSF</w:t>
            </w:r>
          </w:p>
        </w:tc>
        <w:tc>
          <w:tcPr>
            <w:tcW w:w="496" w:type="pct"/>
          </w:tcPr>
          <w:p w:rsidR="00532CAA" w:rsidRPr="00B200F0" w:rsidRDefault="00532CAA" w:rsidP="00B200F0">
            <w:pPr>
              <w:jc w:val="center"/>
              <w:rPr>
                <w:rFonts w:ascii="Times New Roman" w:hAnsi="Times New Roman" w:cs="Times New Roman"/>
                <w:sz w:val="16"/>
                <w:szCs w:val="16"/>
              </w:rPr>
            </w:pPr>
            <w:r w:rsidRPr="00B200F0">
              <w:rPr>
                <w:rFonts w:ascii="Times New Roman" w:eastAsia="Times New Roman" w:hAnsi="Times New Roman" w:cs="Times New Roman"/>
                <w:color w:val="000000"/>
                <w:sz w:val="16"/>
                <w:szCs w:val="16"/>
              </w:rPr>
              <w:t>ECL-based assay</w:t>
            </w:r>
          </w:p>
        </w:tc>
        <w:tc>
          <w:tcPr>
            <w:tcW w:w="621" w:type="pct"/>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Linearity tested</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1-50000 pg/mL</w:t>
            </w:r>
          </w:p>
        </w:tc>
        <w:tc>
          <w:tcPr>
            <w:tcW w:w="465" w:type="pct"/>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IQR plasma: 54.4-158.4 pg/mL</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IQR serum: 54.5-151 pg/mL</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IQR CSF: 4376-11736 pg/mL</w:t>
            </w:r>
          </w:p>
        </w:tc>
        <w:tc>
          <w:tcPr>
            <w:tcW w:w="434" w:type="pct"/>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Plasma: 67</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Serum: 43</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CSF: 24</w:t>
            </w:r>
          </w:p>
        </w:tc>
        <w:tc>
          <w:tcPr>
            <w:tcW w:w="403" w:type="pct"/>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excluded</w:t>
            </w:r>
          </w:p>
        </w:tc>
        <w:tc>
          <w:tcPr>
            <w:tcW w:w="900" w:type="pct"/>
            <w:hideMark/>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plasma NfL does not change over time</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 xml:space="preserve">serum NfL have small ns increase over time: </w:t>
            </w:r>
            <w:r w:rsidRPr="00B200F0">
              <w:rPr>
                <w:rFonts w:ascii="Times New Roman" w:hAnsi="Times New Roman" w:cs="Times New Roman"/>
                <w:b/>
                <w:bCs/>
                <w:sz w:val="16"/>
                <w:szCs w:val="16"/>
              </w:rPr>
              <w:t>stable NfL levels in blood for 15 mts follow-up</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CSF NfL:  small increase in fast and slow progressors</w:t>
            </w:r>
          </w:p>
        </w:tc>
        <w:tc>
          <w:tcPr>
            <w:tcW w:w="712" w:type="pct"/>
            <w:hideMark/>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1) 3 cohorts testing different biomatrices, not related blood and CSF in the same patient.</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2)  Small sample for CSF collected longitudinally</w:t>
            </w:r>
          </w:p>
        </w:tc>
      </w:tr>
      <w:tr w:rsidR="00532CAA" w:rsidRPr="00B200F0" w:rsidTr="00BB64F5">
        <w:trPr>
          <w:trHeight w:val="1200"/>
        </w:trPr>
        <w:tc>
          <w:tcPr>
            <w:tcW w:w="316" w:type="pct"/>
            <w:vMerge/>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Skillback, 2017</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[79]</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CSF</w:t>
            </w:r>
          </w:p>
        </w:tc>
        <w:tc>
          <w:tcPr>
            <w:tcW w:w="496"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In-house method [I method] and ELISA kit Uman Diagnostics [II method] (NF-light ELISA kit,</w:t>
            </w:r>
            <w:r w:rsidRPr="00B200F0">
              <w:rPr>
                <w:rFonts w:ascii="Times New Roman" w:eastAsia="Times New Roman" w:hAnsi="Times New Roman" w:cs="Times New Roman"/>
                <w:color w:val="000000"/>
                <w:sz w:val="16"/>
                <w:szCs w:val="16"/>
              </w:rPr>
              <w:br/>
              <w:t>UmanDiagnostics AB, Umea°, Sweden); normalization of the two methods</w:t>
            </w:r>
          </w:p>
        </w:tc>
        <w:tc>
          <w:tcPr>
            <w:tcW w:w="621" w:type="pct"/>
          </w:tcPr>
          <w:p w:rsidR="00532CAA" w:rsidRPr="00B200F0" w:rsidRDefault="00532CAA" w:rsidP="00B200F0">
            <w:pPr>
              <w:spacing w:after="160" w:line="259" w:lineRule="auto"/>
              <w:ind w:left="7"/>
              <w:contextualSpacing/>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I method: detection limit 250 ng/mL II method: detection limit 125 ng/mL (linearity 125-16,000 ng/mL)</w:t>
            </w:r>
          </w:p>
          <w:p w:rsidR="00532CAA" w:rsidRPr="00B200F0" w:rsidRDefault="00532CAA" w:rsidP="00B200F0">
            <w:pPr>
              <w:spacing w:after="160" w:line="259" w:lineRule="auto"/>
              <w:ind w:left="7"/>
              <w:contextualSpacing/>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III method: detection limit 50 ng/mL; linear correlation with previous methods but resulted in higher levels of NfL (normalization required)</w:t>
            </w:r>
          </w:p>
          <w:p w:rsidR="00532CAA" w:rsidRPr="00B200F0" w:rsidRDefault="00532CAA" w:rsidP="00B200F0">
            <w:pPr>
              <w:jc w:val="center"/>
              <w:rPr>
                <w:rFonts w:ascii="Times New Roman" w:eastAsia="Times New Roman" w:hAnsi="Times New Roman" w:cs="Times New Roman"/>
                <w:color w:val="000000"/>
                <w:sz w:val="16"/>
                <w:szCs w:val="16"/>
              </w:rPr>
            </w:pPr>
          </w:p>
        </w:tc>
        <w:tc>
          <w:tcPr>
            <w:tcW w:w="465"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970-3600 ng/mL</w:t>
            </w:r>
          </w:p>
        </w:tc>
        <w:tc>
          <w:tcPr>
            <w:tcW w:w="434"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69</w:t>
            </w:r>
          </w:p>
        </w:tc>
        <w:tc>
          <w:tcPr>
            <w:tcW w:w="403"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unknown</w:t>
            </w:r>
          </w:p>
        </w:tc>
        <w:tc>
          <w:tcPr>
            <w:tcW w:w="900"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 xml:space="preserve">67% of MND showed </w:t>
            </w:r>
            <w:r w:rsidRPr="00B200F0">
              <w:rPr>
                <w:rFonts w:ascii="Times New Roman" w:eastAsia="Times New Roman" w:hAnsi="Times New Roman" w:cs="Times New Roman"/>
                <w:b/>
                <w:bCs/>
                <w:color w:val="000000"/>
                <w:sz w:val="16"/>
                <w:szCs w:val="16"/>
              </w:rPr>
              <w:t>higher CSF NFL concentration at a later stage of disease</w:t>
            </w:r>
            <w:r w:rsidRPr="00B200F0">
              <w:rPr>
                <w:rFonts w:ascii="Times New Roman" w:eastAsia="Times New Roman" w:hAnsi="Times New Roman" w:cs="Times New Roman"/>
                <w:color w:val="000000"/>
                <w:sz w:val="16"/>
                <w:szCs w:val="16"/>
              </w:rPr>
              <w:t>, those without rising levels had higher NFL at baseline</w:t>
            </w:r>
          </w:p>
        </w:tc>
        <w:tc>
          <w:tcPr>
            <w:tcW w:w="712" w:type="pct"/>
            <w:hideMark/>
          </w:tcPr>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1) use of two different detection methods, the first less sensitive;</w:t>
            </w:r>
          </w:p>
          <w:p w:rsidR="00532CAA" w:rsidRPr="00B200F0" w:rsidRDefault="00532CAA" w:rsidP="00B200F0">
            <w:pPr>
              <w:jc w:val="center"/>
              <w:rPr>
                <w:rFonts w:ascii="Times New Roman" w:hAnsi="Times New Roman" w:cs="Times New Roman"/>
                <w:sz w:val="16"/>
                <w:szCs w:val="16"/>
              </w:rPr>
            </w:pPr>
            <w:r w:rsidRPr="00B200F0">
              <w:rPr>
                <w:rFonts w:ascii="Times New Roman" w:hAnsi="Times New Roman" w:cs="Times New Roman"/>
                <w:sz w:val="16"/>
                <w:szCs w:val="16"/>
              </w:rPr>
              <w:t>2) no notion of the timeline of longitudinal sampling (after how many months the second sample, in which phase of disease, etc)</w:t>
            </w:r>
          </w:p>
        </w:tc>
      </w:tr>
      <w:tr w:rsidR="00532CAA" w:rsidRPr="00B200F0" w:rsidTr="00BB64F5">
        <w:trPr>
          <w:trHeight w:val="1185"/>
        </w:trPr>
        <w:tc>
          <w:tcPr>
            <w:tcW w:w="316" w:type="pct"/>
            <w:vMerge/>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Poesen, 2017</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[65]</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CSF</w:t>
            </w:r>
          </w:p>
        </w:tc>
        <w:tc>
          <w:tcPr>
            <w:tcW w:w="496"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pNfH: Biovendor, Brno, Czech Republic;</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 xml:space="preserve">NfL: </w:t>
            </w:r>
            <w:r w:rsidRPr="00B200F0">
              <w:rPr>
                <w:rFonts w:ascii="Times New Roman" w:eastAsia="Times New Roman" w:hAnsi="Times New Roman" w:cs="Times New Roman"/>
                <w:color w:val="231F20"/>
                <w:sz w:val="16"/>
                <w:szCs w:val="16"/>
              </w:rPr>
              <w:t>UmanDiagnostics AB, Umea, Sweden;</w:t>
            </w:r>
            <w:r w:rsidRPr="00B200F0">
              <w:rPr>
                <w:rFonts w:ascii="Times New Roman" w:eastAsia="Times New Roman" w:hAnsi="Times New Roman" w:cs="Times New Roman"/>
                <w:color w:val="231F20"/>
                <w:sz w:val="16"/>
                <w:szCs w:val="16"/>
              </w:rPr>
              <w:br/>
              <w:t>UD51001</w:t>
            </w:r>
          </w:p>
        </w:tc>
        <w:tc>
          <w:tcPr>
            <w:tcW w:w="621" w:type="pct"/>
          </w:tcPr>
          <w:p w:rsidR="00532CAA" w:rsidRPr="00B200F0" w:rsidRDefault="00532CAA" w:rsidP="00B200F0">
            <w:pPr>
              <w:spacing w:after="160" w:line="259" w:lineRule="auto"/>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pNFH: 62.5–4000 pg/ml</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NfL: 1-10000 pg/mL</w:t>
            </w:r>
          </w:p>
        </w:tc>
        <w:tc>
          <w:tcPr>
            <w:tcW w:w="465" w:type="pct"/>
          </w:tcPr>
          <w:p w:rsidR="00532CAA" w:rsidRPr="00B200F0" w:rsidRDefault="00532CAA" w:rsidP="00B200F0">
            <w:pPr>
              <w:spacing w:after="160" w:line="259" w:lineRule="auto"/>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pNFH: 114–18089 pg/mL</w:t>
            </w:r>
          </w:p>
          <w:p w:rsidR="00532CAA" w:rsidRPr="00B200F0" w:rsidRDefault="00532CAA" w:rsidP="00B200F0">
            <w:pPr>
              <w:spacing w:after="160" w:line="259" w:lineRule="auto"/>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NfL: 370–108909 pg/mL</w:t>
            </w:r>
          </w:p>
          <w:p w:rsidR="00532CAA" w:rsidRPr="00B200F0" w:rsidRDefault="00532CAA" w:rsidP="00B200F0">
            <w:pPr>
              <w:jc w:val="center"/>
              <w:rPr>
                <w:rFonts w:ascii="Times New Roman" w:eastAsia="Times New Roman" w:hAnsi="Times New Roman" w:cs="Times New Roman"/>
                <w:color w:val="000000"/>
                <w:sz w:val="16"/>
                <w:szCs w:val="16"/>
              </w:rPr>
            </w:pPr>
          </w:p>
        </w:tc>
        <w:tc>
          <w:tcPr>
            <w:tcW w:w="434"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17</w:t>
            </w:r>
          </w:p>
        </w:tc>
        <w:tc>
          <w:tcPr>
            <w:tcW w:w="403" w:type="pct"/>
          </w:tcPr>
          <w:p w:rsidR="00532CAA" w:rsidRPr="00B200F0" w:rsidRDefault="00532CAA" w:rsidP="00B200F0">
            <w:pPr>
              <w:spacing w:after="160" w:line="259" w:lineRule="auto"/>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26 /220 in cross-sectional cohort</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not specified in longitudinal cohort</w:t>
            </w:r>
          </w:p>
        </w:tc>
        <w:tc>
          <w:tcPr>
            <w:tcW w:w="900"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231F20"/>
                <w:sz w:val="16"/>
                <w:szCs w:val="16"/>
              </w:rPr>
              <w:t>CSF</w:t>
            </w:r>
            <w:r w:rsidRPr="00B200F0">
              <w:rPr>
                <w:rFonts w:ascii="Times New Roman" w:eastAsia="Times New Roman" w:hAnsi="Times New Roman" w:cs="Times New Roman"/>
                <w:b/>
                <w:bCs/>
                <w:color w:val="231F20"/>
                <w:sz w:val="16"/>
                <w:szCs w:val="16"/>
              </w:rPr>
              <w:t xml:space="preserve"> pNfH levels rather stable</w:t>
            </w:r>
            <w:r w:rsidRPr="00B200F0">
              <w:rPr>
                <w:rFonts w:ascii="Times New Roman" w:eastAsia="Times New Roman" w:hAnsi="Times New Roman" w:cs="Times New Roman"/>
                <w:color w:val="231F20"/>
                <w:sz w:val="16"/>
                <w:szCs w:val="16"/>
              </w:rPr>
              <w:t xml:space="preserve"> over time,</w:t>
            </w:r>
            <w:r w:rsidRPr="00B200F0">
              <w:rPr>
                <w:rFonts w:ascii="Times New Roman" w:eastAsia="Times New Roman" w:hAnsi="Times New Roman" w:cs="Times New Roman"/>
                <w:color w:val="231F20"/>
                <w:sz w:val="16"/>
                <w:szCs w:val="16"/>
              </w:rPr>
              <w:br/>
              <w:t xml:space="preserve">CSF </w:t>
            </w:r>
            <w:r w:rsidRPr="00B200F0">
              <w:rPr>
                <w:rFonts w:ascii="Times New Roman" w:eastAsia="Times New Roman" w:hAnsi="Times New Roman" w:cs="Times New Roman"/>
                <w:b/>
                <w:bCs/>
                <w:color w:val="231F20"/>
                <w:sz w:val="16"/>
                <w:szCs w:val="16"/>
              </w:rPr>
              <w:t>NfL</w:t>
            </w:r>
            <w:r w:rsidRPr="00B200F0">
              <w:rPr>
                <w:rFonts w:ascii="Times New Roman" w:eastAsia="Times New Roman" w:hAnsi="Times New Roman" w:cs="Times New Roman"/>
                <w:b/>
                <w:bCs/>
                <w:color w:val="000000"/>
                <w:sz w:val="16"/>
                <w:szCs w:val="16"/>
              </w:rPr>
              <w:t xml:space="preserve"> increased</w:t>
            </w:r>
            <w:r w:rsidRPr="00B200F0">
              <w:rPr>
                <w:rFonts w:ascii="Times New Roman" w:eastAsia="Times New Roman" w:hAnsi="Times New Roman" w:cs="Times New Roman"/>
                <w:color w:val="000000"/>
                <w:sz w:val="16"/>
                <w:szCs w:val="16"/>
              </w:rPr>
              <w:t xml:space="preserve"> over time for a subset of </w:t>
            </w:r>
            <w:r w:rsidRPr="00B200F0">
              <w:rPr>
                <w:rFonts w:ascii="Times New Roman" w:eastAsia="Times New Roman" w:hAnsi="Times New Roman" w:cs="Times New Roman"/>
                <w:b/>
                <w:bCs/>
                <w:color w:val="000000"/>
                <w:sz w:val="16"/>
                <w:szCs w:val="16"/>
              </w:rPr>
              <w:t>intermediate and fast disease</w:t>
            </w:r>
            <w:r w:rsidRPr="00B200F0">
              <w:rPr>
                <w:rFonts w:ascii="Times New Roman" w:eastAsia="Times New Roman" w:hAnsi="Times New Roman" w:cs="Times New Roman"/>
                <w:b/>
                <w:bCs/>
                <w:color w:val="000000"/>
                <w:sz w:val="16"/>
                <w:szCs w:val="16"/>
              </w:rPr>
              <w:br/>
              <w:t>progressors</w:t>
            </w:r>
          </w:p>
        </w:tc>
        <w:tc>
          <w:tcPr>
            <w:tcW w:w="712"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 small sample for longitudinal observation;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2) sampling at different disease duration</w:t>
            </w:r>
          </w:p>
        </w:tc>
      </w:tr>
      <w:tr w:rsidR="00532CAA" w:rsidRPr="00B200F0" w:rsidTr="00BB64F5">
        <w:trPr>
          <w:trHeight w:val="720"/>
        </w:trPr>
        <w:tc>
          <w:tcPr>
            <w:tcW w:w="316" w:type="pct"/>
            <w:vMerge/>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Benatar, 2018</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[86]</w:t>
            </w:r>
          </w:p>
        </w:tc>
        <w:tc>
          <w:tcPr>
            <w:tcW w:w="341"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rPr>
              <w:t>ECL-based assay</w:t>
            </w:r>
          </w:p>
        </w:tc>
        <w:tc>
          <w:tcPr>
            <w:tcW w:w="621"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reference to previous work [Gaiottino, Plos One 2013]</w:t>
            </w:r>
          </w:p>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15.6-10000 pg/mL</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21–555 pg/mL</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11</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3</w:t>
            </w:r>
          </w:p>
        </w:tc>
        <w:tc>
          <w:tcPr>
            <w:tcW w:w="900"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stable levels of NfL</w:t>
            </w:r>
            <w:r w:rsidRPr="00B200F0">
              <w:rPr>
                <w:rFonts w:ascii="Times New Roman" w:eastAsia="Times New Roman" w:hAnsi="Times New Roman" w:cs="Times New Roman"/>
                <w:color w:val="000000"/>
                <w:sz w:val="16"/>
                <w:szCs w:val="16"/>
              </w:rPr>
              <w:t xml:space="preserve"> in sporadic ALS</w:t>
            </w:r>
          </w:p>
        </w:tc>
        <w:tc>
          <w:tcPr>
            <w:tcW w:w="712"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 small sample size;</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2) follow-up very sparse without knowledge of clinical progression</w:t>
            </w:r>
          </w:p>
        </w:tc>
      </w:tr>
      <w:tr w:rsidR="00532CAA" w:rsidRPr="00B200F0" w:rsidTr="00BB64F5">
        <w:trPr>
          <w:trHeight w:val="720"/>
        </w:trPr>
        <w:tc>
          <w:tcPr>
            <w:tcW w:w="316" w:type="pct"/>
            <w:vMerge/>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Verde, 2019</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[64]</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rPr>
              <w:t>SiMOA, time-normalized follow-up NfL levels</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0.686–500 pg /mL [</w:t>
            </w:r>
            <w:r w:rsidRPr="00B200F0">
              <w:rPr>
                <w:rFonts w:ascii="Times New Roman" w:hAnsi="Times New Roman" w:cs="Times New Roman"/>
                <w:color w:val="FF0000"/>
                <w:sz w:val="16"/>
                <w:szCs w:val="16"/>
              </w:rPr>
              <w:t>Quanterix]</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14.6 - 908 pg / mL</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29</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8 / 224 in cross-sectional cohort</w:t>
            </w:r>
          </w:p>
        </w:tc>
        <w:tc>
          <w:tcPr>
            <w:tcW w:w="900"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b/>
                <w:bCs/>
                <w:color w:val="000000"/>
                <w:sz w:val="16"/>
                <w:szCs w:val="16"/>
              </w:rPr>
              <w:t>Overall stable</w:t>
            </w:r>
            <w:r w:rsidRPr="00B200F0">
              <w:rPr>
                <w:rFonts w:ascii="Times New Roman" w:eastAsia="Times New Roman" w:hAnsi="Times New Roman" w:cs="Times New Roman"/>
                <w:color w:val="000000"/>
                <w:sz w:val="16"/>
                <w:szCs w:val="16"/>
              </w:rPr>
              <w:t>: the variations in NfL from first to second sample ranged from −69.3 to +189 pg/mL (median, −0.1 pg/mL).</w:t>
            </w:r>
          </w:p>
        </w:tc>
        <w:tc>
          <w:tcPr>
            <w:tcW w:w="712"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small sample size</w:t>
            </w:r>
          </w:p>
        </w:tc>
      </w:tr>
      <w:tr w:rsidR="00532CAA" w:rsidRPr="00B200F0" w:rsidTr="00BB64F5">
        <w:trPr>
          <w:trHeight w:val="960"/>
        </w:trPr>
        <w:tc>
          <w:tcPr>
            <w:tcW w:w="316" w:type="pct"/>
            <w:vMerge/>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Gille, 2019</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[73]</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ECL-based assay</w:t>
            </w:r>
          </w:p>
        </w:tc>
        <w:tc>
          <w:tcPr>
            <w:tcW w:w="621"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reference to previous work [Gaiottino, Plos One 2013]</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15.6-10000 pg/ml</w:t>
            </w:r>
          </w:p>
        </w:tc>
        <w:tc>
          <w:tcPr>
            <w:tcW w:w="465"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0.3 -1141 pg/mL</w:t>
            </w:r>
          </w:p>
        </w:tc>
        <w:tc>
          <w:tcPr>
            <w:tcW w:w="434"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16</w:t>
            </w:r>
          </w:p>
        </w:tc>
        <w:tc>
          <w:tcPr>
            <w:tcW w:w="403"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hAnsi="Times New Roman" w:cs="Times New Roman"/>
                <w:color w:val="000000"/>
                <w:sz w:val="16"/>
                <w:szCs w:val="16"/>
              </w:rPr>
              <w:t>15 / 149 in cross-sectional cohort</w:t>
            </w:r>
          </w:p>
        </w:tc>
        <w:tc>
          <w:tcPr>
            <w:tcW w:w="900"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b/>
                <w:bCs/>
                <w:color w:val="000000"/>
                <w:sz w:val="16"/>
                <w:szCs w:val="16"/>
              </w:rPr>
              <w:t>relatively stable over time</w:t>
            </w:r>
            <w:r w:rsidRPr="00B200F0">
              <w:rPr>
                <w:rFonts w:ascii="Times New Roman" w:eastAsia="Times New Roman" w:hAnsi="Times New Roman" w:cs="Times New Roman"/>
                <w:color w:val="000000"/>
                <w:sz w:val="16"/>
                <w:szCs w:val="16"/>
              </w:rPr>
              <w:t>, although an increase could be observed within the first 20 months after onset of disease, irrespective of the disease progression rate</w:t>
            </w:r>
          </w:p>
        </w:tc>
        <w:tc>
          <w:tcPr>
            <w:tcW w:w="712"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 small sample for longitudinal observation;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2) sampling at different disease duration;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3) no information of pNfH levels related to clinical outcome</w:t>
            </w:r>
          </w:p>
        </w:tc>
      </w:tr>
      <w:tr w:rsidR="00532CAA" w:rsidRPr="00B200F0" w:rsidTr="00BB64F5">
        <w:trPr>
          <w:trHeight w:val="960"/>
        </w:trPr>
        <w:tc>
          <w:tcPr>
            <w:tcW w:w="316" w:type="pct"/>
            <w:vMerge/>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Benatar, 2020 [81]</w:t>
            </w:r>
          </w:p>
        </w:tc>
        <w:tc>
          <w:tcPr>
            <w:tcW w:w="341"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SiMOA</w:t>
            </w:r>
          </w:p>
        </w:tc>
        <w:tc>
          <w:tcPr>
            <w:tcW w:w="621"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0.686–500 pg /mL [</w:t>
            </w:r>
            <w:r w:rsidRPr="00B200F0">
              <w:rPr>
                <w:rFonts w:ascii="Times New Roman" w:hAnsi="Times New Roman" w:cs="Times New Roman"/>
                <w:color w:val="FF0000"/>
                <w:sz w:val="16"/>
                <w:szCs w:val="16"/>
              </w:rPr>
              <w:t>Quanterix]</w:t>
            </w:r>
          </w:p>
        </w:tc>
        <w:tc>
          <w:tcPr>
            <w:tcW w:w="465"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2- 369 pg/mL</w:t>
            </w:r>
          </w:p>
        </w:tc>
        <w:tc>
          <w:tcPr>
            <w:tcW w:w="434"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106</w:t>
            </w:r>
          </w:p>
        </w:tc>
        <w:tc>
          <w:tcPr>
            <w:tcW w:w="403"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8</w:t>
            </w:r>
          </w:p>
        </w:tc>
        <w:tc>
          <w:tcPr>
            <w:tcW w:w="900" w:type="pct"/>
          </w:tcPr>
          <w:p w:rsidR="00532CAA" w:rsidRPr="00B200F0" w:rsidDel="00BF0E5C" w:rsidRDefault="00532CAA" w:rsidP="00B200F0">
            <w:pPr>
              <w:spacing w:after="160" w:line="259" w:lineRule="auto"/>
              <w:jc w:val="center"/>
              <w:rPr>
                <w:rFonts w:ascii="Times New Roman" w:eastAsia="Times New Roman" w:hAnsi="Times New Roman" w:cs="Times New Roman"/>
                <w:color w:val="000000"/>
                <w:sz w:val="16"/>
                <w:szCs w:val="16"/>
                <w:lang w:val="en-US"/>
              </w:rPr>
            </w:pPr>
            <w:r w:rsidRPr="00B200F0">
              <w:rPr>
                <w:rFonts w:ascii="Times New Roman" w:eastAsia="Times New Roman" w:hAnsi="Times New Roman" w:cs="Times New Roman"/>
                <w:color w:val="000000"/>
                <w:sz w:val="16"/>
                <w:szCs w:val="16"/>
                <w:lang w:val="en-US" w:eastAsia="it-IT"/>
              </w:rPr>
              <w:t>relatively stable over time, computation of longitudinal trajectories by average slope: 0.011 log units/</w:t>
            </w:r>
            <w:r w:rsidRPr="00B200F0">
              <w:rPr>
                <w:rFonts w:ascii="Times New Roman" w:eastAsia="Times New Roman" w:hAnsi="Times New Roman" w:cs="Times New Roman"/>
                <w:color w:val="000000"/>
                <w:sz w:val="16"/>
                <w:szCs w:val="16"/>
                <w:lang w:val="en-US" w:eastAsia="it-IT"/>
              </w:rPr>
              <w:br/>
              <w:t>month (95% CI, −0.054 to 0.076)</w:t>
            </w:r>
          </w:p>
        </w:tc>
        <w:tc>
          <w:tcPr>
            <w:tcW w:w="712"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well-conducted prospective longitudinal study representative of ALS population; the only potential limit might be sample collection was at some latency from diagnosis (average: 0.7 year), and the study population was skewed towards a slow progression (ALSFRS-r slope: 0.65/month) than general ALS population (1/month, PRO-ACT)</w:t>
            </w:r>
          </w:p>
          <w:p w:rsidR="00532CAA" w:rsidRPr="00B200F0" w:rsidRDefault="00532CAA" w:rsidP="00B200F0">
            <w:pPr>
              <w:jc w:val="center"/>
              <w:rPr>
                <w:rFonts w:ascii="Times New Roman" w:eastAsia="Times New Roman" w:hAnsi="Times New Roman" w:cs="Times New Roman"/>
                <w:color w:val="000000"/>
                <w:sz w:val="16"/>
                <w:szCs w:val="16"/>
              </w:rPr>
            </w:pPr>
          </w:p>
        </w:tc>
      </w:tr>
      <w:tr w:rsidR="00532CAA" w:rsidRPr="00B200F0" w:rsidTr="00BB64F5">
        <w:trPr>
          <w:trHeight w:val="1455"/>
        </w:trPr>
        <w:tc>
          <w:tcPr>
            <w:tcW w:w="316" w:type="pct"/>
            <w:vMerge w:val="restar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lastRenderedPageBreak/>
              <w:t>pNfH</w:t>
            </w:r>
          </w:p>
        </w:tc>
        <w:tc>
          <w:tcPr>
            <w:tcW w:w="310"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Lu, 2015</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[77]</w:t>
            </w:r>
          </w:p>
        </w:tc>
        <w:tc>
          <w:tcPr>
            <w:tcW w:w="341"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plasma</w:t>
            </w:r>
          </w:p>
        </w:tc>
        <w:tc>
          <w:tcPr>
            <w:tcW w:w="496" w:type="pct"/>
          </w:tcPr>
          <w:p w:rsidR="00532CAA" w:rsidRPr="00B200F0" w:rsidRDefault="00532CAA" w:rsidP="00B200F0">
            <w:pPr>
              <w:jc w:val="center"/>
              <w:rPr>
                <w:rFonts w:ascii="Times New Roman" w:eastAsia="Times New Roman" w:hAnsi="Times New Roman" w:cs="Times New Roman"/>
                <w:b/>
                <w:bCs/>
                <w:sz w:val="16"/>
                <w:szCs w:val="16"/>
              </w:rPr>
            </w:pPr>
            <w:r w:rsidRPr="00B200F0">
              <w:rPr>
                <w:rFonts w:ascii="Times New Roman" w:eastAsia="Times New Roman" w:hAnsi="Times New Roman" w:cs="Times New Roman"/>
                <w:color w:val="000000"/>
                <w:sz w:val="16"/>
                <w:szCs w:val="16"/>
              </w:rPr>
              <w:t xml:space="preserve">in-house ELISA for hyperphosphorylated NfH (NfHSMI34) and variably phosphorylated NfH (NfHSMI35) </w:t>
            </w:r>
          </w:p>
        </w:tc>
        <w:tc>
          <w:tcPr>
            <w:tcW w:w="621" w:type="pct"/>
          </w:tcPr>
          <w:p w:rsidR="00532CAA" w:rsidRPr="00B200F0" w:rsidRDefault="00532CAA" w:rsidP="00B200F0">
            <w:pPr>
              <w:jc w:val="center"/>
              <w:rPr>
                <w:rFonts w:ascii="Times New Roman" w:eastAsia="Times New Roman" w:hAnsi="Times New Roman" w:cs="Times New Roman"/>
                <w:b/>
                <w:bCs/>
                <w:sz w:val="16"/>
                <w:szCs w:val="16"/>
              </w:rPr>
            </w:pPr>
            <w:r w:rsidRPr="00B200F0">
              <w:rPr>
                <w:rFonts w:ascii="Times New Roman" w:hAnsi="Times New Roman" w:cs="Times New Roman"/>
                <w:color w:val="000000"/>
                <w:sz w:val="16"/>
                <w:szCs w:val="16"/>
              </w:rPr>
              <w:t>linearity tested for serial dilutions with urea pre-analytical tretament to overcome the "hook effect", tested in normalized optical density (NOD)</w:t>
            </w:r>
          </w:p>
        </w:tc>
        <w:tc>
          <w:tcPr>
            <w:tcW w:w="465" w:type="pct"/>
          </w:tcPr>
          <w:p w:rsidR="00532CAA" w:rsidRPr="00B200F0" w:rsidRDefault="00532CAA" w:rsidP="00B200F0">
            <w:pPr>
              <w:jc w:val="center"/>
              <w:rPr>
                <w:rFonts w:ascii="Times New Roman" w:eastAsia="Times New Roman" w:hAnsi="Times New Roman" w:cs="Times New Roman"/>
                <w:b/>
                <w:bCs/>
                <w:sz w:val="16"/>
                <w:szCs w:val="16"/>
              </w:rPr>
            </w:pPr>
            <w:r w:rsidRPr="00B200F0">
              <w:rPr>
                <w:rFonts w:ascii="Times New Roman" w:hAnsi="Times New Roman" w:cs="Times New Roman"/>
                <w:color w:val="000000"/>
                <w:sz w:val="16"/>
                <w:szCs w:val="16"/>
              </w:rPr>
              <w:t>not reported</w:t>
            </w:r>
          </w:p>
        </w:tc>
        <w:tc>
          <w:tcPr>
            <w:tcW w:w="434" w:type="pct"/>
          </w:tcPr>
          <w:p w:rsidR="00532CAA" w:rsidRPr="00B200F0" w:rsidRDefault="00532CAA" w:rsidP="00B200F0">
            <w:pPr>
              <w:jc w:val="center"/>
              <w:rPr>
                <w:rFonts w:ascii="Times New Roman" w:eastAsia="Times New Roman" w:hAnsi="Times New Roman" w:cs="Times New Roman"/>
                <w:b/>
                <w:bCs/>
                <w:sz w:val="16"/>
                <w:szCs w:val="16"/>
              </w:rPr>
            </w:pPr>
            <w:r w:rsidRPr="00B200F0">
              <w:rPr>
                <w:rFonts w:ascii="Times New Roman" w:hAnsi="Times New Roman" w:cs="Times New Roman"/>
                <w:color w:val="000000"/>
                <w:sz w:val="16"/>
                <w:szCs w:val="16"/>
              </w:rPr>
              <w:t>74</w:t>
            </w:r>
          </w:p>
        </w:tc>
        <w:tc>
          <w:tcPr>
            <w:tcW w:w="403" w:type="pct"/>
          </w:tcPr>
          <w:p w:rsidR="00532CAA" w:rsidRPr="00B200F0" w:rsidRDefault="00532CAA" w:rsidP="00B200F0">
            <w:pPr>
              <w:jc w:val="center"/>
              <w:rPr>
                <w:rFonts w:ascii="Times New Roman" w:eastAsia="Times New Roman" w:hAnsi="Times New Roman" w:cs="Times New Roman"/>
                <w:b/>
                <w:bCs/>
                <w:sz w:val="16"/>
                <w:szCs w:val="16"/>
              </w:rPr>
            </w:pPr>
            <w:r w:rsidRPr="00B200F0">
              <w:rPr>
                <w:rFonts w:ascii="Times New Roman" w:hAnsi="Times New Roman" w:cs="Times New Roman"/>
                <w:color w:val="000000"/>
                <w:sz w:val="16"/>
                <w:szCs w:val="16"/>
              </w:rPr>
              <w:t>7 / 136 in cross-sectional cohort</w:t>
            </w:r>
          </w:p>
        </w:tc>
        <w:tc>
          <w:tcPr>
            <w:tcW w:w="900"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sz w:val="16"/>
                <w:szCs w:val="16"/>
              </w:rPr>
              <w:t>slight increase</w:t>
            </w:r>
            <w:r w:rsidRPr="00B200F0">
              <w:rPr>
                <w:rFonts w:ascii="Times New Roman" w:eastAsia="Times New Roman" w:hAnsi="Times New Roman" w:cs="Times New Roman"/>
                <w:sz w:val="16"/>
                <w:szCs w:val="16"/>
              </w:rPr>
              <w:t xml:space="preserve"> in plasma pNfH for </w:t>
            </w:r>
            <w:r w:rsidRPr="00B200F0">
              <w:rPr>
                <w:rFonts w:ascii="Times New Roman" w:eastAsia="Times New Roman" w:hAnsi="Times New Roman" w:cs="Times New Roman"/>
                <w:b/>
                <w:bCs/>
                <w:sz w:val="16"/>
                <w:szCs w:val="16"/>
              </w:rPr>
              <w:t xml:space="preserve">slow progressors </w:t>
            </w:r>
            <w:r w:rsidRPr="00B200F0">
              <w:rPr>
                <w:rFonts w:ascii="Times New Roman" w:eastAsia="Times New Roman" w:hAnsi="Times New Roman" w:cs="Times New Roman"/>
                <w:sz w:val="16"/>
                <w:szCs w:val="16"/>
              </w:rPr>
              <w:t xml:space="preserve">(32), </w:t>
            </w:r>
            <w:r w:rsidRPr="00B200F0">
              <w:rPr>
                <w:rFonts w:ascii="Times New Roman" w:eastAsia="Times New Roman" w:hAnsi="Times New Roman" w:cs="Times New Roman"/>
                <w:b/>
                <w:bCs/>
                <w:sz w:val="16"/>
                <w:szCs w:val="16"/>
              </w:rPr>
              <w:t>no change</w:t>
            </w:r>
            <w:r w:rsidRPr="00B200F0">
              <w:rPr>
                <w:rFonts w:ascii="Times New Roman" w:eastAsia="Times New Roman" w:hAnsi="Times New Roman" w:cs="Times New Roman"/>
                <w:sz w:val="16"/>
                <w:szCs w:val="16"/>
              </w:rPr>
              <w:t xml:space="preserve"> for</w:t>
            </w:r>
            <w:r w:rsidRPr="00B200F0">
              <w:rPr>
                <w:rFonts w:ascii="Times New Roman" w:eastAsia="Times New Roman" w:hAnsi="Times New Roman" w:cs="Times New Roman"/>
                <w:b/>
                <w:bCs/>
                <w:sz w:val="16"/>
                <w:szCs w:val="16"/>
              </w:rPr>
              <w:t xml:space="preserve"> intermediate</w:t>
            </w:r>
            <w:r w:rsidRPr="00B200F0">
              <w:rPr>
                <w:rFonts w:ascii="Times New Roman" w:eastAsia="Times New Roman" w:hAnsi="Times New Roman" w:cs="Times New Roman"/>
                <w:sz w:val="16"/>
                <w:szCs w:val="16"/>
              </w:rPr>
              <w:t xml:space="preserve"> progressors (24), </w:t>
            </w:r>
            <w:r w:rsidRPr="00B200F0">
              <w:rPr>
                <w:rFonts w:ascii="Times New Roman" w:eastAsia="Times New Roman" w:hAnsi="Times New Roman" w:cs="Times New Roman"/>
                <w:b/>
                <w:bCs/>
                <w:sz w:val="16"/>
                <w:szCs w:val="16"/>
              </w:rPr>
              <w:t>slight decrease</w:t>
            </w:r>
            <w:r w:rsidRPr="00B200F0">
              <w:rPr>
                <w:rFonts w:ascii="Times New Roman" w:eastAsia="Times New Roman" w:hAnsi="Times New Roman" w:cs="Times New Roman"/>
                <w:sz w:val="16"/>
                <w:szCs w:val="16"/>
              </w:rPr>
              <w:t xml:space="preserve"> for </w:t>
            </w:r>
            <w:r w:rsidRPr="00B200F0">
              <w:rPr>
                <w:rFonts w:ascii="Times New Roman" w:eastAsia="Times New Roman" w:hAnsi="Times New Roman" w:cs="Times New Roman"/>
                <w:b/>
                <w:bCs/>
                <w:sz w:val="16"/>
                <w:szCs w:val="16"/>
              </w:rPr>
              <w:t xml:space="preserve">fast progressors </w:t>
            </w:r>
            <w:r w:rsidRPr="00B200F0">
              <w:rPr>
                <w:rFonts w:ascii="Times New Roman" w:eastAsia="Times New Roman" w:hAnsi="Times New Roman" w:cs="Times New Roman"/>
                <w:sz w:val="16"/>
                <w:szCs w:val="16"/>
              </w:rPr>
              <w:t>(32)</w:t>
            </w:r>
          </w:p>
        </w:tc>
        <w:tc>
          <w:tcPr>
            <w:tcW w:w="712"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in-house immunoassay, now better technologies for pNfH quantification</w:t>
            </w:r>
          </w:p>
        </w:tc>
      </w:tr>
      <w:tr w:rsidR="00532CAA" w:rsidRPr="00B200F0" w:rsidTr="00BB64F5">
        <w:trPr>
          <w:trHeight w:val="1455"/>
        </w:trPr>
        <w:tc>
          <w:tcPr>
            <w:tcW w:w="316" w:type="pct"/>
            <w:vMerge/>
            <w:noWrap/>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McCombe, 2015</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[110]</w:t>
            </w:r>
          </w:p>
        </w:tc>
        <w:tc>
          <w:tcPr>
            <w:tcW w:w="341"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rPr>
              <w:t>ELISA kit EnCor Biotechnology Inc., Gainesville, FL, USA</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linearity not tested; from the manufacturer, linearity for standard curve: 0.156 - 10 ng/mL</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Not reported</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98</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not reported</w:t>
            </w:r>
          </w:p>
        </w:tc>
        <w:tc>
          <w:tcPr>
            <w:tcW w:w="900"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overall rise and then fall</w:t>
            </w:r>
            <w:r w:rsidRPr="00B200F0">
              <w:rPr>
                <w:rFonts w:ascii="Times New Roman" w:eastAsia="Times New Roman" w:hAnsi="Times New Roman" w:cs="Times New Roman"/>
                <w:color w:val="000000"/>
                <w:sz w:val="16"/>
                <w:szCs w:val="16"/>
              </w:rPr>
              <w:t xml:space="preserve"> in pNfH levels for ALS pts with at least 3 longitudinal samples; different trajectories according to survival</w:t>
            </w:r>
          </w:p>
        </w:tc>
        <w:tc>
          <w:tcPr>
            <w:tcW w:w="712"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potentially better immunodetection techniques</w:t>
            </w:r>
          </w:p>
        </w:tc>
      </w:tr>
      <w:tr w:rsidR="00532CAA" w:rsidRPr="00B200F0" w:rsidTr="00BB64F5">
        <w:trPr>
          <w:trHeight w:val="1455"/>
        </w:trPr>
        <w:tc>
          <w:tcPr>
            <w:tcW w:w="316" w:type="pct"/>
            <w:vMerge/>
            <w:noWrap/>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Gendron, 2017</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[84]</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CSF</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rPr>
              <w:t xml:space="preserve">Meso Scale Discovery immunoassay with mouse antihuman pNFH anti-body and a sulfo-tagged polyclonal anti-pNFH antibody as capture and detection antibodies </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not reported</w:t>
            </w:r>
          </w:p>
        </w:tc>
        <w:tc>
          <w:tcPr>
            <w:tcW w:w="465"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50 - 3119 pg/mL non c9-ALS or non c9-ALS-FTD</w:t>
            </w:r>
          </w:p>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117 -  4671 pg/mL for c9-ALS or c9-ALS-FTD</w:t>
            </w:r>
          </w:p>
          <w:p w:rsidR="00532CAA" w:rsidRPr="00B200F0" w:rsidRDefault="00532CAA" w:rsidP="00B200F0">
            <w:pPr>
              <w:jc w:val="center"/>
              <w:rPr>
                <w:rFonts w:ascii="Times New Roman" w:eastAsia="Times New Roman" w:hAnsi="Times New Roman" w:cs="Times New Roman"/>
                <w:b/>
                <w:bCs/>
                <w:color w:val="000000"/>
                <w:sz w:val="16"/>
                <w:szCs w:val="16"/>
              </w:rPr>
            </w:pP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44</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27</w:t>
            </w:r>
          </w:p>
        </w:tc>
        <w:tc>
          <w:tcPr>
            <w:tcW w:w="900"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b/>
                <w:bCs/>
                <w:color w:val="000000"/>
                <w:sz w:val="16"/>
                <w:szCs w:val="16"/>
              </w:rPr>
              <w:t>no change</w:t>
            </w:r>
            <w:r w:rsidRPr="00B200F0">
              <w:rPr>
                <w:rFonts w:ascii="Times New Roman" w:eastAsia="Times New Roman" w:hAnsi="Times New Roman" w:cs="Times New Roman"/>
                <w:color w:val="000000"/>
                <w:sz w:val="16"/>
                <w:szCs w:val="16"/>
              </w:rPr>
              <w:t xml:space="preserve"> in longitudinally collected pNfH in c9ALS, c9ALS-FTD (both groups: 27 pts) and non-c9 ALS (17 pts); no difference between fast and slow progressors</w:t>
            </w:r>
          </w:p>
        </w:tc>
        <w:tc>
          <w:tcPr>
            <w:tcW w:w="712"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 small sample size;</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2) no information of pNfH levels related to clinical outcome</w:t>
            </w:r>
          </w:p>
        </w:tc>
      </w:tr>
      <w:tr w:rsidR="00532CAA" w:rsidRPr="00B200F0" w:rsidTr="00BB64F5">
        <w:trPr>
          <w:trHeight w:val="960"/>
        </w:trPr>
        <w:tc>
          <w:tcPr>
            <w:tcW w:w="316" w:type="pct"/>
            <w:vMerge/>
            <w:hideMark/>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Benatar, 2019</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[88]</w:t>
            </w:r>
          </w:p>
        </w:tc>
        <w:tc>
          <w:tcPr>
            <w:tcW w:w="341"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rPr>
              <w:t>CE marked ELISA (Euroimmun AG, Lubeck, Germany)</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9.4 - 1000 pg/mL</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639-11418 pg/mL</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16</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hAnsi="Times New Roman" w:cs="Times New Roman"/>
                <w:color w:val="000000"/>
                <w:sz w:val="16"/>
                <w:szCs w:val="16"/>
              </w:rPr>
              <w:t>10</w:t>
            </w:r>
          </w:p>
        </w:tc>
        <w:tc>
          <w:tcPr>
            <w:tcW w:w="900" w:type="pct"/>
            <w:noWrap/>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b/>
                <w:bCs/>
                <w:color w:val="000000"/>
                <w:sz w:val="16"/>
                <w:szCs w:val="16"/>
              </w:rPr>
              <w:t>stable levels</w:t>
            </w:r>
            <w:r w:rsidRPr="00B200F0">
              <w:rPr>
                <w:rFonts w:ascii="Times New Roman" w:eastAsia="Times New Roman" w:hAnsi="Times New Roman" w:cs="Times New Roman"/>
                <w:color w:val="000000"/>
                <w:sz w:val="16"/>
                <w:szCs w:val="16"/>
              </w:rPr>
              <w:t xml:space="preserve"> of serum NfH in ALS pts; among mutation carriers who  convert there is an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increase in serum pNfH in advance of the appearance</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of manifest disease</w:t>
            </w:r>
          </w:p>
        </w:tc>
        <w:tc>
          <w:tcPr>
            <w:tcW w:w="712" w:type="pct"/>
            <w:hideMark/>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1) small sample for longitudinal observation;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2) sampling at different disease duration;</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3) no information of pNfH levels related to clinical outcome</w:t>
            </w:r>
          </w:p>
        </w:tc>
      </w:tr>
      <w:tr w:rsidR="00532CAA" w:rsidRPr="00B200F0" w:rsidTr="00BB64F5">
        <w:trPr>
          <w:trHeight w:val="960"/>
        </w:trPr>
        <w:tc>
          <w:tcPr>
            <w:tcW w:w="316" w:type="pct"/>
            <w:vMerge/>
          </w:tcPr>
          <w:p w:rsidR="00532CAA" w:rsidRPr="00B200F0" w:rsidRDefault="00532CAA" w:rsidP="00B200F0">
            <w:pPr>
              <w:jc w:val="center"/>
              <w:rPr>
                <w:rFonts w:ascii="Times New Roman" w:eastAsia="Times New Roman" w:hAnsi="Times New Roman" w:cs="Times New Roman"/>
                <w:color w:val="000000"/>
                <w:sz w:val="16"/>
                <w:szCs w:val="16"/>
              </w:rPr>
            </w:pPr>
          </w:p>
        </w:tc>
        <w:tc>
          <w:tcPr>
            <w:tcW w:w="310"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Benatar, 2020</w:t>
            </w:r>
          </w:p>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[81]</w:t>
            </w:r>
          </w:p>
        </w:tc>
        <w:tc>
          <w:tcPr>
            <w:tcW w:w="341" w:type="pct"/>
            <w:noWrap/>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serum</w:t>
            </w:r>
          </w:p>
        </w:tc>
        <w:tc>
          <w:tcPr>
            <w:tcW w:w="496" w:type="pct"/>
          </w:tcPr>
          <w:p w:rsidR="00532CAA" w:rsidRPr="00B200F0" w:rsidRDefault="00532CAA" w:rsidP="00B200F0">
            <w:pPr>
              <w:jc w:val="center"/>
              <w:rPr>
                <w:rFonts w:ascii="Times New Roman" w:eastAsia="Times New Roman" w:hAnsi="Times New Roman" w:cs="Times New Roman"/>
                <w:color w:val="000000"/>
                <w:sz w:val="16"/>
                <w:szCs w:val="16"/>
              </w:rPr>
            </w:pPr>
            <w:r w:rsidRPr="00B200F0">
              <w:rPr>
                <w:rFonts w:ascii="Times New Roman" w:eastAsia="Times New Roman" w:hAnsi="Times New Roman" w:cs="Times New Roman"/>
                <w:color w:val="000000"/>
                <w:sz w:val="16"/>
                <w:szCs w:val="16"/>
              </w:rPr>
              <w:t>SiMOA</w:t>
            </w:r>
          </w:p>
        </w:tc>
        <w:tc>
          <w:tcPr>
            <w:tcW w:w="621"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lang w:val="it-IT" w:eastAsia="it-IT"/>
              </w:rPr>
              <w:t>0–2,000 pg/mL</w:t>
            </w:r>
          </w:p>
        </w:tc>
        <w:tc>
          <w:tcPr>
            <w:tcW w:w="465"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color w:val="000000"/>
                <w:sz w:val="16"/>
                <w:szCs w:val="16"/>
                <w:lang w:val="it-IT" w:eastAsia="it-IT"/>
              </w:rPr>
              <w:t>1–976 pg/mL</w:t>
            </w:r>
          </w:p>
        </w:tc>
        <w:tc>
          <w:tcPr>
            <w:tcW w:w="434"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106</w:t>
            </w:r>
          </w:p>
        </w:tc>
        <w:tc>
          <w:tcPr>
            <w:tcW w:w="403" w:type="pct"/>
          </w:tcPr>
          <w:p w:rsidR="00532CAA" w:rsidRPr="00B200F0" w:rsidRDefault="00532CAA" w:rsidP="00B200F0">
            <w:pPr>
              <w:jc w:val="center"/>
              <w:rPr>
                <w:rFonts w:ascii="Times New Roman" w:eastAsia="Times New Roman" w:hAnsi="Times New Roman" w:cs="Times New Roman"/>
                <w:b/>
                <w:bCs/>
                <w:color w:val="000000"/>
                <w:sz w:val="16"/>
                <w:szCs w:val="16"/>
              </w:rPr>
            </w:pPr>
            <w:r w:rsidRPr="00B200F0">
              <w:rPr>
                <w:rFonts w:ascii="Times New Roman" w:eastAsia="Times New Roman" w:hAnsi="Times New Roman" w:cs="Times New Roman"/>
                <w:b/>
                <w:bCs/>
                <w:color w:val="000000"/>
                <w:sz w:val="16"/>
                <w:szCs w:val="16"/>
              </w:rPr>
              <w:t>8</w:t>
            </w:r>
          </w:p>
        </w:tc>
        <w:tc>
          <w:tcPr>
            <w:tcW w:w="900" w:type="pct"/>
            <w:noWrap/>
          </w:tcPr>
          <w:p w:rsidR="00532CAA" w:rsidRPr="00B200F0" w:rsidRDefault="00532CAA" w:rsidP="00B200F0">
            <w:pPr>
              <w:spacing w:after="160" w:line="259" w:lineRule="auto"/>
              <w:jc w:val="center"/>
              <w:rPr>
                <w:rFonts w:ascii="Times New Roman" w:eastAsia="Times New Roman" w:hAnsi="Times New Roman" w:cs="Times New Roman"/>
                <w:b/>
                <w:bCs/>
                <w:color w:val="000000"/>
                <w:sz w:val="16"/>
                <w:szCs w:val="16"/>
                <w:lang w:val="en-US"/>
              </w:rPr>
            </w:pPr>
            <w:r w:rsidRPr="00B200F0">
              <w:rPr>
                <w:rFonts w:ascii="Times New Roman" w:eastAsia="Times New Roman" w:hAnsi="Times New Roman" w:cs="Times New Roman"/>
                <w:color w:val="000000"/>
                <w:sz w:val="16"/>
                <w:szCs w:val="16"/>
                <w:lang w:val="en-US" w:eastAsia="it-IT"/>
              </w:rPr>
              <w:t>relatively stable over time, computation of longitudinal trajectories by average slope: 0.006 log units/month</w:t>
            </w:r>
            <w:r w:rsidRPr="00B200F0">
              <w:rPr>
                <w:rFonts w:ascii="Times New Roman" w:eastAsia="Times New Roman" w:hAnsi="Times New Roman" w:cs="Times New Roman"/>
                <w:color w:val="000000"/>
                <w:sz w:val="16"/>
                <w:szCs w:val="16"/>
                <w:lang w:val="en-US" w:eastAsia="it-IT"/>
              </w:rPr>
              <w:br/>
              <w:t>month (95% CI, −0.063 to 0.084)</w:t>
            </w:r>
          </w:p>
        </w:tc>
        <w:tc>
          <w:tcPr>
            <w:tcW w:w="712" w:type="pct"/>
          </w:tcPr>
          <w:p w:rsidR="00532CAA" w:rsidRPr="00B200F0" w:rsidRDefault="00532CAA" w:rsidP="00B200F0">
            <w:pPr>
              <w:jc w:val="center"/>
              <w:rPr>
                <w:rFonts w:ascii="Times New Roman" w:hAnsi="Times New Roman" w:cs="Times New Roman"/>
                <w:color w:val="000000"/>
                <w:sz w:val="16"/>
                <w:szCs w:val="16"/>
              </w:rPr>
            </w:pPr>
            <w:r w:rsidRPr="00B200F0">
              <w:rPr>
                <w:rFonts w:ascii="Times New Roman" w:hAnsi="Times New Roman" w:cs="Times New Roman"/>
                <w:color w:val="000000"/>
                <w:sz w:val="16"/>
                <w:szCs w:val="16"/>
              </w:rPr>
              <w:t>well-conducted prospective longitudinal study representative of ALS population;  the only potential limit might be sample collection was at some latency from diagnosis (average: 0.7 year), and the study population was skewed towards a slow progression (ALSFRS-r slope: 0.65/month) than general ALS population (1/month, PRO-ACT)</w:t>
            </w:r>
          </w:p>
          <w:p w:rsidR="00532CAA" w:rsidRPr="00B200F0" w:rsidRDefault="00532CAA" w:rsidP="00B200F0">
            <w:pPr>
              <w:jc w:val="center"/>
              <w:rPr>
                <w:rFonts w:ascii="Times New Roman" w:eastAsia="Times New Roman" w:hAnsi="Times New Roman" w:cs="Times New Roman"/>
                <w:color w:val="000000"/>
                <w:sz w:val="16"/>
                <w:szCs w:val="16"/>
              </w:rPr>
            </w:pPr>
          </w:p>
        </w:tc>
      </w:tr>
    </w:tbl>
    <w:p w:rsidR="00532CAA" w:rsidRDefault="00532CAA" w:rsidP="0055220B">
      <w:pPr>
        <w:spacing w:line="480" w:lineRule="auto"/>
        <w:rPr>
          <w:rFonts w:ascii="Times New Roman" w:hAnsi="Times New Roman" w:cs="Times New Roman"/>
        </w:rPr>
      </w:pPr>
      <w:r w:rsidRPr="008E6A77">
        <w:rPr>
          <w:rFonts w:ascii="Times New Roman" w:hAnsi="Times New Roman" w:cs="Times New Roman"/>
        </w:rPr>
        <w:t xml:space="preserve"> </w:t>
      </w:r>
    </w:p>
    <w:p w:rsidR="00532CAA" w:rsidRPr="008E6A77" w:rsidRDefault="00532CAA" w:rsidP="0055220B">
      <w:pPr>
        <w:spacing w:line="480" w:lineRule="auto"/>
        <w:rPr>
          <w:rFonts w:ascii="Times New Roman" w:hAnsi="Times New Roman" w:cs="Times New Roman"/>
        </w:rPr>
      </w:pPr>
      <w:r w:rsidRPr="0049020B">
        <w:rPr>
          <w:rFonts w:ascii="Times New Roman" w:hAnsi="Times New Roman" w:cs="Times New Roman"/>
          <w:i/>
        </w:rPr>
        <w:t>Abbreviations</w:t>
      </w:r>
      <w:r>
        <w:rPr>
          <w:rFonts w:ascii="Times New Roman" w:hAnsi="Times New Roman" w:cs="Times New Roman"/>
        </w:rPr>
        <w:t>: NfL: neurofilament light chain; pNfH: neurofilament heavy chain; CSF: cerebrospinal fluid; ECL: elettrochemoluminescence assay; ELISA: enzyme -linked immunoadsorbent assay; ns: not significant; MND: motor neuron disorder; mts: months; pts: patients; SiMoA: single-molecule array.</w:t>
      </w:r>
    </w:p>
    <w:p w:rsidR="00532CAA" w:rsidRDefault="00532CAA">
      <w:pPr>
        <w:suppressAutoHyphens w:val="0"/>
        <w:spacing w:line="259" w:lineRule="auto"/>
        <w:rPr>
          <w:rFonts w:ascii="Times New Roman" w:hAnsi="Times New Roman" w:cs="Times New Roman"/>
          <w:lang w:val="en-US"/>
        </w:rPr>
      </w:pPr>
      <w:r>
        <w:rPr>
          <w:rFonts w:ascii="Times New Roman" w:hAnsi="Times New Roman" w:cs="Times New Roman"/>
          <w:lang w:val="en-US"/>
        </w:rPr>
        <w:br w:type="page"/>
      </w:r>
    </w:p>
    <w:p w:rsidR="00532CAA" w:rsidRDefault="00532CAA" w:rsidP="00BB64F5">
      <w:pPr>
        <w:pStyle w:val="ListParagraph"/>
        <w:spacing w:after="0" w:line="480" w:lineRule="auto"/>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1697B820" wp14:editId="557F705A">
            <wp:extent cx="6120130" cy="407924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6120130" cy="4079240"/>
                    </a:xfrm>
                    <a:prstGeom prst="rect">
                      <a:avLst/>
                    </a:prstGeom>
                  </pic:spPr>
                </pic:pic>
              </a:graphicData>
            </a:graphic>
          </wp:inline>
        </w:drawing>
      </w:r>
    </w:p>
    <w:p w:rsidR="00532CAA" w:rsidRDefault="00532CAA">
      <w:pPr>
        <w:suppressAutoHyphens w:val="0"/>
        <w:spacing w:line="259" w:lineRule="auto"/>
        <w:rPr>
          <w:rFonts w:ascii="Times New Roman" w:hAnsi="Times New Roman" w:cs="Times New Roman"/>
          <w:lang w:val="en-US"/>
        </w:rPr>
      </w:pPr>
      <w:r>
        <w:rPr>
          <w:rFonts w:ascii="Times New Roman" w:hAnsi="Times New Roman" w:cs="Times New Roman"/>
          <w:lang w:val="en-US"/>
        </w:rPr>
        <w:br w:type="page"/>
      </w:r>
    </w:p>
    <w:p w:rsidR="00532CAA" w:rsidRPr="00BB64F5" w:rsidRDefault="00532CAA" w:rsidP="00BB64F5">
      <w:pPr>
        <w:spacing w:after="0" w:line="480" w:lineRule="auto"/>
        <w:ind w:left="360"/>
        <w:rPr>
          <w:rFonts w:ascii="Times New Roman" w:hAnsi="Times New Roman" w:cs="Times New Roman"/>
          <w:lang w:val="en-US"/>
        </w:rPr>
      </w:pPr>
      <w:r>
        <w:rPr>
          <w:noProof/>
          <w:lang w:val="en-US"/>
        </w:rPr>
        <w:lastRenderedPageBreak/>
        <w:drawing>
          <wp:inline distT="0" distB="0" distL="0" distR="0" wp14:anchorId="1506068A" wp14:editId="23358772">
            <wp:extent cx="6120130" cy="3442335"/>
            <wp:effectExtent l="0" t="0" r="0" b="5715"/>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120130" cy="3442335"/>
                    </a:xfrm>
                    <a:prstGeom prst="rect">
                      <a:avLst/>
                    </a:prstGeom>
                  </pic:spPr>
                </pic:pic>
              </a:graphicData>
            </a:graphic>
          </wp:inline>
        </w:drawing>
      </w:r>
    </w:p>
    <w:p w:rsidR="00532CAA" w:rsidRDefault="00532CAA">
      <w:pPr>
        <w:suppressAutoHyphens w:val="0"/>
        <w:spacing w:line="259" w:lineRule="auto"/>
        <w:rPr>
          <w:rFonts w:ascii="Times New Roman" w:hAnsi="Times New Roman" w:cs="Times New Roman"/>
          <w:lang w:val="en-US"/>
        </w:rPr>
      </w:pPr>
      <w:r>
        <w:rPr>
          <w:rFonts w:ascii="Times New Roman" w:hAnsi="Times New Roman" w:cs="Times New Roman"/>
          <w:lang w:val="en-US"/>
        </w:rPr>
        <w:br w:type="page"/>
      </w:r>
    </w:p>
    <w:p w:rsidR="00BB64F5" w:rsidRDefault="00BB64F5">
      <w:pPr>
        <w:suppressAutoHyphens w:val="0"/>
        <w:spacing w:line="259" w:lineRule="auto"/>
        <w:rPr>
          <w:rFonts w:ascii="Times New Roman" w:hAnsi="Times New Roman" w:cs="Times New Roman"/>
          <w:lang w:val="en-US"/>
        </w:rPr>
      </w:pPr>
      <w:bookmarkStart w:id="0" w:name="_GoBack"/>
      <w:bookmarkEnd w:id="0"/>
      <w:r>
        <w:rPr>
          <w:rFonts w:ascii="Times New Roman" w:hAnsi="Times New Roman" w:cs="Times New Roman"/>
          <w:lang w:val="en-US"/>
        </w:rPr>
        <w:lastRenderedPageBreak/>
        <w:br w:type="page"/>
      </w:r>
    </w:p>
    <w:p w:rsidR="00D9358E" w:rsidRPr="00BB64F5" w:rsidRDefault="00BB64F5" w:rsidP="00BB64F5">
      <w:pPr>
        <w:spacing w:after="0" w:line="480" w:lineRule="auto"/>
        <w:rPr>
          <w:rFonts w:ascii="Times New Roman" w:hAnsi="Times New Roman" w:cs="Times New Roman"/>
          <w:lang w:val="en-US"/>
        </w:rPr>
      </w:pPr>
      <w:r>
        <w:rPr>
          <w:rFonts w:ascii="Times New Roman" w:hAnsi="Times New Roman" w:cs="Times New Roman"/>
          <w:noProof/>
          <w:lang w:val="en-US"/>
        </w:rPr>
        <w:drawing>
          <wp:inline distT="0" distB="0" distL="0" distR="0" wp14:anchorId="5799D370" wp14:editId="43516447">
            <wp:extent cx="6120130" cy="2988945"/>
            <wp:effectExtent l="0" t="0" r="0" b="1905"/>
            <wp:docPr id="4"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120130" cy="2988945"/>
                    </a:xfrm>
                    <a:prstGeom prst="rect">
                      <a:avLst/>
                    </a:prstGeom>
                  </pic:spPr>
                </pic:pic>
              </a:graphicData>
            </a:graphic>
          </wp:inline>
        </w:drawing>
      </w:r>
    </w:p>
    <w:sectPr w:rsidR="00D9358E" w:rsidRPr="00BB64F5" w:rsidSect="00532CAA">
      <w:footerReference w:type="default" r:id="rId11"/>
      <w:pgSz w:w="11906" w:h="16838"/>
      <w:pgMar w:top="1417" w:right="1134" w:bottom="1134" w:left="1134" w:header="0" w:footer="708"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BB64F5">
      <w:pPr>
        <w:spacing w:after="0" w:line="240" w:lineRule="auto"/>
      </w:pPr>
      <w:r>
        <w:separator/>
      </w:r>
    </w:p>
  </w:endnote>
  <w:endnote w:type="continuationSeparator" w:id="0">
    <w:p w:rsidR="00000000" w:rsidRDefault="00BB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65F1" w:rsidRDefault="00D9358E">
    <w:pPr>
      <w:pStyle w:val="Footer"/>
      <w:ind w:right="360"/>
    </w:pPr>
    <w:r>
      <w:rPr>
        <w:noProof/>
        <w:lang w:val="en-US"/>
      </w:rPr>
      <mc:AlternateContent>
        <mc:Choice Requires="wps">
          <w:drawing>
            <wp:anchor distT="0" distB="0" distL="0" distR="0" simplePos="0" relativeHeight="251659264" behindDoc="0" locked="0" layoutInCell="1" allowOverlap="1" wp14:anchorId="7BCC1C73" wp14:editId="606C56AB">
              <wp:simplePos x="0" y="0"/>
              <wp:positionH relativeFrom="margin">
                <wp:align>right</wp:align>
              </wp:positionH>
              <wp:positionV relativeFrom="paragraph">
                <wp:posOffset>635</wp:posOffset>
              </wp:positionV>
              <wp:extent cx="142240" cy="170815"/>
              <wp:effectExtent l="1905" t="635" r="8255" b="0"/>
              <wp:wrapTopAndBottom/>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70815"/>
                      </a:xfrm>
                      <a:prstGeom prst="rect">
                        <a:avLst/>
                      </a:prstGeom>
                      <a:solidFill>
                        <a:srgbClr val="FFFFFF">
                          <a:alpha val="0"/>
                        </a:srgbClr>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rsidR="000E65F1" w:rsidRDefault="00D9358E">
                          <w:pPr>
                            <w:pStyle w:val="Footer"/>
                          </w:pPr>
                          <w:r>
                            <w:fldChar w:fldCharType="begin"/>
                          </w:r>
                          <w:r>
                            <w:instrText>PAGE</w:instrText>
                          </w:r>
                          <w:r>
                            <w:fldChar w:fldCharType="separate"/>
                          </w:r>
                          <w:r w:rsidR="00BB64F5">
                            <w:rPr>
                              <w:noProof/>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40pt;margin-top:.05pt;width:11.2pt;height:13.4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" stroked="f" strokeweight="0">
              <v:fill opacity="0"/>
              <v:textbox inset="0,0,0,0">
                <w:txbxContent>
                  <w:p w:rsidR="000E65F1" w:rsidRDefault="00D9358E">
                    <w:pPr>
                      <w:pStyle w:val="Footer"/>
                    </w:pPr>
                    <w:r>
                      <w:fldChar w:fldCharType="begin"/>
                    </w:r>
                    <w:r>
                      <w:instrText>PAGE</w:instrText>
                    </w:r>
                    <w:r>
                      <w:fldChar w:fldCharType="separate"/>
                    </w:r>
                    <w:r w:rsidR="00BB64F5">
                      <w:rPr>
                        <w:noProof/>
                      </w:rPr>
                      <w:t>14</w:t>
                    </w:r>
                    <w:r>
                      <w:fldChar w:fldCharType="end"/>
                    </w:r>
                  </w:p>
                </w:txbxContent>
              </v:textbox>
              <w10:wrap type="topAndBottom"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BB64F5">
      <w:pPr>
        <w:spacing w:after="0" w:line="240" w:lineRule="auto"/>
      </w:pPr>
      <w:r>
        <w:separator/>
      </w:r>
    </w:p>
  </w:footnote>
  <w:footnote w:type="continuationSeparator" w:id="0">
    <w:p w:rsidR="00000000" w:rsidRDefault="00BB64F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727310"/>
    <w:multiLevelType w:val="multilevel"/>
    <w:tmpl w:val="DA520BAE"/>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3B4"/>
    <w:rsid w:val="00405315"/>
    <w:rsid w:val="00517FB9"/>
    <w:rsid w:val="00532CAA"/>
    <w:rsid w:val="008105E7"/>
    <w:rsid w:val="00AE73B4"/>
    <w:rsid w:val="00BB64F5"/>
    <w:rsid w:val="00D71AE7"/>
    <w:rsid w:val="00D812ED"/>
    <w:rsid w:val="00D9358E"/>
    <w:rsid w:val="00F531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B4"/>
    <w:pPr>
      <w:suppressAutoHyphens/>
      <w:spacing w:line="254" w:lineRule="auto"/>
    </w:pPr>
    <w:rPr>
      <w:color w:val="00000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AE73B4"/>
  </w:style>
  <w:style w:type="paragraph" w:styleId="ListParagraph">
    <w:name w:val="List Paragraph"/>
    <w:basedOn w:val="Normal"/>
    <w:uiPriority w:val="34"/>
    <w:qFormat/>
    <w:rsid w:val="00AE73B4"/>
    <w:pPr>
      <w:ind w:left="720"/>
      <w:contextualSpacing/>
    </w:pPr>
  </w:style>
  <w:style w:type="paragraph" w:styleId="Footer">
    <w:name w:val="footer"/>
    <w:basedOn w:val="Normal"/>
    <w:link w:val="FooterChar"/>
    <w:uiPriority w:val="99"/>
    <w:unhideWhenUsed/>
    <w:rsid w:val="00AE73B4"/>
    <w:pPr>
      <w:tabs>
        <w:tab w:val="center" w:pos="4819"/>
        <w:tab w:val="right" w:pos="9638"/>
      </w:tabs>
      <w:spacing w:after="0" w:line="240" w:lineRule="auto"/>
    </w:pPr>
    <w:rPr>
      <w:color w:val="auto"/>
      <w:lang w:val="it-IT"/>
    </w:rPr>
  </w:style>
  <w:style w:type="character" w:customStyle="1" w:styleId="PidipaginaCarattere1">
    <w:name w:val="Piè di pagina Carattere1"/>
    <w:basedOn w:val="DefaultParagraphFont"/>
    <w:uiPriority w:val="99"/>
    <w:semiHidden/>
    <w:rsid w:val="00AE73B4"/>
    <w:rPr>
      <w:color w:val="00000A"/>
      <w:lang w:val="en-GB"/>
    </w:rPr>
  </w:style>
  <w:style w:type="character" w:styleId="LineNumber">
    <w:name w:val="line number"/>
    <w:basedOn w:val="DefaultParagraphFont"/>
    <w:uiPriority w:val="99"/>
    <w:semiHidden/>
    <w:unhideWhenUsed/>
    <w:rsid w:val="00AE73B4"/>
  </w:style>
  <w:style w:type="table" w:styleId="TableGrid">
    <w:name w:val="Table Grid"/>
    <w:basedOn w:val="TableNormal"/>
    <w:uiPriority w:val="39"/>
    <w:rsid w:val="00532CAA"/>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6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4F5"/>
    <w:rPr>
      <w:rFonts w:ascii="Tahoma" w:hAnsi="Tahoma" w:cs="Tahoma"/>
      <w:color w:val="00000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3B4"/>
    <w:pPr>
      <w:suppressAutoHyphens/>
      <w:spacing w:line="254" w:lineRule="auto"/>
    </w:pPr>
    <w:rPr>
      <w:color w:val="00000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rsid w:val="00AE73B4"/>
  </w:style>
  <w:style w:type="paragraph" w:styleId="ListParagraph">
    <w:name w:val="List Paragraph"/>
    <w:basedOn w:val="Normal"/>
    <w:uiPriority w:val="34"/>
    <w:qFormat/>
    <w:rsid w:val="00AE73B4"/>
    <w:pPr>
      <w:ind w:left="720"/>
      <w:contextualSpacing/>
    </w:pPr>
  </w:style>
  <w:style w:type="paragraph" w:styleId="Footer">
    <w:name w:val="footer"/>
    <w:basedOn w:val="Normal"/>
    <w:link w:val="FooterChar"/>
    <w:uiPriority w:val="99"/>
    <w:unhideWhenUsed/>
    <w:rsid w:val="00AE73B4"/>
    <w:pPr>
      <w:tabs>
        <w:tab w:val="center" w:pos="4819"/>
        <w:tab w:val="right" w:pos="9638"/>
      </w:tabs>
      <w:spacing w:after="0" w:line="240" w:lineRule="auto"/>
    </w:pPr>
    <w:rPr>
      <w:color w:val="auto"/>
      <w:lang w:val="it-IT"/>
    </w:rPr>
  </w:style>
  <w:style w:type="character" w:customStyle="1" w:styleId="PidipaginaCarattere1">
    <w:name w:val="Piè di pagina Carattere1"/>
    <w:basedOn w:val="DefaultParagraphFont"/>
    <w:uiPriority w:val="99"/>
    <w:semiHidden/>
    <w:rsid w:val="00AE73B4"/>
    <w:rPr>
      <w:color w:val="00000A"/>
      <w:lang w:val="en-GB"/>
    </w:rPr>
  </w:style>
  <w:style w:type="character" w:styleId="LineNumber">
    <w:name w:val="line number"/>
    <w:basedOn w:val="DefaultParagraphFont"/>
    <w:uiPriority w:val="99"/>
    <w:semiHidden/>
    <w:unhideWhenUsed/>
    <w:rsid w:val="00AE73B4"/>
  </w:style>
  <w:style w:type="table" w:styleId="TableGrid">
    <w:name w:val="Table Grid"/>
    <w:basedOn w:val="TableNormal"/>
    <w:uiPriority w:val="39"/>
    <w:rsid w:val="00532CAA"/>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B64F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64F5"/>
    <w:rPr>
      <w:rFonts w:ascii="Tahoma" w:hAnsi="Tahoma" w:cs="Tahoma"/>
      <w:color w:val="00000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16</Pages>
  <Words>2957</Words>
  <Characters>16860</Characters>
  <Application>Microsoft Office Word</Application>
  <DocSecurity>0</DocSecurity>
  <Lines>140</Lines>
  <Paragraphs>39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provaxp</dc:creator>
  <cp:keywords/>
  <dc:description/>
  <cp:lastModifiedBy>RTORRES</cp:lastModifiedBy>
  <cp:revision>4</cp:revision>
  <cp:lastPrinted>2020-09-18T21:05:00Z</cp:lastPrinted>
  <dcterms:created xsi:type="dcterms:W3CDTF">2020-08-19T12:55:00Z</dcterms:created>
  <dcterms:modified xsi:type="dcterms:W3CDTF">2020-09-18T21:07:00Z</dcterms:modified>
</cp:coreProperties>
</file>