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EF1509">
      <w:r>
        <w:rPr>
          <w:noProof/>
        </w:rPr>
        <w:drawing>
          <wp:inline distT="0" distB="0" distL="0" distR="0" wp14:anchorId="4CD65F04" wp14:editId="57080D38">
            <wp:extent cx="5274310" cy="5173345"/>
            <wp:effectExtent l="19050" t="0" r="2540" b="0"/>
            <wp:docPr id="2" name="图片 1" descr="Add 2 fig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2 fig S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509" w:rsidRDefault="00EF1509" w:rsidP="00EF1509">
      <w:pPr>
        <w:autoSpaceDE w:val="0"/>
        <w:autoSpaceDN w:val="0"/>
        <w:adjustRightInd w:val="0"/>
        <w:spacing w:line="360" w:lineRule="auto"/>
        <w:rPr>
          <w:rFonts w:eastAsia="Arial Unicode MS"/>
          <w:b/>
          <w:color w:val="000000"/>
          <w:sz w:val="24"/>
        </w:rPr>
      </w:pPr>
      <w:r>
        <w:rPr>
          <w:rFonts w:eastAsia="Arial Unicode MS"/>
          <w:b/>
          <w:color w:val="000000"/>
          <w:sz w:val="24"/>
        </w:rPr>
        <w:t xml:space="preserve">Additional file 2: </w:t>
      </w:r>
    </w:p>
    <w:p w:rsidR="00EF1509" w:rsidRDefault="00EF1509" w:rsidP="00EF1509">
      <w:pPr>
        <w:autoSpaceDE w:val="0"/>
        <w:autoSpaceDN w:val="0"/>
        <w:adjustRightInd w:val="0"/>
        <w:spacing w:line="360" w:lineRule="auto"/>
        <w:rPr>
          <w:rFonts w:eastAsia="ArialUnicodeMS"/>
          <w:sz w:val="24"/>
        </w:rPr>
      </w:pPr>
      <w:r>
        <w:rPr>
          <w:rFonts w:eastAsia="ArialUnicodeMS"/>
          <w:b/>
          <w:bCs/>
          <w:sz w:val="24"/>
        </w:rPr>
        <w:t xml:space="preserve">Figure S2. </w:t>
      </w:r>
      <w:r>
        <w:rPr>
          <w:rFonts w:eastAsia="Arial Unicode MS"/>
          <w:bCs/>
          <w:sz w:val="24"/>
        </w:rPr>
        <w:t xml:space="preserve">AAV8-mediated </w:t>
      </w:r>
      <w:r>
        <w:rPr>
          <w:rFonts w:eastAsia="Arial Unicode MS"/>
          <w:sz w:val="24"/>
        </w:rPr>
        <w:t>low level expression of HMOX1</w:t>
      </w:r>
      <w:r>
        <w:rPr>
          <w:rFonts w:eastAsia="ArialUnicodeMS"/>
          <w:bCs/>
          <w:sz w:val="24"/>
        </w:rPr>
        <w:t xml:space="preserve"> protects photoreceptor cells from LD</w:t>
      </w:r>
      <w:r>
        <w:rPr>
          <w:rFonts w:eastAsia="ArialUnicodeMS"/>
          <w:b/>
          <w:bCs/>
          <w:sz w:val="24"/>
        </w:rPr>
        <w:t>.</w:t>
      </w:r>
      <w:r>
        <w:rPr>
          <w:rFonts w:eastAsia="ArialUnicodeMS"/>
          <w:sz w:val="24"/>
        </w:rPr>
        <w:t xml:space="preserve"> 2-month-old albino mice were infected by the low dose of AAV8-HMOX1 or control virus for 2 weeks, then exposed to high-intensity light (15,000 lux) for 3 days and finally analyzed for retinal degeneration.</w:t>
      </w:r>
      <w:r>
        <w:rPr>
          <w:rFonts w:eastAsia="ArialUnicodeMS"/>
          <w:b/>
          <w:bCs/>
          <w:sz w:val="24"/>
        </w:rPr>
        <w:t xml:space="preserve"> (A) </w:t>
      </w:r>
      <w:r>
        <w:rPr>
          <w:rFonts w:eastAsia="ArialUnicodeMS"/>
          <w:sz w:val="24"/>
        </w:rPr>
        <w:t>ERG traces of albino mice infected with the low dose of AAV8-HMOX1 or control virus after 3 days of LD. (</w:t>
      </w:r>
      <w:r>
        <w:rPr>
          <w:rFonts w:eastAsia="ArialUnicodeMS"/>
          <w:b/>
          <w:bCs/>
          <w:sz w:val="24"/>
        </w:rPr>
        <w:t>B, C</w:t>
      </w:r>
      <w:r>
        <w:rPr>
          <w:rFonts w:eastAsia="ArialUnicodeMS"/>
          <w:sz w:val="24"/>
        </w:rPr>
        <w:t>) Quantification of ERG amplitudes in rod response (</w:t>
      </w:r>
      <w:r>
        <w:rPr>
          <w:rFonts w:eastAsia="ArialUnicodeMS"/>
          <w:b/>
          <w:bCs/>
          <w:sz w:val="24"/>
        </w:rPr>
        <w:t>B</w:t>
      </w:r>
      <w:r>
        <w:rPr>
          <w:rFonts w:eastAsia="ArialUnicodeMS"/>
          <w:sz w:val="24"/>
        </w:rPr>
        <w:t>) and standard response (</w:t>
      </w:r>
      <w:r>
        <w:rPr>
          <w:rFonts w:eastAsia="ArialUnicodeMS"/>
          <w:b/>
          <w:bCs/>
          <w:sz w:val="24"/>
        </w:rPr>
        <w:t>C</w:t>
      </w:r>
      <w:r>
        <w:rPr>
          <w:rFonts w:eastAsia="ArialUnicodeMS"/>
          <w:sz w:val="24"/>
        </w:rPr>
        <w:t xml:space="preserve">) according to the ERG traces (Error bars: SD; n=6, Student </w:t>
      </w:r>
      <w:r>
        <w:rPr>
          <w:rFonts w:eastAsia="ArialUnicodeMS"/>
          <w:i/>
          <w:iCs/>
          <w:sz w:val="24"/>
        </w:rPr>
        <w:t>T</w:t>
      </w:r>
      <w:r>
        <w:rPr>
          <w:rFonts w:eastAsia="ArialUnicodeMS"/>
          <w:sz w:val="24"/>
        </w:rPr>
        <w:t>-test). (</w:t>
      </w:r>
      <w:r>
        <w:rPr>
          <w:rFonts w:eastAsia="ArialUnicodeMS"/>
          <w:b/>
          <w:bCs/>
          <w:sz w:val="24"/>
        </w:rPr>
        <w:t>D</w:t>
      </w:r>
      <w:r>
        <w:rPr>
          <w:rFonts w:eastAsia="ArialUnicodeMS"/>
          <w:sz w:val="24"/>
        </w:rPr>
        <w:t xml:space="preserve">) </w:t>
      </w:r>
      <w:r>
        <w:rPr>
          <w:sz w:val="24"/>
        </w:rPr>
        <w:t>Representative</w:t>
      </w:r>
      <w:r>
        <w:rPr>
          <w:rFonts w:eastAsia="ArialUnicodeMS"/>
          <w:sz w:val="24"/>
        </w:rPr>
        <w:t xml:space="preserve"> histological images of H&amp;E staining of retinas infected with the indicated viruses, kept for 2 weeks and then exposed to high intensity light continuously for 3 days. (</w:t>
      </w:r>
      <w:r>
        <w:rPr>
          <w:rFonts w:eastAsia="ArialUnicodeMS"/>
          <w:b/>
          <w:bCs/>
          <w:sz w:val="24"/>
        </w:rPr>
        <w:t>E</w:t>
      </w:r>
      <w:r>
        <w:rPr>
          <w:rFonts w:eastAsia="ArialUnicodeMS"/>
          <w:sz w:val="24"/>
        </w:rPr>
        <w:t>) The curve diagram of the thickness of photoreceptor cell layer from the albino mice kept under the indicated conditions (Error bars: SD; n=</w:t>
      </w:r>
      <w:proofErr w:type="gramStart"/>
      <w:r>
        <w:rPr>
          <w:rFonts w:eastAsia="ArialUnicodeMS"/>
          <w:sz w:val="24"/>
        </w:rPr>
        <w:t>6</w:t>
      </w:r>
      <w:proofErr w:type="gramEnd"/>
      <w:r>
        <w:rPr>
          <w:rFonts w:eastAsia="ArialUnicodeMS"/>
          <w:sz w:val="24"/>
        </w:rPr>
        <w:t>, one-way ANOVA). (</w:t>
      </w:r>
      <w:r>
        <w:rPr>
          <w:rFonts w:eastAsia="ArialUnicodeMS"/>
          <w:b/>
          <w:bCs/>
          <w:sz w:val="24"/>
        </w:rPr>
        <w:t>F, G</w:t>
      </w:r>
      <w:r>
        <w:rPr>
          <w:rFonts w:eastAsia="ArialUnicodeMS"/>
          <w:sz w:val="24"/>
        </w:rPr>
        <w:t xml:space="preserve">) </w:t>
      </w:r>
      <w:r>
        <w:rPr>
          <w:rFonts w:eastAsia="ArialUnicodeMS"/>
          <w:sz w:val="24"/>
        </w:rPr>
        <w:lastRenderedPageBreak/>
        <w:t>Representative images of TUNEL assays from retinas of albino mice exposed to high-intensity light for the indicated times (</w:t>
      </w:r>
      <w:r>
        <w:rPr>
          <w:rFonts w:eastAsia="ArialUnicodeMS"/>
          <w:b/>
          <w:bCs/>
          <w:sz w:val="24"/>
        </w:rPr>
        <w:t>F</w:t>
      </w:r>
      <w:r>
        <w:rPr>
          <w:rFonts w:eastAsia="ArialUnicodeMS"/>
          <w:sz w:val="24"/>
        </w:rPr>
        <w:t>) and the quantification of cell death in the ONL of retinas (</w:t>
      </w:r>
      <w:r>
        <w:rPr>
          <w:rFonts w:eastAsia="ArialUnicodeMS"/>
          <w:b/>
          <w:bCs/>
          <w:sz w:val="24"/>
        </w:rPr>
        <w:t>G</w:t>
      </w:r>
      <w:r>
        <w:rPr>
          <w:rFonts w:eastAsia="ArialUnicodeMS"/>
          <w:sz w:val="24"/>
        </w:rPr>
        <w:t>) (Error bars: SD; n=</w:t>
      </w:r>
      <w:proofErr w:type="gramStart"/>
      <w:r>
        <w:rPr>
          <w:rFonts w:eastAsia="ArialUnicodeMS"/>
          <w:sz w:val="24"/>
        </w:rPr>
        <w:t>3</w:t>
      </w:r>
      <w:proofErr w:type="gramEnd"/>
      <w:r>
        <w:rPr>
          <w:rFonts w:eastAsia="ArialUnicodeMS"/>
          <w:sz w:val="24"/>
        </w:rPr>
        <w:t xml:space="preserve">, Student </w:t>
      </w:r>
      <w:r>
        <w:rPr>
          <w:rFonts w:eastAsia="ArialUnicodeMS"/>
          <w:i/>
          <w:iCs/>
          <w:sz w:val="24"/>
        </w:rPr>
        <w:t>T</w:t>
      </w:r>
      <w:r>
        <w:rPr>
          <w:rFonts w:eastAsia="ArialUnicodeMS"/>
          <w:sz w:val="24"/>
        </w:rPr>
        <w:t xml:space="preserve">-test). </w:t>
      </w:r>
      <w:proofErr w:type="gramStart"/>
      <w:r>
        <w:rPr>
          <w:rFonts w:eastAsia="ArialUnicodeMS"/>
          <w:sz w:val="24"/>
        </w:rPr>
        <w:t>GCL, ganglion cell layer; INL, inner nuclear layer; ONL, outer nuclear layer.</w:t>
      </w:r>
      <w:proofErr w:type="gramEnd"/>
      <w:r>
        <w:rPr>
          <w:rFonts w:eastAsia="ArialUnicodeMS"/>
          <w:sz w:val="24"/>
        </w:rPr>
        <w:t xml:space="preserve"> </w:t>
      </w:r>
      <w:r>
        <w:rPr>
          <w:rFonts w:eastAsia="Arial Unicode MS"/>
          <w:sz w:val="24"/>
        </w:rPr>
        <w:t>PL, photoreceptor layer.</w:t>
      </w:r>
      <w:r>
        <w:rPr>
          <w:rFonts w:eastAsia="ArialUnicodeMS"/>
          <w:sz w:val="24"/>
        </w:rPr>
        <w:t xml:space="preserve"> * </w:t>
      </w:r>
      <w:proofErr w:type="gramStart"/>
      <w:r>
        <w:rPr>
          <w:rFonts w:eastAsia="ArialUnicodeMS"/>
          <w:sz w:val="24"/>
        </w:rPr>
        <w:t>or</w:t>
      </w:r>
      <w:proofErr w:type="gramEnd"/>
      <w:r>
        <w:rPr>
          <w:rFonts w:eastAsia="ArialUnicodeMS"/>
          <w:sz w:val="24"/>
        </w:rPr>
        <w:t xml:space="preserve"> ** indicates p&lt;0.05 or p&lt;0.01. Scale bar: 50 </w:t>
      </w:r>
      <w:proofErr w:type="spellStart"/>
      <w:r>
        <w:rPr>
          <w:rFonts w:eastAsia="ArialUnicodeMS"/>
          <w:sz w:val="24"/>
        </w:rPr>
        <w:t>μm</w:t>
      </w:r>
      <w:proofErr w:type="spellEnd"/>
      <w:r>
        <w:rPr>
          <w:rFonts w:eastAsia="ArialUnicodeMS"/>
          <w:sz w:val="24"/>
        </w:rPr>
        <w:t>.</w:t>
      </w:r>
    </w:p>
    <w:p w:rsidR="00EF1509" w:rsidRPr="00EF1509" w:rsidRDefault="00EF1509" w:rsidP="00EF1509">
      <w:pPr>
        <w:pStyle w:val="BodyText"/>
      </w:pPr>
      <w:bookmarkStart w:id="0" w:name="_GoBack"/>
      <w:bookmarkEnd w:id="0"/>
    </w:p>
    <w:sectPr w:rsidR="00EF1509" w:rsidRPr="00EF1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509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1509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1124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2021-03-02T12:07:00Z</dcterms:created>
  <dcterms:modified xsi:type="dcterms:W3CDTF">2021-03-02T12:07:00Z</dcterms:modified>
</cp:coreProperties>
</file>