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AD808" w14:textId="334A6701" w:rsidR="00F125EE" w:rsidRPr="002676DE" w:rsidRDefault="00F125EE" w:rsidP="009A670E">
      <w:pPr>
        <w:jc w:val="center"/>
        <w:rPr>
          <w:rFonts w:ascii="Arial" w:hAnsi="Arial" w:cs="Arial"/>
          <w:sz w:val="20"/>
        </w:rPr>
      </w:pPr>
    </w:p>
    <w:p w14:paraId="084E8220" w14:textId="3FA2A981" w:rsidR="007B5946" w:rsidRPr="002676DE" w:rsidRDefault="007B5946" w:rsidP="00DB0B1D">
      <w:pPr>
        <w:rPr>
          <w:rFonts w:ascii="Arial" w:hAnsi="Arial" w:cs="Arial"/>
          <w:sz w:val="20"/>
        </w:rPr>
      </w:pPr>
    </w:p>
    <w:p w14:paraId="1DC30AB1" w14:textId="77777777" w:rsidR="009A670E" w:rsidRPr="002676DE" w:rsidRDefault="009A670E" w:rsidP="007B5946">
      <w:pPr>
        <w:rPr>
          <w:rFonts w:ascii="Arial" w:hAnsi="Arial" w:cs="Arial"/>
          <w:sz w:val="20"/>
        </w:rPr>
      </w:pPr>
    </w:p>
    <w:p w14:paraId="5E7DEFEE" w14:textId="77777777" w:rsidR="009A670E" w:rsidRPr="002676DE" w:rsidRDefault="009A670E" w:rsidP="007B5946">
      <w:pPr>
        <w:rPr>
          <w:rFonts w:ascii="Arial" w:hAnsi="Arial" w:cs="Arial"/>
          <w:sz w:val="20"/>
        </w:rPr>
      </w:pPr>
    </w:p>
    <w:p w14:paraId="46F72BDF" w14:textId="53E48BDF" w:rsidR="00B16F99" w:rsidRPr="008F28F2" w:rsidRDefault="00B16F99" w:rsidP="00B16F99">
      <w:pPr>
        <w:rPr>
          <w:rFonts w:ascii="Arial" w:hAnsi="Arial" w:cs="Arial"/>
          <w:b/>
          <w:sz w:val="28"/>
          <w:szCs w:val="28"/>
        </w:rPr>
      </w:pPr>
      <w:r w:rsidRPr="008F28F2">
        <w:rPr>
          <w:rFonts w:ascii="Arial" w:hAnsi="Arial" w:cs="Arial"/>
          <w:b/>
          <w:sz w:val="28"/>
          <w:szCs w:val="28"/>
        </w:rPr>
        <w:t xml:space="preserve">Supplementary </w:t>
      </w:r>
      <w:r w:rsidR="00A85F23" w:rsidRPr="008F28F2">
        <w:rPr>
          <w:rFonts w:ascii="Arial" w:hAnsi="Arial" w:cs="Arial"/>
          <w:b/>
          <w:sz w:val="28"/>
          <w:szCs w:val="28"/>
        </w:rPr>
        <w:t>Material</w:t>
      </w:r>
      <w:r w:rsidRPr="008F28F2">
        <w:rPr>
          <w:rFonts w:ascii="Arial" w:hAnsi="Arial" w:cs="Arial"/>
          <w:b/>
          <w:sz w:val="28"/>
          <w:szCs w:val="28"/>
        </w:rPr>
        <w:t xml:space="preserve"> for</w:t>
      </w:r>
    </w:p>
    <w:p w14:paraId="52EF65C9" w14:textId="77777777" w:rsidR="00F35E16" w:rsidRPr="008F28F2" w:rsidRDefault="00F35E16" w:rsidP="00B16F99">
      <w:pPr>
        <w:rPr>
          <w:rFonts w:ascii="Arial" w:hAnsi="Arial" w:cs="Arial"/>
          <w:b/>
          <w:sz w:val="28"/>
          <w:szCs w:val="28"/>
        </w:rPr>
      </w:pPr>
    </w:p>
    <w:p w14:paraId="1EF5D059" w14:textId="77777777" w:rsidR="002E384F" w:rsidRPr="008F28F2" w:rsidRDefault="002E384F" w:rsidP="001B39D0">
      <w:pPr>
        <w:spacing w:after="200" w:line="276" w:lineRule="auto"/>
        <w:rPr>
          <w:rFonts w:ascii="Arial" w:eastAsiaTheme="minorHAnsi" w:hAnsi="Arial" w:cs="Arial"/>
          <w:b/>
          <w:bCs/>
          <w:sz w:val="28"/>
          <w:szCs w:val="28"/>
        </w:rPr>
      </w:pPr>
      <w:bookmarkStart w:id="0" w:name="_Hlk81316132"/>
      <w:bookmarkStart w:id="1" w:name="_Hlk107238046"/>
      <w:r w:rsidRPr="008F28F2">
        <w:rPr>
          <w:rFonts w:ascii="Arial" w:eastAsiaTheme="minorHAnsi" w:hAnsi="Arial" w:cs="Arial"/>
          <w:b/>
          <w:bCs/>
          <w:sz w:val="28"/>
          <w:szCs w:val="28"/>
        </w:rPr>
        <w:t>Cerebrospinal fluid lipoproteins inhibit α-synuclein aggregation by interacting with oligomeric species in seed amplification assays</w:t>
      </w:r>
    </w:p>
    <w:p w14:paraId="1673C858" w14:textId="77777777" w:rsidR="000A7924" w:rsidRPr="008F28F2" w:rsidRDefault="000A7924" w:rsidP="000A7924">
      <w:pPr>
        <w:spacing w:after="200"/>
        <w:jc w:val="both"/>
        <w:rPr>
          <w:rFonts w:ascii="Arial" w:eastAsiaTheme="minorHAnsi" w:hAnsi="Arial" w:cs="Arial"/>
          <w:color w:val="000000" w:themeColor="text1"/>
          <w:sz w:val="20"/>
          <w:lang w:val="it-IT"/>
        </w:rPr>
      </w:pPr>
      <w:r w:rsidRPr="008F28F2">
        <w:rPr>
          <w:rFonts w:ascii="Arial" w:eastAsiaTheme="minorHAnsi" w:hAnsi="Arial" w:cs="Arial"/>
          <w:color w:val="000000" w:themeColor="text1"/>
          <w:sz w:val="20"/>
          <w:lang w:val="it-IT"/>
        </w:rPr>
        <w:t>Giovanni Bellomo</w:t>
      </w:r>
      <w:r w:rsidRPr="008F28F2">
        <w:rPr>
          <w:rFonts w:ascii="Arial" w:eastAsiaTheme="minorHAnsi" w:hAnsi="Arial" w:cs="Arial"/>
          <w:color w:val="000000" w:themeColor="text1"/>
          <w:sz w:val="20"/>
          <w:vertAlign w:val="superscript"/>
          <w:lang w:val="it-IT"/>
        </w:rPr>
        <w:t>1*</w:t>
      </w:r>
      <w:r w:rsidRPr="008F28F2">
        <w:rPr>
          <w:rFonts w:ascii="Arial" w:eastAsiaTheme="minorHAnsi" w:hAnsi="Arial" w:cs="Arial"/>
          <w:color w:val="000000" w:themeColor="text1"/>
          <w:sz w:val="20"/>
          <w:lang w:val="it-IT"/>
        </w:rPr>
        <w:t>, Silvia Paciotti</w:t>
      </w:r>
      <w:r w:rsidRPr="008F28F2">
        <w:rPr>
          <w:rFonts w:ascii="Arial" w:eastAsiaTheme="minorHAnsi" w:hAnsi="Arial" w:cs="Arial"/>
          <w:color w:val="000000" w:themeColor="text1"/>
          <w:sz w:val="20"/>
          <w:vertAlign w:val="superscript"/>
          <w:lang w:val="it-IT"/>
        </w:rPr>
        <w:t>1</w:t>
      </w:r>
      <w:r w:rsidRPr="008F28F2">
        <w:rPr>
          <w:rFonts w:ascii="Arial" w:eastAsiaTheme="minorHAnsi" w:hAnsi="Arial" w:cs="Arial"/>
          <w:color w:val="000000" w:themeColor="text1"/>
          <w:sz w:val="20"/>
          <w:lang w:val="it-IT"/>
        </w:rPr>
        <w:t>, Luis Concha-Marambio</w:t>
      </w:r>
      <w:r w:rsidRPr="008F28F2">
        <w:rPr>
          <w:rFonts w:ascii="Arial" w:eastAsiaTheme="minorHAnsi" w:hAnsi="Arial" w:cs="Arial"/>
          <w:color w:val="000000" w:themeColor="text1"/>
          <w:sz w:val="20"/>
          <w:vertAlign w:val="superscript"/>
          <w:lang w:val="it-IT"/>
        </w:rPr>
        <w:t>2</w:t>
      </w:r>
      <w:r w:rsidRPr="008F28F2">
        <w:rPr>
          <w:rFonts w:ascii="Arial" w:eastAsiaTheme="minorHAnsi" w:hAnsi="Arial" w:cs="Arial"/>
          <w:color w:val="000000" w:themeColor="text1"/>
          <w:sz w:val="20"/>
          <w:lang w:val="it-IT"/>
        </w:rPr>
        <w:t>, Domenico Rizzo</w:t>
      </w:r>
      <w:r w:rsidRPr="008F28F2">
        <w:rPr>
          <w:rFonts w:ascii="Arial" w:eastAsiaTheme="minorHAnsi" w:hAnsi="Arial" w:cs="Arial"/>
          <w:color w:val="000000" w:themeColor="text1"/>
          <w:sz w:val="20"/>
          <w:vertAlign w:val="superscript"/>
          <w:lang w:val="it-IT"/>
        </w:rPr>
        <w:t>3,4</w:t>
      </w:r>
      <w:r w:rsidRPr="008F28F2">
        <w:rPr>
          <w:rFonts w:ascii="Arial" w:eastAsiaTheme="minorHAnsi" w:hAnsi="Arial" w:cs="Arial"/>
          <w:color w:val="000000" w:themeColor="text1"/>
          <w:sz w:val="20"/>
          <w:lang w:val="it-IT"/>
        </w:rPr>
        <w:t>, Anna Lidia Wojdaƚa</w:t>
      </w:r>
      <w:r w:rsidRPr="008F28F2">
        <w:rPr>
          <w:rFonts w:ascii="Arial" w:eastAsiaTheme="minorHAnsi" w:hAnsi="Arial" w:cs="Arial"/>
          <w:color w:val="000000" w:themeColor="text1"/>
          <w:sz w:val="20"/>
          <w:vertAlign w:val="superscript"/>
          <w:lang w:val="it-IT"/>
        </w:rPr>
        <w:t>1</w:t>
      </w:r>
      <w:r w:rsidRPr="008F28F2">
        <w:rPr>
          <w:rFonts w:ascii="Arial" w:eastAsiaTheme="minorHAnsi" w:hAnsi="Arial" w:cs="Arial"/>
          <w:color w:val="000000" w:themeColor="text1"/>
          <w:sz w:val="20"/>
          <w:lang w:val="it-IT"/>
        </w:rPr>
        <w:t>, Davide Chiasserini</w:t>
      </w:r>
      <w:r w:rsidRPr="008F28F2">
        <w:rPr>
          <w:rFonts w:ascii="Arial" w:eastAsiaTheme="minorHAnsi" w:hAnsi="Arial" w:cs="Arial"/>
          <w:color w:val="000000" w:themeColor="text1"/>
          <w:sz w:val="20"/>
          <w:vertAlign w:val="superscript"/>
          <w:lang w:val="it-IT"/>
        </w:rPr>
        <w:t>5</w:t>
      </w:r>
      <w:r w:rsidRPr="008F28F2">
        <w:rPr>
          <w:rFonts w:ascii="Arial" w:eastAsiaTheme="minorHAnsi" w:hAnsi="Arial" w:cs="Arial"/>
          <w:color w:val="000000" w:themeColor="text1"/>
          <w:sz w:val="20"/>
          <w:lang w:val="it-IT"/>
        </w:rPr>
        <w:t>, Leonardo Gatticchi</w:t>
      </w:r>
      <w:r w:rsidRPr="008F28F2">
        <w:rPr>
          <w:rFonts w:ascii="Arial" w:eastAsiaTheme="minorHAnsi" w:hAnsi="Arial" w:cs="Arial"/>
          <w:color w:val="000000" w:themeColor="text1"/>
          <w:sz w:val="20"/>
          <w:vertAlign w:val="superscript"/>
          <w:lang w:val="it-IT"/>
        </w:rPr>
        <w:t>5</w:t>
      </w:r>
      <w:r w:rsidRPr="008F28F2">
        <w:rPr>
          <w:rFonts w:ascii="Arial" w:eastAsiaTheme="minorHAnsi" w:hAnsi="Arial" w:cs="Arial"/>
          <w:color w:val="000000" w:themeColor="text1"/>
          <w:sz w:val="20"/>
          <w:lang w:val="it-IT"/>
        </w:rPr>
        <w:t>, Linda Cerofolini</w:t>
      </w:r>
      <w:r w:rsidRPr="008F28F2">
        <w:rPr>
          <w:rFonts w:ascii="Arial" w:eastAsiaTheme="minorHAnsi" w:hAnsi="Arial" w:cs="Arial"/>
          <w:color w:val="000000" w:themeColor="text1"/>
          <w:sz w:val="20"/>
          <w:vertAlign w:val="superscript"/>
          <w:lang w:val="it-IT"/>
        </w:rPr>
        <w:t>3,6</w:t>
      </w:r>
      <w:r w:rsidRPr="008F28F2">
        <w:rPr>
          <w:rFonts w:ascii="Arial" w:eastAsiaTheme="minorHAnsi" w:hAnsi="Arial" w:cs="Arial"/>
          <w:color w:val="000000" w:themeColor="text1"/>
          <w:sz w:val="20"/>
          <w:lang w:val="it-IT"/>
        </w:rPr>
        <w:t>, Stefano Giuntini</w:t>
      </w:r>
      <w:r w:rsidRPr="008F28F2">
        <w:rPr>
          <w:rFonts w:ascii="Arial" w:eastAsiaTheme="minorHAnsi" w:hAnsi="Arial" w:cs="Arial"/>
          <w:color w:val="000000" w:themeColor="text1"/>
          <w:sz w:val="20"/>
          <w:vertAlign w:val="superscript"/>
          <w:lang w:val="it-IT"/>
        </w:rPr>
        <w:t>3</w:t>
      </w:r>
      <w:r w:rsidRPr="008F28F2">
        <w:rPr>
          <w:rFonts w:ascii="Arial" w:eastAsiaTheme="minorHAnsi" w:hAnsi="Arial" w:cs="Arial"/>
          <w:color w:val="000000" w:themeColor="text1"/>
          <w:sz w:val="20"/>
          <w:lang w:val="it-IT"/>
        </w:rPr>
        <w:t>, Chiara Maria Giulia De Luca</w:t>
      </w:r>
      <w:r w:rsidRPr="008F28F2">
        <w:rPr>
          <w:rFonts w:ascii="Arial" w:eastAsiaTheme="minorHAnsi" w:hAnsi="Arial" w:cs="Arial"/>
          <w:color w:val="000000" w:themeColor="text1"/>
          <w:sz w:val="20"/>
          <w:vertAlign w:val="superscript"/>
          <w:lang w:val="it-IT"/>
        </w:rPr>
        <w:t>7</w:t>
      </w:r>
      <w:r w:rsidRPr="008F28F2">
        <w:rPr>
          <w:rFonts w:ascii="Arial" w:eastAsiaTheme="minorHAnsi" w:hAnsi="Arial" w:cs="Arial"/>
          <w:color w:val="000000" w:themeColor="text1"/>
          <w:sz w:val="20"/>
          <w:lang w:val="it-IT"/>
        </w:rPr>
        <w:t xml:space="preserve">, </w:t>
      </w:r>
      <w:proofErr w:type="spellStart"/>
      <w:r w:rsidRPr="008F28F2">
        <w:rPr>
          <w:rFonts w:ascii="Arial" w:eastAsiaTheme="minorHAnsi" w:hAnsi="Arial" w:cs="Arial"/>
          <w:color w:val="000000" w:themeColor="text1"/>
          <w:sz w:val="20"/>
          <w:lang w:val="it-IT"/>
        </w:rPr>
        <w:t>Yihua</w:t>
      </w:r>
      <w:proofErr w:type="spellEnd"/>
      <w:r w:rsidRPr="008F28F2">
        <w:rPr>
          <w:rFonts w:ascii="Arial" w:eastAsiaTheme="minorHAnsi" w:hAnsi="Arial" w:cs="Arial"/>
          <w:color w:val="000000" w:themeColor="text1"/>
          <w:sz w:val="20"/>
          <w:lang w:val="it-IT"/>
        </w:rPr>
        <w:t xml:space="preserve"> Ma</w:t>
      </w:r>
      <w:r w:rsidRPr="008F28F2">
        <w:rPr>
          <w:rFonts w:ascii="Arial" w:eastAsiaTheme="minorHAnsi" w:hAnsi="Arial" w:cs="Arial"/>
          <w:color w:val="000000" w:themeColor="text1"/>
          <w:sz w:val="20"/>
          <w:vertAlign w:val="superscript"/>
          <w:lang w:val="it-IT"/>
        </w:rPr>
        <w:t>2</w:t>
      </w:r>
      <w:r w:rsidRPr="008F28F2">
        <w:rPr>
          <w:rFonts w:ascii="Arial" w:eastAsiaTheme="minorHAnsi" w:hAnsi="Arial" w:cs="Arial"/>
          <w:color w:val="000000" w:themeColor="text1"/>
          <w:sz w:val="20"/>
          <w:lang w:val="it-IT"/>
        </w:rPr>
        <w:t>, Carly M. Farris</w:t>
      </w:r>
      <w:r w:rsidRPr="008F28F2">
        <w:rPr>
          <w:rFonts w:ascii="Arial" w:eastAsiaTheme="minorHAnsi" w:hAnsi="Arial" w:cs="Arial"/>
          <w:color w:val="000000" w:themeColor="text1"/>
          <w:sz w:val="20"/>
          <w:vertAlign w:val="superscript"/>
          <w:lang w:val="it-IT"/>
        </w:rPr>
        <w:t>2</w:t>
      </w:r>
      <w:r w:rsidRPr="008F28F2">
        <w:rPr>
          <w:rFonts w:ascii="Arial" w:eastAsiaTheme="minorHAnsi" w:hAnsi="Arial" w:cs="Arial"/>
          <w:color w:val="000000" w:themeColor="text1"/>
          <w:sz w:val="20"/>
          <w:lang w:val="it-IT"/>
        </w:rPr>
        <w:t>, Giuseppe Pieraccini</w:t>
      </w:r>
      <w:r w:rsidRPr="008F28F2">
        <w:rPr>
          <w:rFonts w:ascii="Arial" w:eastAsiaTheme="minorHAnsi" w:hAnsi="Arial" w:cs="Arial"/>
          <w:color w:val="000000" w:themeColor="text1"/>
          <w:sz w:val="20"/>
          <w:vertAlign w:val="superscript"/>
          <w:lang w:val="it-IT"/>
        </w:rPr>
        <w:t>8</w:t>
      </w:r>
      <w:r w:rsidRPr="008F28F2">
        <w:rPr>
          <w:rFonts w:ascii="Arial" w:eastAsiaTheme="minorHAnsi" w:hAnsi="Arial" w:cs="Arial"/>
          <w:color w:val="000000" w:themeColor="text1"/>
          <w:sz w:val="20"/>
          <w:lang w:val="it-IT"/>
        </w:rPr>
        <w:t>, Sara Bologna</w:t>
      </w:r>
      <w:r w:rsidRPr="008F28F2">
        <w:rPr>
          <w:rFonts w:ascii="Arial" w:eastAsiaTheme="minorHAnsi" w:hAnsi="Arial" w:cs="Arial"/>
          <w:color w:val="000000" w:themeColor="text1"/>
          <w:sz w:val="20"/>
          <w:vertAlign w:val="superscript"/>
          <w:lang w:val="it-IT"/>
        </w:rPr>
        <w:t>3</w:t>
      </w:r>
      <w:r w:rsidRPr="008F28F2">
        <w:rPr>
          <w:rFonts w:ascii="Arial" w:eastAsiaTheme="minorHAnsi" w:hAnsi="Arial" w:cs="Arial"/>
          <w:color w:val="000000" w:themeColor="text1"/>
          <w:sz w:val="20"/>
          <w:lang w:val="it-IT"/>
        </w:rPr>
        <w:t>, Marta Filidei</w:t>
      </w:r>
      <w:r w:rsidRPr="008F28F2">
        <w:rPr>
          <w:rFonts w:ascii="Arial" w:eastAsiaTheme="minorHAnsi" w:hAnsi="Arial" w:cs="Arial"/>
          <w:color w:val="000000" w:themeColor="text1"/>
          <w:sz w:val="20"/>
          <w:vertAlign w:val="superscript"/>
          <w:lang w:val="it-IT"/>
        </w:rPr>
        <w:t>1</w:t>
      </w:r>
      <w:r w:rsidRPr="008F28F2">
        <w:rPr>
          <w:rFonts w:ascii="Arial" w:eastAsiaTheme="minorHAnsi" w:hAnsi="Arial" w:cs="Arial"/>
          <w:color w:val="000000" w:themeColor="text1"/>
          <w:sz w:val="20"/>
          <w:lang w:val="it-IT"/>
        </w:rPr>
        <w:t>, Enrico Ravera</w:t>
      </w:r>
      <w:r w:rsidRPr="008F28F2">
        <w:rPr>
          <w:rFonts w:ascii="Arial" w:eastAsiaTheme="minorHAnsi" w:hAnsi="Arial" w:cs="Arial"/>
          <w:color w:val="000000" w:themeColor="text1"/>
          <w:sz w:val="20"/>
          <w:vertAlign w:val="superscript"/>
          <w:lang w:val="it-IT"/>
        </w:rPr>
        <w:t>3,4,6</w:t>
      </w:r>
      <w:r w:rsidRPr="008F28F2">
        <w:rPr>
          <w:rFonts w:ascii="Arial" w:eastAsiaTheme="minorHAnsi" w:hAnsi="Arial" w:cs="Arial"/>
          <w:color w:val="000000" w:themeColor="text1"/>
          <w:sz w:val="20"/>
          <w:lang w:val="it-IT"/>
        </w:rPr>
        <w:t>, Moreno Lelli</w:t>
      </w:r>
      <w:r w:rsidRPr="008F28F2">
        <w:rPr>
          <w:rFonts w:ascii="Arial" w:eastAsiaTheme="minorHAnsi" w:hAnsi="Arial" w:cs="Arial"/>
          <w:color w:val="000000" w:themeColor="text1"/>
          <w:sz w:val="20"/>
          <w:vertAlign w:val="superscript"/>
          <w:lang w:val="it-IT"/>
        </w:rPr>
        <w:t>3,4,6</w:t>
      </w:r>
      <w:r w:rsidRPr="008F28F2">
        <w:rPr>
          <w:rFonts w:ascii="Arial" w:eastAsiaTheme="minorHAnsi" w:hAnsi="Arial" w:cs="Arial"/>
          <w:color w:val="000000" w:themeColor="text1"/>
          <w:sz w:val="20"/>
          <w:lang w:val="it-IT"/>
        </w:rPr>
        <w:t>, Fabio Moda</w:t>
      </w:r>
      <w:r w:rsidRPr="008F28F2">
        <w:rPr>
          <w:rFonts w:ascii="Arial" w:eastAsiaTheme="minorHAnsi" w:hAnsi="Arial" w:cs="Arial"/>
          <w:color w:val="000000" w:themeColor="text1"/>
          <w:sz w:val="20"/>
          <w:vertAlign w:val="superscript"/>
          <w:lang w:val="it-IT"/>
        </w:rPr>
        <w:t>7</w:t>
      </w:r>
      <w:r w:rsidRPr="008F28F2">
        <w:rPr>
          <w:rFonts w:ascii="Arial" w:eastAsiaTheme="minorHAnsi" w:hAnsi="Arial" w:cs="Arial"/>
          <w:color w:val="000000" w:themeColor="text1"/>
          <w:sz w:val="20"/>
          <w:lang w:val="it-IT"/>
        </w:rPr>
        <w:t>, Marco Fragai</w:t>
      </w:r>
      <w:r w:rsidRPr="008F28F2">
        <w:rPr>
          <w:rFonts w:ascii="Arial" w:eastAsiaTheme="minorHAnsi" w:hAnsi="Arial" w:cs="Arial"/>
          <w:color w:val="000000" w:themeColor="text1"/>
          <w:sz w:val="20"/>
          <w:vertAlign w:val="superscript"/>
          <w:lang w:val="it-IT"/>
        </w:rPr>
        <w:t>3,4,6</w:t>
      </w:r>
      <w:r w:rsidRPr="008F28F2">
        <w:rPr>
          <w:rFonts w:ascii="Arial" w:eastAsiaTheme="minorHAnsi" w:hAnsi="Arial" w:cs="Arial"/>
          <w:color w:val="000000" w:themeColor="text1"/>
          <w:sz w:val="20"/>
          <w:lang w:val="it-IT"/>
        </w:rPr>
        <w:t>, Lucilla Parnetti</w:t>
      </w:r>
      <w:r w:rsidRPr="008F28F2">
        <w:rPr>
          <w:rFonts w:ascii="Arial" w:eastAsiaTheme="minorHAnsi" w:hAnsi="Arial" w:cs="Arial"/>
          <w:color w:val="000000" w:themeColor="text1"/>
          <w:sz w:val="20"/>
          <w:vertAlign w:val="superscript"/>
          <w:lang w:val="it-IT"/>
        </w:rPr>
        <w:t>1</w:t>
      </w:r>
      <w:r w:rsidRPr="008F28F2">
        <w:rPr>
          <w:rFonts w:ascii="Arial" w:eastAsiaTheme="minorHAnsi" w:hAnsi="Arial" w:cs="Arial"/>
          <w:color w:val="000000" w:themeColor="text1"/>
          <w:sz w:val="20"/>
          <w:lang w:val="it-IT"/>
        </w:rPr>
        <w:t xml:space="preserve"> and Claudio Luchinat</w:t>
      </w:r>
      <w:r w:rsidRPr="008F28F2">
        <w:rPr>
          <w:rFonts w:ascii="Arial" w:eastAsiaTheme="minorHAnsi" w:hAnsi="Arial" w:cs="Arial"/>
          <w:color w:val="000000" w:themeColor="text1"/>
          <w:sz w:val="20"/>
          <w:vertAlign w:val="superscript"/>
          <w:lang w:val="it-IT"/>
        </w:rPr>
        <w:t>3,4,6*</w:t>
      </w:r>
      <w:r w:rsidRPr="008F28F2">
        <w:rPr>
          <w:rFonts w:ascii="Arial" w:eastAsiaTheme="minorHAnsi" w:hAnsi="Arial" w:cs="Arial"/>
          <w:color w:val="000000" w:themeColor="text1"/>
          <w:sz w:val="20"/>
          <w:lang w:val="it-IT"/>
        </w:rPr>
        <w:t>.</w:t>
      </w:r>
    </w:p>
    <w:p w14:paraId="72D9896B" w14:textId="77777777" w:rsidR="000A7924" w:rsidRPr="008F28F2" w:rsidRDefault="000A7924" w:rsidP="000A7924">
      <w:pPr>
        <w:spacing w:after="200"/>
        <w:contextualSpacing/>
        <w:jc w:val="both"/>
        <w:rPr>
          <w:rFonts w:ascii="Arial" w:eastAsiaTheme="minorHAnsi" w:hAnsi="Arial" w:cs="Arial"/>
          <w:color w:val="000000" w:themeColor="text1"/>
          <w:sz w:val="20"/>
          <w:lang w:val="en-GB"/>
        </w:rPr>
      </w:pPr>
      <w:r w:rsidRPr="008F28F2">
        <w:rPr>
          <w:rFonts w:ascii="Arial" w:eastAsiaTheme="minorHAnsi" w:hAnsi="Arial" w:cs="Arial"/>
          <w:color w:val="000000" w:themeColor="text1"/>
          <w:sz w:val="20"/>
          <w:vertAlign w:val="superscript"/>
          <w:lang w:val="en-GB"/>
        </w:rPr>
        <w:t>1</w:t>
      </w:r>
      <w:r w:rsidRPr="008F28F2">
        <w:rPr>
          <w:rFonts w:ascii="Arial" w:eastAsiaTheme="minorHAnsi" w:hAnsi="Arial" w:cs="Arial"/>
          <w:color w:val="000000" w:themeColor="text1"/>
          <w:sz w:val="20"/>
          <w:lang w:val="en-GB"/>
        </w:rPr>
        <w:t>Laboratory of Clinical Neurochemistry, Section of Neurology, Department of Medicine and Surgery, University of Perugia; Piazzale Lucio Severi 1/8, Perugia, 06132, Italy.</w:t>
      </w:r>
    </w:p>
    <w:p w14:paraId="1E79C995" w14:textId="77777777" w:rsidR="000A7924" w:rsidRPr="008F28F2" w:rsidRDefault="000A7924" w:rsidP="000A7924">
      <w:pPr>
        <w:spacing w:after="200"/>
        <w:contextualSpacing/>
        <w:jc w:val="both"/>
        <w:rPr>
          <w:rFonts w:ascii="Arial" w:eastAsiaTheme="minorHAnsi" w:hAnsi="Arial" w:cs="Arial"/>
          <w:color w:val="000000" w:themeColor="text1"/>
          <w:sz w:val="20"/>
          <w:lang w:val="it-IT"/>
        </w:rPr>
      </w:pPr>
      <w:r w:rsidRPr="008F28F2">
        <w:rPr>
          <w:rFonts w:ascii="Arial" w:eastAsiaTheme="minorHAnsi" w:hAnsi="Arial" w:cs="Arial"/>
          <w:color w:val="000000" w:themeColor="text1"/>
          <w:sz w:val="20"/>
          <w:vertAlign w:val="superscript"/>
          <w:lang w:val="it-IT"/>
        </w:rPr>
        <w:t>2</w:t>
      </w:r>
      <w:r w:rsidRPr="008F28F2">
        <w:rPr>
          <w:rFonts w:ascii="Arial" w:eastAsiaTheme="minorHAnsi" w:hAnsi="Arial" w:cs="Arial"/>
          <w:color w:val="000000" w:themeColor="text1"/>
          <w:sz w:val="20"/>
          <w:lang w:val="it-IT"/>
        </w:rPr>
        <w:t xml:space="preserve">R&amp;D Unit, Amprion Inc., 11095 </w:t>
      </w:r>
      <w:proofErr w:type="spellStart"/>
      <w:r w:rsidRPr="008F28F2">
        <w:rPr>
          <w:rFonts w:ascii="Arial" w:eastAsiaTheme="minorHAnsi" w:hAnsi="Arial" w:cs="Arial"/>
          <w:color w:val="000000" w:themeColor="text1"/>
          <w:sz w:val="20"/>
          <w:lang w:val="it-IT"/>
        </w:rPr>
        <w:t>Flintkote</w:t>
      </w:r>
      <w:proofErr w:type="spellEnd"/>
      <w:r w:rsidRPr="008F28F2">
        <w:rPr>
          <w:rFonts w:ascii="Arial" w:eastAsiaTheme="minorHAnsi" w:hAnsi="Arial" w:cs="Arial"/>
          <w:color w:val="000000" w:themeColor="text1"/>
          <w:sz w:val="20"/>
          <w:lang w:val="it-IT"/>
        </w:rPr>
        <w:t xml:space="preserve"> </w:t>
      </w:r>
      <w:proofErr w:type="spellStart"/>
      <w:r w:rsidRPr="008F28F2">
        <w:rPr>
          <w:rFonts w:ascii="Arial" w:eastAsiaTheme="minorHAnsi" w:hAnsi="Arial" w:cs="Arial"/>
          <w:color w:val="000000" w:themeColor="text1"/>
          <w:sz w:val="20"/>
          <w:lang w:val="it-IT"/>
        </w:rPr>
        <w:t>Av</w:t>
      </w:r>
      <w:proofErr w:type="spellEnd"/>
      <w:r w:rsidRPr="008F28F2">
        <w:rPr>
          <w:rFonts w:ascii="Arial" w:eastAsiaTheme="minorHAnsi" w:hAnsi="Arial" w:cs="Arial"/>
          <w:color w:val="000000" w:themeColor="text1"/>
          <w:sz w:val="20"/>
          <w:lang w:val="it-IT"/>
        </w:rPr>
        <w:t>., San Diego, San Diego, 92121, CA, USA</w:t>
      </w:r>
    </w:p>
    <w:p w14:paraId="41370869" w14:textId="77777777" w:rsidR="000A7924" w:rsidRPr="008F28F2" w:rsidRDefault="000A7924" w:rsidP="000A7924">
      <w:pPr>
        <w:spacing w:after="200"/>
        <w:contextualSpacing/>
        <w:jc w:val="both"/>
        <w:rPr>
          <w:rFonts w:ascii="Arial" w:eastAsiaTheme="minorHAnsi" w:hAnsi="Arial" w:cs="Arial"/>
          <w:color w:val="000000" w:themeColor="text1"/>
          <w:sz w:val="20"/>
          <w:lang w:val="it-IT"/>
        </w:rPr>
      </w:pPr>
      <w:r w:rsidRPr="008F28F2">
        <w:rPr>
          <w:rFonts w:ascii="Arial" w:eastAsiaTheme="minorHAnsi" w:hAnsi="Arial" w:cs="Arial"/>
          <w:color w:val="000000" w:themeColor="text1"/>
          <w:sz w:val="20"/>
          <w:vertAlign w:val="superscript"/>
          <w:lang w:val="it-IT"/>
        </w:rPr>
        <w:t>3</w:t>
      </w:r>
      <w:r w:rsidRPr="008F28F2">
        <w:rPr>
          <w:rFonts w:ascii="Arial" w:eastAsiaTheme="minorHAnsi" w:hAnsi="Arial" w:cs="Arial"/>
          <w:color w:val="000000" w:themeColor="text1"/>
          <w:sz w:val="20"/>
          <w:lang w:val="it-IT"/>
        </w:rPr>
        <w:t xml:space="preserve">Magnetic </w:t>
      </w:r>
      <w:proofErr w:type="spellStart"/>
      <w:r w:rsidRPr="008F28F2">
        <w:rPr>
          <w:rFonts w:ascii="Arial" w:eastAsiaTheme="minorHAnsi" w:hAnsi="Arial" w:cs="Arial"/>
          <w:color w:val="000000" w:themeColor="text1"/>
          <w:sz w:val="20"/>
          <w:lang w:val="it-IT"/>
        </w:rPr>
        <w:t>Resonance</w:t>
      </w:r>
      <w:proofErr w:type="spellEnd"/>
      <w:r w:rsidRPr="008F28F2">
        <w:rPr>
          <w:rFonts w:ascii="Arial" w:eastAsiaTheme="minorHAnsi" w:hAnsi="Arial" w:cs="Arial"/>
          <w:color w:val="000000" w:themeColor="text1"/>
          <w:sz w:val="20"/>
          <w:lang w:val="it-IT"/>
        </w:rPr>
        <w:t xml:space="preserve"> Center (CERM), University of Florence, Via Luigi Sacconi 6, Sesto Fiorentino, 50019, </w:t>
      </w:r>
      <w:proofErr w:type="spellStart"/>
      <w:r w:rsidRPr="008F28F2">
        <w:rPr>
          <w:rFonts w:ascii="Arial" w:eastAsiaTheme="minorHAnsi" w:hAnsi="Arial" w:cs="Arial"/>
          <w:color w:val="000000" w:themeColor="text1"/>
          <w:sz w:val="20"/>
          <w:lang w:val="it-IT"/>
        </w:rPr>
        <w:t>Italy</w:t>
      </w:r>
      <w:proofErr w:type="spellEnd"/>
      <w:r w:rsidRPr="008F28F2">
        <w:rPr>
          <w:rFonts w:ascii="Arial" w:eastAsiaTheme="minorHAnsi" w:hAnsi="Arial" w:cs="Arial"/>
          <w:color w:val="000000" w:themeColor="text1"/>
          <w:sz w:val="20"/>
          <w:lang w:val="it-IT"/>
        </w:rPr>
        <w:t>.</w:t>
      </w:r>
    </w:p>
    <w:p w14:paraId="774A6F38" w14:textId="77777777" w:rsidR="000A7924" w:rsidRPr="008F28F2" w:rsidRDefault="000A7924" w:rsidP="000A7924">
      <w:pPr>
        <w:spacing w:after="200"/>
        <w:contextualSpacing/>
        <w:jc w:val="both"/>
        <w:rPr>
          <w:rFonts w:ascii="Arial" w:eastAsiaTheme="minorHAnsi" w:hAnsi="Arial" w:cs="Arial"/>
          <w:color w:val="000000" w:themeColor="text1"/>
          <w:sz w:val="20"/>
          <w:lang w:val="en-GB"/>
        </w:rPr>
      </w:pPr>
      <w:r w:rsidRPr="008F28F2">
        <w:rPr>
          <w:rFonts w:ascii="Arial" w:eastAsiaTheme="minorHAnsi" w:hAnsi="Arial" w:cs="Arial"/>
          <w:color w:val="000000" w:themeColor="text1"/>
          <w:sz w:val="20"/>
          <w:vertAlign w:val="superscript"/>
          <w:lang w:val="en-GB"/>
        </w:rPr>
        <w:t>4</w:t>
      </w:r>
      <w:r w:rsidRPr="008F28F2">
        <w:rPr>
          <w:rFonts w:ascii="Arial" w:eastAsiaTheme="minorHAnsi" w:hAnsi="Arial" w:cs="Arial"/>
          <w:color w:val="000000" w:themeColor="text1"/>
          <w:sz w:val="20"/>
          <w:lang w:val="en-GB"/>
        </w:rPr>
        <w:t xml:space="preserve">Department of Chemistry “Ugo Schiff”, University of Florence, Via </w:t>
      </w:r>
      <w:proofErr w:type="spellStart"/>
      <w:r w:rsidRPr="008F28F2">
        <w:rPr>
          <w:rFonts w:ascii="Arial" w:eastAsiaTheme="minorHAnsi" w:hAnsi="Arial" w:cs="Arial"/>
          <w:color w:val="000000" w:themeColor="text1"/>
          <w:sz w:val="20"/>
          <w:lang w:val="en-GB"/>
        </w:rPr>
        <w:t>della</w:t>
      </w:r>
      <w:proofErr w:type="spellEnd"/>
      <w:r w:rsidRPr="008F28F2">
        <w:rPr>
          <w:rFonts w:ascii="Arial" w:eastAsiaTheme="minorHAnsi" w:hAnsi="Arial" w:cs="Arial"/>
          <w:color w:val="000000" w:themeColor="text1"/>
          <w:sz w:val="20"/>
          <w:lang w:val="en-GB"/>
        </w:rPr>
        <w:t xml:space="preserve"> </w:t>
      </w:r>
      <w:proofErr w:type="spellStart"/>
      <w:r w:rsidRPr="008F28F2">
        <w:rPr>
          <w:rFonts w:ascii="Arial" w:eastAsiaTheme="minorHAnsi" w:hAnsi="Arial" w:cs="Arial"/>
          <w:color w:val="000000" w:themeColor="text1"/>
          <w:sz w:val="20"/>
          <w:lang w:val="en-GB"/>
        </w:rPr>
        <w:t>Lastruccia</w:t>
      </w:r>
      <w:proofErr w:type="spellEnd"/>
      <w:r w:rsidRPr="008F28F2">
        <w:rPr>
          <w:rFonts w:ascii="Arial" w:eastAsiaTheme="minorHAnsi" w:hAnsi="Arial" w:cs="Arial"/>
          <w:color w:val="000000" w:themeColor="text1"/>
          <w:sz w:val="20"/>
          <w:lang w:val="en-GB"/>
        </w:rPr>
        <w:t xml:space="preserve"> 3, Sesto </w:t>
      </w:r>
      <w:proofErr w:type="spellStart"/>
      <w:r w:rsidRPr="008F28F2">
        <w:rPr>
          <w:rFonts w:ascii="Arial" w:eastAsiaTheme="minorHAnsi" w:hAnsi="Arial" w:cs="Arial"/>
          <w:color w:val="000000" w:themeColor="text1"/>
          <w:sz w:val="20"/>
          <w:lang w:val="en-GB"/>
        </w:rPr>
        <w:t>Fiorentino</w:t>
      </w:r>
      <w:proofErr w:type="spellEnd"/>
      <w:r w:rsidRPr="008F28F2">
        <w:rPr>
          <w:rFonts w:ascii="Arial" w:eastAsiaTheme="minorHAnsi" w:hAnsi="Arial" w:cs="Arial"/>
          <w:color w:val="000000" w:themeColor="text1"/>
          <w:sz w:val="20"/>
          <w:lang w:val="en-GB"/>
        </w:rPr>
        <w:t>, 50019, Italy.</w:t>
      </w:r>
    </w:p>
    <w:p w14:paraId="7D99B7B1" w14:textId="77777777" w:rsidR="000A7924" w:rsidRPr="008F28F2" w:rsidRDefault="000A7924" w:rsidP="000A7924">
      <w:pPr>
        <w:spacing w:after="200"/>
        <w:contextualSpacing/>
        <w:jc w:val="both"/>
        <w:rPr>
          <w:rFonts w:ascii="Arial" w:eastAsiaTheme="minorHAnsi" w:hAnsi="Arial" w:cs="Arial"/>
          <w:color w:val="000000" w:themeColor="text1"/>
          <w:sz w:val="20"/>
          <w:lang w:val="en-GB"/>
        </w:rPr>
      </w:pPr>
      <w:r w:rsidRPr="008F28F2">
        <w:rPr>
          <w:rFonts w:ascii="Arial" w:eastAsiaTheme="minorHAnsi" w:hAnsi="Arial" w:cs="Arial"/>
          <w:color w:val="000000" w:themeColor="text1"/>
          <w:sz w:val="20"/>
          <w:vertAlign w:val="superscript"/>
          <w:lang w:val="en-GB"/>
        </w:rPr>
        <w:t>5</w:t>
      </w:r>
      <w:r w:rsidRPr="008F28F2">
        <w:rPr>
          <w:rFonts w:ascii="Arial" w:eastAsiaTheme="minorHAnsi" w:hAnsi="Arial" w:cs="Arial"/>
          <w:color w:val="000000" w:themeColor="text1"/>
          <w:sz w:val="20"/>
          <w:lang w:val="en-GB"/>
        </w:rPr>
        <w:t>Section of Physiology and Biochemistry, Department of Medicine and Surgery, University of Perugia, Perugia, Piazzale Lucio Severi 1/8, Perugia, 06132, Italy.</w:t>
      </w:r>
    </w:p>
    <w:p w14:paraId="0D29075A" w14:textId="77777777" w:rsidR="000A7924" w:rsidRPr="008F28F2" w:rsidRDefault="000A7924" w:rsidP="000A7924">
      <w:pPr>
        <w:spacing w:after="200"/>
        <w:contextualSpacing/>
        <w:jc w:val="both"/>
        <w:rPr>
          <w:rFonts w:ascii="Arial" w:eastAsiaTheme="minorHAnsi" w:hAnsi="Arial" w:cs="Arial"/>
          <w:color w:val="000000" w:themeColor="text1"/>
          <w:sz w:val="20"/>
          <w:lang w:val="it-IT"/>
        </w:rPr>
      </w:pPr>
      <w:r w:rsidRPr="008F28F2">
        <w:rPr>
          <w:rFonts w:ascii="Arial" w:eastAsiaTheme="minorHAnsi" w:hAnsi="Arial" w:cs="Arial"/>
          <w:color w:val="000000" w:themeColor="text1"/>
          <w:sz w:val="20"/>
          <w:vertAlign w:val="superscript"/>
          <w:lang w:val="it-IT"/>
        </w:rPr>
        <w:t>6</w:t>
      </w:r>
      <w:r w:rsidRPr="008F28F2">
        <w:rPr>
          <w:rFonts w:ascii="Arial" w:eastAsiaTheme="minorHAnsi" w:hAnsi="Arial" w:cs="Arial"/>
          <w:color w:val="000000" w:themeColor="text1"/>
          <w:sz w:val="20"/>
          <w:lang w:val="it-IT"/>
        </w:rPr>
        <w:t xml:space="preserve">Consorzio Interuniversitario Risonanze Magnetiche Metallo Proteine (CIRMMP), Via Luigi Sacconi 6, Sesto Fiorentino, 50019, </w:t>
      </w:r>
      <w:proofErr w:type="spellStart"/>
      <w:r w:rsidRPr="008F28F2">
        <w:rPr>
          <w:rFonts w:ascii="Arial" w:eastAsiaTheme="minorHAnsi" w:hAnsi="Arial" w:cs="Arial"/>
          <w:color w:val="000000" w:themeColor="text1"/>
          <w:sz w:val="20"/>
          <w:lang w:val="it-IT"/>
        </w:rPr>
        <w:t>Italy</w:t>
      </w:r>
      <w:proofErr w:type="spellEnd"/>
      <w:r w:rsidRPr="008F28F2">
        <w:rPr>
          <w:rFonts w:ascii="Arial" w:eastAsiaTheme="minorHAnsi" w:hAnsi="Arial" w:cs="Arial"/>
          <w:color w:val="000000" w:themeColor="text1"/>
          <w:sz w:val="20"/>
          <w:lang w:val="it-IT"/>
        </w:rPr>
        <w:t>.</w:t>
      </w:r>
    </w:p>
    <w:p w14:paraId="7A0BB985" w14:textId="77777777" w:rsidR="000A7924" w:rsidRPr="008F28F2" w:rsidRDefault="000A7924" w:rsidP="000A7924">
      <w:pPr>
        <w:spacing w:after="200"/>
        <w:contextualSpacing/>
        <w:jc w:val="both"/>
        <w:rPr>
          <w:rFonts w:ascii="Arial" w:eastAsiaTheme="minorHAnsi" w:hAnsi="Arial" w:cs="Arial"/>
          <w:color w:val="000000" w:themeColor="text1"/>
          <w:sz w:val="20"/>
          <w:lang w:val="it-IT"/>
        </w:rPr>
      </w:pPr>
      <w:r w:rsidRPr="008F28F2">
        <w:rPr>
          <w:rFonts w:ascii="Arial" w:eastAsiaTheme="minorHAnsi" w:hAnsi="Arial" w:cs="Arial"/>
          <w:color w:val="000000" w:themeColor="text1"/>
          <w:sz w:val="20"/>
          <w:vertAlign w:val="superscript"/>
          <w:lang w:val="it-IT"/>
        </w:rPr>
        <w:t>7</w:t>
      </w:r>
      <w:r w:rsidRPr="008F28F2">
        <w:rPr>
          <w:rFonts w:ascii="Arial" w:eastAsiaTheme="minorHAnsi" w:hAnsi="Arial" w:cs="Arial"/>
          <w:color w:val="000000" w:themeColor="text1"/>
          <w:sz w:val="20"/>
          <w:lang w:val="it-IT"/>
        </w:rPr>
        <w:t xml:space="preserve">Fondazione IRCCS Istituto Neurologico Carlo Besta, </w:t>
      </w:r>
      <w:proofErr w:type="spellStart"/>
      <w:r w:rsidRPr="008F28F2">
        <w:rPr>
          <w:rFonts w:ascii="Arial" w:eastAsiaTheme="minorHAnsi" w:hAnsi="Arial" w:cs="Arial"/>
          <w:color w:val="000000" w:themeColor="text1"/>
          <w:sz w:val="20"/>
          <w:lang w:val="it-IT"/>
        </w:rPr>
        <w:t>Division</w:t>
      </w:r>
      <w:proofErr w:type="spellEnd"/>
      <w:r w:rsidRPr="008F28F2">
        <w:rPr>
          <w:rFonts w:ascii="Arial" w:eastAsiaTheme="minorHAnsi" w:hAnsi="Arial" w:cs="Arial"/>
          <w:color w:val="000000" w:themeColor="text1"/>
          <w:sz w:val="20"/>
          <w:lang w:val="it-IT"/>
        </w:rPr>
        <w:t xml:space="preserve"> of </w:t>
      </w:r>
      <w:proofErr w:type="spellStart"/>
      <w:r w:rsidRPr="008F28F2">
        <w:rPr>
          <w:rFonts w:ascii="Arial" w:eastAsiaTheme="minorHAnsi" w:hAnsi="Arial" w:cs="Arial"/>
          <w:color w:val="000000" w:themeColor="text1"/>
          <w:sz w:val="20"/>
          <w:lang w:val="it-IT"/>
        </w:rPr>
        <w:t>Neurology</w:t>
      </w:r>
      <w:proofErr w:type="spellEnd"/>
      <w:r w:rsidRPr="008F28F2">
        <w:rPr>
          <w:rFonts w:ascii="Arial" w:eastAsiaTheme="minorHAnsi" w:hAnsi="Arial" w:cs="Arial"/>
          <w:color w:val="000000" w:themeColor="text1"/>
          <w:sz w:val="20"/>
          <w:lang w:val="it-IT"/>
        </w:rPr>
        <w:t xml:space="preserve"> 5 and </w:t>
      </w:r>
      <w:proofErr w:type="spellStart"/>
      <w:r w:rsidRPr="008F28F2">
        <w:rPr>
          <w:rFonts w:ascii="Arial" w:eastAsiaTheme="minorHAnsi" w:hAnsi="Arial" w:cs="Arial"/>
          <w:color w:val="000000" w:themeColor="text1"/>
          <w:sz w:val="20"/>
          <w:lang w:val="it-IT"/>
        </w:rPr>
        <w:t>Neuropathology</w:t>
      </w:r>
      <w:proofErr w:type="spellEnd"/>
      <w:r w:rsidRPr="008F28F2">
        <w:rPr>
          <w:rFonts w:ascii="Arial" w:eastAsiaTheme="minorHAnsi" w:hAnsi="Arial" w:cs="Arial"/>
          <w:color w:val="000000" w:themeColor="text1"/>
          <w:sz w:val="20"/>
          <w:lang w:val="it-IT"/>
        </w:rPr>
        <w:t xml:space="preserve">, Via Celoria 11, Milano, 20133, </w:t>
      </w:r>
      <w:proofErr w:type="spellStart"/>
      <w:r w:rsidRPr="008F28F2">
        <w:rPr>
          <w:rFonts w:ascii="Arial" w:eastAsiaTheme="minorHAnsi" w:hAnsi="Arial" w:cs="Arial"/>
          <w:color w:val="000000" w:themeColor="text1"/>
          <w:sz w:val="20"/>
          <w:lang w:val="it-IT"/>
        </w:rPr>
        <w:t>Italy</w:t>
      </w:r>
      <w:proofErr w:type="spellEnd"/>
      <w:r w:rsidRPr="008F28F2">
        <w:rPr>
          <w:rFonts w:ascii="Arial" w:eastAsiaTheme="minorHAnsi" w:hAnsi="Arial" w:cs="Arial"/>
          <w:color w:val="000000" w:themeColor="text1"/>
          <w:sz w:val="20"/>
          <w:lang w:val="it-IT"/>
        </w:rPr>
        <w:t>.</w:t>
      </w:r>
    </w:p>
    <w:p w14:paraId="2ED91B81" w14:textId="77777777" w:rsidR="000A7924" w:rsidRPr="008F28F2" w:rsidRDefault="000A7924" w:rsidP="000A7924">
      <w:pPr>
        <w:spacing w:after="200"/>
        <w:contextualSpacing/>
        <w:jc w:val="both"/>
        <w:rPr>
          <w:rFonts w:ascii="Arial" w:eastAsiaTheme="minorHAnsi" w:hAnsi="Arial" w:cs="Arial"/>
          <w:color w:val="000000" w:themeColor="text1"/>
          <w:sz w:val="20"/>
          <w:lang w:val="en-GB"/>
        </w:rPr>
      </w:pPr>
      <w:r w:rsidRPr="008F28F2">
        <w:rPr>
          <w:rFonts w:ascii="Arial" w:eastAsiaTheme="minorHAnsi" w:hAnsi="Arial" w:cs="Arial"/>
          <w:color w:val="000000" w:themeColor="text1"/>
          <w:sz w:val="20"/>
          <w:vertAlign w:val="superscript"/>
          <w:lang w:val="en-GB"/>
        </w:rPr>
        <w:t>8</w:t>
      </w:r>
      <w:r w:rsidRPr="008F28F2">
        <w:rPr>
          <w:rFonts w:ascii="Arial" w:eastAsiaTheme="minorHAnsi" w:hAnsi="Arial" w:cs="Arial"/>
          <w:color w:val="000000" w:themeColor="text1"/>
          <w:sz w:val="20"/>
          <w:lang w:val="en-GB"/>
        </w:rPr>
        <w:t xml:space="preserve">CISM Mass Spectrometry Centre, Department of Health Sciences, University of Florence, </w:t>
      </w:r>
      <w:proofErr w:type="spellStart"/>
      <w:r w:rsidRPr="008F28F2">
        <w:rPr>
          <w:rFonts w:ascii="Arial" w:eastAsiaTheme="minorHAnsi" w:hAnsi="Arial" w:cs="Arial"/>
          <w:color w:val="000000" w:themeColor="text1"/>
          <w:sz w:val="20"/>
          <w:lang w:val="en-GB"/>
        </w:rPr>
        <w:t>Viale</w:t>
      </w:r>
      <w:proofErr w:type="spellEnd"/>
      <w:r w:rsidRPr="008F28F2">
        <w:rPr>
          <w:rFonts w:ascii="Arial" w:eastAsiaTheme="minorHAnsi" w:hAnsi="Arial" w:cs="Arial"/>
          <w:color w:val="000000" w:themeColor="text1"/>
          <w:sz w:val="20"/>
          <w:lang w:val="en-GB"/>
        </w:rPr>
        <w:t xml:space="preserve"> Gaetano </w:t>
      </w:r>
      <w:proofErr w:type="spellStart"/>
      <w:r w:rsidRPr="008F28F2">
        <w:rPr>
          <w:rFonts w:ascii="Arial" w:eastAsiaTheme="minorHAnsi" w:hAnsi="Arial" w:cs="Arial"/>
          <w:color w:val="000000" w:themeColor="text1"/>
          <w:sz w:val="20"/>
          <w:lang w:val="en-GB"/>
        </w:rPr>
        <w:t>Pieraccini</w:t>
      </w:r>
      <w:proofErr w:type="spellEnd"/>
      <w:r w:rsidRPr="008F28F2">
        <w:rPr>
          <w:rFonts w:ascii="Arial" w:eastAsiaTheme="minorHAnsi" w:hAnsi="Arial" w:cs="Arial"/>
          <w:color w:val="000000" w:themeColor="text1"/>
          <w:sz w:val="20"/>
          <w:lang w:val="en-GB"/>
        </w:rPr>
        <w:t xml:space="preserve"> 6, Firenze, 50139 Italy.</w:t>
      </w:r>
    </w:p>
    <w:p w14:paraId="392B17C8" w14:textId="77777777" w:rsidR="001B39D0" w:rsidRPr="008F28F2" w:rsidRDefault="001B39D0" w:rsidP="001B39D0">
      <w:pPr>
        <w:spacing w:after="200" w:line="276" w:lineRule="auto"/>
        <w:contextualSpacing/>
        <w:rPr>
          <w:rFonts w:ascii="Arial" w:eastAsiaTheme="minorHAnsi" w:hAnsi="Arial" w:cs="Arial"/>
          <w:sz w:val="20"/>
        </w:rPr>
      </w:pPr>
      <w:bookmarkStart w:id="2" w:name="_Hlk81316163"/>
      <w:bookmarkEnd w:id="0"/>
    </w:p>
    <w:p w14:paraId="453C1931" w14:textId="77777777" w:rsidR="001B39D0" w:rsidRPr="008F28F2" w:rsidRDefault="001B39D0" w:rsidP="001B39D0">
      <w:pPr>
        <w:spacing w:after="200" w:line="276" w:lineRule="auto"/>
        <w:contextualSpacing/>
        <w:rPr>
          <w:rFonts w:ascii="Arial" w:eastAsiaTheme="minorHAnsi" w:hAnsi="Arial" w:cs="Arial"/>
          <w:sz w:val="20"/>
        </w:rPr>
      </w:pPr>
      <w:r w:rsidRPr="008F28F2">
        <w:rPr>
          <w:rFonts w:ascii="Arial" w:eastAsiaTheme="minorHAnsi" w:hAnsi="Arial" w:cs="Arial"/>
          <w:sz w:val="20"/>
        </w:rPr>
        <w:t>*To whom correspondence may be addressed</w:t>
      </w:r>
    </w:p>
    <w:p w14:paraId="2D9F35DB" w14:textId="77777777" w:rsidR="001B39D0" w:rsidRPr="008F28F2" w:rsidRDefault="001B39D0" w:rsidP="001B39D0">
      <w:pPr>
        <w:spacing w:after="200" w:line="276" w:lineRule="auto"/>
        <w:rPr>
          <w:rFonts w:ascii="Arial" w:eastAsiaTheme="minorHAnsi" w:hAnsi="Arial" w:cs="Arial"/>
          <w:sz w:val="20"/>
        </w:rPr>
      </w:pPr>
      <w:r w:rsidRPr="008F28F2">
        <w:rPr>
          <w:rFonts w:ascii="Arial" w:eastAsiaTheme="minorHAnsi" w:hAnsi="Arial" w:cs="Arial"/>
          <w:b/>
          <w:sz w:val="20"/>
        </w:rPr>
        <w:t xml:space="preserve">Email: </w:t>
      </w:r>
      <w:r w:rsidRPr="008F28F2">
        <w:rPr>
          <w:rFonts w:ascii="Arial" w:eastAsiaTheme="minorHAnsi" w:hAnsi="Arial" w:cs="Arial"/>
          <w:sz w:val="20"/>
        </w:rPr>
        <w:t xml:space="preserve"> </w:t>
      </w:r>
      <w:hyperlink r:id="rId8" w:history="1">
        <w:r w:rsidRPr="008F28F2">
          <w:rPr>
            <w:rFonts w:ascii="Arial" w:eastAsiaTheme="minorHAnsi" w:hAnsi="Arial" w:cs="Arial"/>
            <w:sz w:val="20"/>
          </w:rPr>
          <w:t>giovanni.bellomo@unipg.it</w:t>
        </w:r>
      </w:hyperlink>
      <w:r w:rsidRPr="008F28F2">
        <w:rPr>
          <w:rFonts w:ascii="Arial" w:eastAsiaTheme="minorHAnsi" w:hAnsi="Arial" w:cs="Arial"/>
          <w:sz w:val="20"/>
        </w:rPr>
        <w:t xml:space="preserve">, </w:t>
      </w:r>
      <w:hyperlink r:id="rId9" w:history="1">
        <w:r w:rsidRPr="008F28F2">
          <w:rPr>
            <w:rFonts w:ascii="Arial" w:eastAsiaTheme="minorHAnsi" w:hAnsi="Arial" w:cs="Arial"/>
            <w:sz w:val="20"/>
          </w:rPr>
          <w:t>luchinat@cerm.unifi.it</w:t>
        </w:r>
      </w:hyperlink>
      <w:r w:rsidRPr="008F28F2">
        <w:rPr>
          <w:rFonts w:ascii="Arial" w:eastAsiaTheme="minorHAnsi" w:hAnsi="Arial" w:cs="Arial"/>
          <w:sz w:val="20"/>
        </w:rPr>
        <w:t xml:space="preserve"> </w:t>
      </w:r>
    </w:p>
    <w:bookmarkEnd w:id="2"/>
    <w:p w14:paraId="4FE1F038" w14:textId="77777777" w:rsidR="001B39D0" w:rsidRPr="008F28F2" w:rsidRDefault="001B39D0" w:rsidP="001B39D0">
      <w:pPr>
        <w:rPr>
          <w:rFonts w:ascii="Arial" w:hAnsi="Arial" w:cs="Arial"/>
          <w:b/>
          <w:sz w:val="20"/>
        </w:rPr>
      </w:pPr>
      <w:r w:rsidRPr="008F28F2">
        <w:rPr>
          <w:rFonts w:ascii="Arial" w:hAnsi="Arial" w:cs="Arial"/>
          <w:b/>
          <w:sz w:val="20"/>
        </w:rPr>
        <w:t>This PDF file includes:</w:t>
      </w:r>
    </w:p>
    <w:p w14:paraId="29C97022" w14:textId="77777777" w:rsidR="001B39D0" w:rsidRPr="008F28F2" w:rsidRDefault="001B39D0" w:rsidP="001B39D0">
      <w:pPr>
        <w:rPr>
          <w:rFonts w:ascii="Arial" w:hAnsi="Arial" w:cs="Arial"/>
          <w:sz w:val="20"/>
        </w:rPr>
      </w:pPr>
    </w:p>
    <w:p w14:paraId="02D65F86" w14:textId="101A80AB" w:rsidR="00F50C12" w:rsidRPr="008F28F2" w:rsidRDefault="00F50C12" w:rsidP="00F50C12">
      <w:pPr>
        <w:ind w:left="720"/>
        <w:rPr>
          <w:rFonts w:ascii="Arial" w:hAnsi="Arial" w:cs="Arial"/>
          <w:sz w:val="20"/>
        </w:rPr>
      </w:pPr>
      <w:r w:rsidRPr="008F28F2">
        <w:rPr>
          <w:rFonts w:ascii="Arial" w:hAnsi="Arial" w:cs="Arial"/>
          <w:sz w:val="20"/>
        </w:rPr>
        <w:t>Supplementary Materials and Methods</w:t>
      </w:r>
    </w:p>
    <w:p w14:paraId="2FDF8F63" w14:textId="2E515FD6" w:rsidR="001B39D0" w:rsidRPr="008F28F2" w:rsidRDefault="001B39D0" w:rsidP="001B39D0">
      <w:pPr>
        <w:ind w:left="720"/>
        <w:rPr>
          <w:rFonts w:ascii="Arial" w:hAnsi="Arial" w:cs="Arial"/>
          <w:sz w:val="20"/>
        </w:rPr>
      </w:pPr>
      <w:r w:rsidRPr="008F28F2">
        <w:rPr>
          <w:rFonts w:ascii="Arial" w:hAnsi="Arial" w:cs="Arial"/>
          <w:sz w:val="20"/>
        </w:rPr>
        <w:t>Supplementary Results</w:t>
      </w:r>
    </w:p>
    <w:p w14:paraId="5FAE3FCA" w14:textId="1ABB896F" w:rsidR="001B39D0" w:rsidRPr="008F28F2" w:rsidRDefault="001B39D0" w:rsidP="001B39D0">
      <w:pPr>
        <w:ind w:left="720"/>
        <w:rPr>
          <w:rFonts w:ascii="Arial" w:hAnsi="Arial" w:cs="Arial"/>
          <w:sz w:val="20"/>
        </w:rPr>
      </w:pPr>
      <w:r w:rsidRPr="008F28F2">
        <w:rPr>
          <w:rFonts w:ascii="Arial" w:hAnsi="Arial" w:cs="Arial"/>
          <w:sz w:val="20"/>
        </w:rPr>
        <w:t xml:space="preserve">Figures S1 to </w:t>
      </w:r>
      <w:r w:rsidR="000A7924" w:rsidRPr="008F28F2">
        <w:rPr>
          <w:rFonts w:ascii="Arial" w:hAnsi="Arial" w:cs="Arial"/>
          <w:sz w:val="20"/>
        </w:rPr>
        <w:t>S11</w:t>
      </w:r>
    </w:p>
    <w:p w14:paraId="3AD20BAA" w14:textId="279427C4" w:rsidR="001B39D0" w:rsidRPr="008F28F2" w:rsidRDefault="001B39D0" w:rsidP="001B39D0">
      <w:pPr>
        <w:ind w:left="720"/>
        <w:rPr>
          <w:rFonts w:ascii="Arial" w:hAnsi="Arial" w:cs="Arial"/>
          <w:sz w:val="20"/>
        </w:rPr>
      </w:pPr>
      <w:r w:rsidRPr="008F28F2">
        <w:rPr>
          <w:rFonts w:ascii="Arial" w:hAnsi="Arial" w:cs="Arial"/>
          <w:sz w:val="20"/>
        </w:rPr>
        <w:t xml:space="preserve">Tables S1 to </w:t>
      </w:r>
      <w:r w:rsidR="000A7924" w:rsidRPr="008F28F2">
        <w:rPr>
          <w:rFonts w:ascii="Arial" w:hAnsi="Arial" w:cs="Arial"/>
          <w:sz w:val="20"/>
        </w:rPr>
        <w:t>S4</w:t>
      </w:r>
    </w:p>
    <w:p w14:paraId="27164616" w14:textId="77777777" w:rsidR="001B39D0" w:rsidRPr="008F28F2" w:rsidRDefault="001B39D0" w:rsidP="001B39D0">
      <w:pPr>
        <w:ind w:left="720"/>
        <w:rPr>
          <w:rFonts w:ascii="Arial" w:hAnsi="Arial" w:cs="Arial"/>
          <w:sz w:val="20"/>
        </w:rPr>
      </w:pPr>
      <w:r w:rsidRPr="008F28F2">
        <w:rPr>
          <w:rFonts w:ascii="Arial" w:hAnsi="Arial" w:cs="Arial"/>
          <w:sz w:val="20"/>
        </w:rPr>
        <w:t xml:space="preserve">Supplementary References </w:t>
      </w:r>
    </w:p>
    <w:p w14:paraId="1C8B7EDB" w14:textId="77777777" w:rsidR="001B39D0" w:rsidRPr="008F28F2" w:rsidRDefault="001B39D0" w:rsidP="001B39D0">
      <w:pPr>
        <w:rPr>
          <w:rFonts w:ascii="Arial" w:hAnsi="Arial" w:cs="Arial"/>
          <w:sz w:val="20"/>
        </w:rPr>
      </w:pPr>
      <w:r w:rsidRPr="008F28F2">
        <w:rPr>
          <w:rFonts w:ascii="Arial" w:hAnsi="Arial" w:cs="Arial"/>
          <w:sz w:val="20"/>
        </w:rPr>
        <w:br w:type="page"/>
      </w:r>
    </w:p>
    <w:p w14:paraId="0AF6AE38" w14:textId="4CE73714" w:rsidR="000746D6" w:rsidRPr="008F28F2" w:rsidRDefault="000746D6" w:rsidP="001B39D0">
      <w:pPr>
        <w:keepNext/>
        <w:spacing w:before="240" w:after="60"/>
        <w:outlineLvl w:val="0"/>
        <w:rPr>
          <w:rFonts w:ascii="Arial" w:hAnsi="Arial" w:cs="Arial"/>
          <w:b/>
          <w:bCs/>
          <w:color w:val="000000"/>
          <w:kern w:val="32"/>
          <w:szCs w:val="24"/>
        </w:rPr>
      </w:pPr>
      <w:bookmarkStart w:id="3" w:name="Tables"/>
      <w:bookmarkStart w:id="4" w:name="MaterialsMethods"/>
      <w:bookmarkEnd w:id="3"/>
      <w:bookmarkEnd w:id="4"/>
      <w:r w:rsidRPr="008F28F2">
        <w:rPr>
          <w:rFonts w:ascii="Arial" w:hAnsi="Arial" w:cs="Arial"/>
          <w:b/>
          <w:bCs/>
          <w:color w:val="000000"/>
          <w:kern w:val="32"/>
          <w:szCs w:val="24"/>
        </w:rPr>
        <w:lastRenderedPageBreak/>
        <w:t>Supplementary Materials and Methods</w:t>
      </w:r>
    </w:p>
    <w:p w14:paraId="49C7D723" w14:textId="487F5DB8" w:rsidR="000746D6" w:rsidRPr="008F28F2" w:rsidRDefault="000746D6" w:rsidP="000746D6">
      <w:pPr>
        <w:keepNext/>
        <w:spacing w:before="240" w:after="60"/>
        <w:outlineLvl w:val="1"/>
        <w:rPr>
          <w:rFonts w:ascii="Arial" w:hAnsi="Arial" w:cs="Arial"/>
          <w:b/>
          <w:bCs/>
          <w:color w:val="000000" w:themeColor="text1"/>
          <w:sz w:val="22"/>
          <w:szCs w:val="22"/>
          <w:lang w:val="en-GB"/>
        </w:rPr>
      </w:pPr>
      <w:r w:rsidRPr="008F28F2">
        <w:rPr>
          <w:rFonts w:ascii="Arial" w:hAnsi="Arial" w:cs="Arial"/>
          <w:b/>
          <w:bCs/>
          <w:color w:val="000000" w:themeColor="text1"/>
          <w:sz w:val="22"/>
          <w:szCs w:val="22"/>
          <w:lang w:val="en-GB"/>
        </w:rPr>
        <w:t>Solution NMR experiments</w:t>
      </w:r>
    </w:p>
    <w:p w14:paraId="12952E50" w14:textId="77777777" w:rsidR="000746D6" w:rsidRPr="008F28F2" w:rsidRDefault="000746D6" w:rsidP="000746D6">
      <w:pPr>
        <w:pBdr>
          <w:top w:val="nil"/>
          <w:left w:val="nil"/>
          <w:bottom w:val="nil"/>
          <w:right w:val="nil"/>
          <w:between w:val="nil"/>
        </w:pBdr>
        <w:contextualSpacing/>
        <w:jc w:val="both"/>
        <w:rPr>
          <w:rFonts w:ascii="Arial" w:hAnsi="Arial" w:cs="Arial"/>
          <w:bCs/>
          <w:color w:val="000000" w:themeColor="text1"/>
          <w:sz w:val="20"/>
          <w:lang w:val="en-GB"/>
        </w:rPr>
      </w:pPr>
      <w:r w:rsidRPr="008F28F2">
        <w:rPr>
          <w:rFonts w:ascii="Arial" w:hAnsi="Arial" w:cs="Arial"/>
          <w:bCs/>
          <w:color w:val="000000" w:themeColor="text1"/>
          <w:sz w:val="20"/>
          <w:lang w:val="en-GB"/>
        </w:rPr>
        <w:t xml:space="preserve">All the NMR spectra were acquired at 283 K with a Bruker </w:t>
      </w:r>
      <w:proofErr w:type="spellStart"/>
      <w:r w:rsidRPr="008F28F2">
        <w:rPr>
          <w:rFonts w:ascii="Arial" w:hAnsi="Arial" w:cs="Arial"/>
          <w:bCs/>
          <w:color w:val="000000" w:themeColor="text1"/>
          <w:sz w:val="20"/>
          <w:lang w:val="en-GB"/>
        </w:rPr>
        <w:t>Avance</w:t>
      </w:r>
      <w:proofErr w:type="spellEnd"/>
      <w:r w:rsidRPr="008F28F2">
        <w:rPr>
          <w:rFonts w:ascii="Arial" w:hAnsi="Arial" w:cs="Arial"/>
          <w:bCs/>
          <w:color w:val="000000" w:themeColor="text1"/>
          <w:sz w:val="20"/>
          <w:lang w:val="en-GB"/>
        </w:rPr>
        <w:t xml:space="preserve"> III HD NMR spectrometer operating at 950 MHz </w:t>
      </w:r>
      <w:r w:rsidRPr="008F28F2">
        <w:rPr>
          <w:rFonts w:ascii="Arial" w:hAnsi="Arial" w:cs="Arial"/>
          <w:bCs/>
          <w:color w:val="000000" w:themeColor="text1"/>
          <w:sz w:val="20"/>
          <w:vertAlign w:val="superscript"/>
          <w:lang w:val="en-GB"/>
        </w:rPr>
        <w:t>1</w:t>
      </w:r>
      <w:r w:rsidRPr="008F28F2">
        <w:rPr>
          <w:rFonts w:ascii="Arial" w:hAnsi="Arial" w:cs="Arial"/>
          <w:bCs/>
          <w:color w:val="000000" w:themeColor="text1"/>
          <w:sz w:val="20"/>
          <w:lang w:val="en-GB"/>
        </w:rPr>
        <w:t xml:space="preserve">H Larmor frequency, equipped with a cryogenically cooled probe. For all the measurements performed, samples were analysed in 3 mm diameter NMR tubes. Spectra were initially processed with the Bruker TOPSPIN 4.0 software tools. </w:t>
      </w:r>
    </w:p>
    <w:p w14:paraId="001E6951" w14:textId="77777777" w:rsidR="000746D6" w:rsidRPr="008F28F2" w:rsidRDefault="000746D6" w:rsidP="000746D6">
      <w:pPr>
        <w:pBdr>
          <w:top w:val="nil"/>
          <w:left w:val="nil"/>
          <w:bottom w:val="nil"/>
          <w:right w:val="nil"/>
          <w:between w:val="nil"/>
        </w:pBdr>
        <w:contextualSpacing/>
        <w:jc w:val="both"/>
        <w:rPr>
          <w:rFonts w:ascii="Arial" w:hAnsi="Arial" w:cs="Arial"/>
          <w:bCs/>
          <w:color w:val="000000" w:themeColor="text1"/>
          <w:sz w:val="20"/>
          <w:lang w:val="en-GB"/>
        </w:rPr>
      </w:pPr>
    </w:p>
    <w:p w14:paraId="29BAE905" w14:textId="254986EB" w:rsidR="000746D6" w:rsidRPr="008F28F2" w:rsidRDefault="000746D6" w:rsidP="000746D6">
      <w:pPr>
        <w:keepNext/>
        <w:outlineLvl w:val="2"/>
        <w:rPr>
          <w:rFonts w:ascii="Arial" w:eastAsia="Times" w:hAnsi="Arial" w:cs="Arial"/>
          <w:color w:val="000000" w:themeColor="text1"/>
          <w:sz w:val="20"/>
          <w:u w:val="single"/>
          <w:lang w:val="en-GB"/>
        </w:rPr>
      </w:pPr>
      <w:r w:rsidRPr="008F28F2">
        <w:rPr>
          <w:rFonts w:ascii="Arial" w:eastAsia="Times" w:hAnsi="Arial" w:cs="Arial"/>
          <w:color w:val="000000" w:themeColor="text1"/>
          <w:sz w:val="20"/>
          <w:u w:val="single"/>
          <w:lang w:val="en-GB"/>
        </w:rPr>
        <w:t>Solution NMR experiments on NPH CSF</w:t>
      </w:r>
    </w:p>
    <w:p w14:paraId="028A3F2F" w14:textId="77777777" w:rsidR="000746D6" w:rsidRPr="008F28F2" w:rsidRDefault="000746D6" w:rsidP="000746D6">
      <w:pPr>
        <w:pBdr>
          <w:top w:val="nil"/>
          <w:left w:val="nil"/>
          <w:bottom w:val="nil"/>
          <w:right w:val="nil"/>
          <w:between w:val="nil"/>
        </w:pBdr>
        <w:contextualSpacing/>
        <w:jc w:val="both"/>
        <w:rPr>
          <w:rFonts w:ascii="Arial" w:hAnsi="Arial" w:cs="Arial"/>
          <w:bCs/>
          <w:color w:val="000000" w:themeColor="text1"/>
          <w:sz w:val="20"/>
          <w:lang w:val="en-GB"/>
        </w:rPr>
      </w:pPr>
      <w:r w:rsidRPr="008F28F2">
        <w:rPr>
          <w:rFonts w:ascii="Arial" w:hAnsi="Arial" w:cs="Arial"/>
          <w:bCs/>
          <w:color w:val="000000" w:themeColor="text1"/>
          <w:sz w:val="20"/>
          <w:lang w:val="en-GB"/>
        </w:rPr>
        <w:t>1D NMR experiments (Bruker sequence: zgesgp, number of scans = 128) using NPH CSF were performed by analysing 170 μL of CSF samples + 10 μL D</w:t>
      </w:r>
      <w:r w:rsidRPr="008F28F2">
        <w:rPr>
          <w:rFonts w:ascii="Arial" w:hAnsi="Arial" w:cs="Arial"/>
          <w:bCs/>
          <w:color w:val="000000" w:themeColor="text1"/>
          <w:sz w:val="20"/>
          <w:vertAlign w:val="subscript"/>
          <w:lang w:val="en-GB"/>
        </w:rPr>
        <w:t>2</w:t>
      </w:r>
      <w:r w:rsidRPr="008F28F2">
        <w:rPr>
          <w:rFonts w:ascii="Arial" w:hAnsi="Arial" w:cs="Arial"/>
          <w:bCs/>
          <w:color w:val="000000" w:themeColor="text1"/>
          <w:sz w:val="20"/>
          <w:lang w:val="en-GB"/>
        </w:rPr>
        <w:t>O (5.6%).</w:t>
      </w:r>
    </w:p>
    <w:p w14:paraId="0CA6B230" w14:textId="77777777" w:rsidR="000746D6" w:rsidRPr="008F28F2" w:rsidRDefault="000746D6" w:rsidP="000746D6">
      <w:pPr>
        <w:pBdr>
          <w:top w:val="nil"/>
          <w:left w:val="nil"/>
          <w:bottom w:val="nil"/>
          <w:right w:val="nil"/>
          <w:between w:val="nil"/>
        </w:pBdr>
        <w:contextualSpacing/>
        <w:jc w:val="both"/>
        <w:rPr>
          <w:rFonts w:ascii="Arial" w:hAnsi="Arial" w:cs="Arial"/>
          <w:bCs/>
          <w:color w:val="000000" w:themeColor="text1"/>
          <w:sz w:val="20"/>
          <w:lang w:val="en-GB"/>
        </w:rPr>
      </w:pPr>
    </w:p>
    <w:p w14:paraId="720E932F" w14:textId="75B9AB08" w:rsidR="000746D6" w:rsidRPr="008F28F2" w:rsidRDefault="000746D6" w:rsidP="000746D6">
      <w:pPr>
        <w:keepNext/>
        <w:outlineLvl w:val="2"/>
        <w:rPr>
          <w:rFonts w:ascii="Arial" w:eastAsia="Times" w:hAnsi="Arial" w:cs="Arial"/>
          <w:color w:val="000000" w:themeColor="text1"/>
          <w:sz w:val="20"/>
          <w:u w:val="single"/>
          <w:lang w:val="en-GB"/>
        </w:rPr>
      </w:pPr>
      <w:r w:rsidRPr="008F28F2">
        <w:rPr>
          <w:rFonts w:ascii="Arial" w:eastAsia="Times" w:hAnsi="Arial" w:cs="Arial"/>
          <w:color w:val="000000" w:themeColor="text1"/>
          <w:sz w:val="20"/>
          <w:u w:val="single"/>
          <w:lang w:val="en-GB"/>
        </w:rPr>
        <w:t>Solution NMR titrations with monomeric α-syn</w:t>
      </w:r>
    </w:p>
    <w:p w14:paraId="3431684E" w14:textId="77777777" w:rsidR="000746D6" w:rsidRPr="008F28F2" w:rsidRDefault="000746D6" w:rsidP="000746D6">
      <w:pPr>
        <w:pBdr>
          <w:top w:val="nil"/>
          <w:left w:val="nil"/>
          <w:bottom w:val="nil"/>
          <w:right w:val="nil"/>
          <w:between w:val="nil"/>
        </w:pBdr>
        <w:contextualSpacing/>
        <w:jc w:val="both"/>
        <w:rPr>
          <w:rFonts w:ascii="Arial" w:hAnsi="Arial" w:cs="Arial"/>
          <w:bCs/>
          <w:color w:val="000000" w:themeColor="text1"/>
          <w:sz w:val="20"/>
          <w:lang w:val="en-GB"/>
        </w:rPr>
      </w:pPr>
      <w:r w:rsidRPr="008F28F2">
        <w:rPr>
          <w:rFonts w:ascii="Arial" w:hAnsi="Arial" w:cs="Arial"/>
          <w:bCs/>
          <w:color w:val="000000" w:themeColor="text1"/>
          <w:sz w:val="20"/>
          <w:lang w:val="en-GB"/>
        </w:rPr>
        <w:t xml:space="preserve">2D </w:t>
      </w:r>
      <w:r w:rsidRPr="008F28F2">
        <w:rPr>
          <w:rFonts w:ascii="Arial" w:hAnsi="Arial" w:cs="Arial"/>
          <w:bCs/>
          <w:color w:val="000000" w:themeColor="text1"/>
          <w:sz w:val="20"/>
          <w:vertAlign w:val="superscript"/>
          <w:lang w:val="en-GB"/>
        </w:rPr>
        <w:t>1</w:t>
      </w:r>
      <w:r w:rsidRPr="008F28F2">
        <w:rPr>
          <w:rFonts w:ascii="Arial" w:hAnsi="Arial" w:cs="Arial"/>
          <w:bCs/>
          <w:color w:val="000000" w:themeColor="text1"/>
          <w:sz w:val="20"/>
          <w:lang w:val="en-GB"/>
        </w:rPr>
        <w:t>H-</w:t>
      </w:r>
      <w:r w:rsidRPr="008F28F2">
        <w:rPr>
          <w:rFonts w:ascii="Arial" w:hAnsi="Arial" w:cs="Arial"/>
          <w:bCs/>
          <w:color w:val="000000" w:themeColor="text1"/>
          <w:sz w:val="20"/>
          <w:vertAlign w:val="superscript"/>
          <w:lang w:val="en-GB"/>
        </w:rPr>
        <w:t>15</w:t>
      </w:r>
      <w:r w:rsidRPr="008F28F2">
        <w:rPr>
          <w:rFonts w:ascii="Arial" w:hAnsi="Arial" w:cs="Arial"/>
          <w:bCs/>
          <w:color w:val="000000" w:themeColor="text1"/>
          <w:sz w:val="20"/>
          <w:lang w:val="en-GB"/>
        </w:rPr>
        <w:t>N HSQC spectra (Bruker sequence: hsqcetfpf3gp, number of scans = 16) were performed to test possible interactions between monomeric α-syn and CSF fractions/HDL/LDL/TTR.</w:t>
      </w:r>
    </w:p>
    <w:p w14:paraId="667B34CD" w14:textId="77777777" w:rsidR="000746D6" w:rsidRPr="008F28F2" w:rsidRDefault="000746D6" w:rsidP="000746D6">
      <w:pPr>
        <w:pBdr>
          <w:top w:val="nil"/>
          <w:left w:val="nil"/>
          <w:bottom w:val="nil"/>
          <w:right w:val="nil"/>
          <w:between w:val="nil"/>
        </w:pBdr>
        <w:contextualSpacing/>
        <w:jc w:val="both"/>
        <w:rPr>
          <w:rFonts w:ascii="Arial" w:hAnsi="Arial" w:cs="Arial"/>
          <w:bCs/>
          <w:color w:val="000000" w:themeColor="text1"/>
          <w:sz w:val="20"/>
          <w:lang w:val="en-GB"/>
        </w:rPr>
      </w:pPr>
      <w:r w:rsidRPr="008F28F2">
        <w:rPr>
          <w:rFonts w:ascii="Arial" w:hAnsi="Arial" w:cs="Arial"/>
          <w:bCs/>
          <w:color w:val="000000" w:themeColor="text1"/>
          <w:sz w:val="20"/>
          <w:lang w:val="en-GB"/>
        </w:rPr>
        <w:t xml:space="preserve">Solution NMR titration experiments were carried out starting from 200 μL of a solution containing 100 μM of recombinant </w:t>
      </w:r>
      <w:r w:rsidRPr="008F28F2">
        <w:rPr>
          <w:rFonts w:ascii="Arial" w:hAnsi="Arial" w:cs="Arial"/>
          <w:bCs/>
          <w:color w:val="000000" w:themeColor="text1"/>
          <w:sz w:val="20"/>
          <w:vertAlign w:val="superscript"/>
          <w:lang w:val="en-GB"/>
        </w:rPr>
        <w:t>15</w:t>
      </w:r>
      <w:r w:rsidRPr="008F28F2">
        <w:rPr>
          <w:rFonts w:ascii="Arial" w:hAnsi="Arial" w:cs="Arial"/>
          <w:bCs/>
          <w:color w:val="000000" w:themeColor="text1"/>
          <w:sz w:val="20"/>
          <w:lang w:val="en-GB"/>
        </w:rPr>
        <w:t>N labelled α-syn in PBS buffer and 10% D</w:t>
      </w:r>
      <w:r w:rsidRPr="008F28F2">
        <w:rPr>
          <w:rFonts w:ascii="Arial" w:hAnsi="Arial" w:cs="Arial"/>
          <w:bCs/>
          <w:color w:val="000000" w:themeColor="text1"/>
          <w:sz w:val="20"/>
          <w:vertAlign w:val="subscript"/>
          <w:lang w:val="en-GB"/>
        </w:rPr>
        <w:t>2</w:t>
      </w:r>
      <w:r w:rsidRPr="008F28F2">
        <w:rPr>
          <w:rFonts w:ascii="Arial" w:hAnsi="Arial" w:cs="Arial"/>
          <w:bCs/>
          <w:color w:val="000000" w:themeColor="text1"/>
          <w:sz w:val="20"/>
          <w:lang w:val="en-GB"/>
        </w:rPr>
        <w:t xml:space="preserve">O. </w:t>
      </w:r>
    </w:p>
    <w:p w14:paraId="1FA58CB8" w14:textId="77777777" w:rsidR="000746D6" w:rsidRPr="008F28F2" w:rsidRDefault="000746D6" w:rsidP="000746D6">
      <w:pPr>
        <w:pBdr>
          <w:top w:val="nil"/>
          <w:left w:val="nil"/>
          <w:bottom w:val="nil"/>
          <w:right w:val="nil"/>
          <w:between w:val="nil"/>
        </w:pBdr>
        <w:contextualSpacing/>
        <w:jc w:val="both"/>
        <w:rPr>
          <w:rFonts w:ascii="Arial" w:hAnsi="Arial" w:cs="Arial"/>
          <w:bCs/>
          <w:color w:val="000000" w:themeColor="text1"/>
          <w:sz w:val="20"/>
          <w:lang w:val="en-GB"/>
        </w:rPr>
      </w:pPr>
      <w:r w:rsidRPr="008F28F2">
        <w:rPr>
          <w:rFonts w:ascii="Arial" w:hAnsi="Arial" w:cs="Arial"/>
          <w:bCs/>
          <w:color w:val="000000" w:themeColor="text1"/>
          <w:sz w:val="20"/>
          <w:lang w:val="en-GB"/>
        </w:rPr>
        <w:t>For CSF fractions titration experiments, the added volumes were 100 μL for fraction 1, 5 and 6, while 62.5 μL, 71 μL and 83 μL were added for fraction 2, 3 and 4 respectively to compensate for the different concentration factor with respect to fraction 5.</w:t>
      </w:r>
    </w:p>
    <w:p w14:paraId="2D142611" w14:textId="77777777" w:rsidR="000746D6" w:rsidRPr="008F28F2" w:rsidRDefault="000746D6" w:rsidP="000746D6">
      <w:pPr>
        <w:pBdr>
          <w:top w:val="nil"/>
          <w:left w:val="nil"/>
          <w:bottom w:val="nil"/>
          <w:right w:val="nil"/>
          <w:between w:val="nil"/>
        </w:pBdr>
        <w:contextualSpacing/>
        <w:jc w:val="both"/>
        <w:rPr>
          <w:rFonts w:ascii="Arial" w:hAnsi="Arial" w:cs="Arial"/>
          <w:bCs/>
          <w:color w:val="000000" w:themeColor="text1"/>
          <w:sz w:val="20"/>
          <w:lang w:val="en-GB"/>
        </w:rPr>
      </w:pPr>
      <w:r w:rsidRPr="008F28F2">
        <w:rPr>
          <w:rFonts w:ascii="Arial" w:hAnsi="Arial" w:cs="Arial"/>
          <w:bCs/>
          <w:color w:val="000000" w:themeColor="text1"/>
          <w:sz w:val="20"/>
          <w:lang w:val="en-GB"/>
        </w:rPr>
        <w:t>For HDL titration experiments 2 and 10 μL of a solution containing 11.97 mg/mL of human serum HDL (Sigma Aldrich, LP3) were added to the solution containing monomeric α-syn.</w:t>
      </w:r>
    </w:p>
    <w:p w14:paraId="79052EFE" w14:textId="77777777" w:rsidR="000746D6" w:rsidRPr="008F28F2" w:rsidRDefault="000746D6" w:rsidP="000746D6">
      <w:pPr>
        <w:pBdr>
          <w:top w:val="nil"/>
          <w:left w:val="nil"/>
          <w:bottom w:val="nil"/>
          <w:right w:val="nil"/>
          <w:between w:val="nil"/>
        </w:pBdr>
        <w:contextualSpacing/>
        <w:jc w:val="both"/>
        <w:rPr>
          <w:rFonts w:ascii="Arial" w:hAnsi="Arial" w:cs="Arial"/>
          <w:bCs/>
          <w:color w:val="000000" w:themeColor="text1"/>
          <w:sz w:val="20"/>
          <w:lang w:val="en-GB"/>
        </w:rPr>
      </w:pPr>
      <w:r w:rsidRPr="008F28F2">
        <w:rPr>
          <w:rFonts w:ascii="Arial" w:hAnsi="Arial" w:cs="Arial"/>
          <w:bCs/>
          <w:color w:val="000000" w:themeColor="text1"/>
          <w:sz w:val="20"/>
          <w:lang w:val="en-GB"/>
        </w:rPr>
        <w:t>For LDL titration experiments 2, 10 and 40 μL of a solution containing 6.27 mg/mL of human serum LDL (Sigma Aldrich, LP2) were added to the solution containing monomeric α-syn.</w:t>
      </w:r>
    </w:p>
    <w:p w14:paraId="56E8B7CA" w14:textId="77777777" w:rsidR="000746D6" w:rsidRPr="008F28F2" w:rsidRDefault="000746D6" w:rsidP="000746D6">
      <w:pPr>
        <w:pBdr>
          <w:top w:val="nil"/>
          <w:left w:val="nil"/>
          <w:bottom w:val="nil"/>
          <w:right w:val="nil"/>
          <w:between w:val="nil"/>
        </w:pBdr>
        <w:contextualSpacing/>
        <w:jc w:val="both"/>
        <w:rPr>
          <w:rFonts w:ascii="Arial" w:hAnsi="Arial" w:cs="Arial"/>
          <w:bCs/>
          <w:color w:val="000000" w:themeColor="text1"/>
          <w:sz w:val="20"/>
          <w:lang w:val="en-GB"/>
        </w:rPr>
      </w:pPr>
      <w:r w:rsidRPr="008F28F2">
        <w:rPr>
          <w:rFonts w:ascii="Arial" w:hAnsi="Arial" w:cs="Arial"/>
          <w:bCs/>
          <w:color w:val="000000" w:themeColor="text1"/>
          <w:sz w:val="20"/>
          <w:lang w:val="en-GB"/>
        </w:rPr>
        <w:t>For TTR titration experiments 20 and 40 μL of a solution containing 30 mg/mL of recombinant human TTR were added to the solution containing monomeric α-syn.</w:t>
      </w:r>
    </w:p>
    <w:p w14:paraId="38DFA16A" w14:textId="77777777" w:rsidR="000746D6" w:rsidRPr="008F28F2" w:rsidRDefault="000746D6" w:rsidP="000746D6">
      <w:pPr>
        <w:jc w:val="both"/>
        <w:rPr>
          <w:rFonts w:ascii="Arial" w:hAnsi="Arial" w:cs="Arial"/>
          <w:color w:val="000000" w:themeColor="text1"/>
          <w:sz w:val="20"/>
          <w:lang w:val="en-GB" w:eastAsia="it-IT"/>
        </w:rPr>
      </w:pPr>
      <w:r w:rsidRPr="008F28F2">
        <w:rPr>
          <w:rFonts w:ascii="Arial" w:hAnsi="Arial" w:cs="Arial"/>
          <w:bCs/>
          <w:color w:val="000000" w:themeColor="text1"/>
          <w:sz w:val="20"/>
          <w:lang w:val="en-GB"/>
        </w:rPr>
        <w:t xml:space="preserve">In order to compute amplitude ratios and/or evaluate chemical shifts perturbations, 2D </w:t>
      </w:r>
      <w:r w:rsidRPr="008F28F2">
        <w:rPr>
          <w:rFonts w:ascii="Arial" w:hAnsi="Arial" w:cs="Arial"/>
          <w:bCs/>
          <w:color w:val="000000" w:themeColor="text1"/>
          <w:sz w:val="20"/>
          <w:vertAlign w:val="superscript"/>
          <w:lang w:val="en-GB"/>
        </w:rPr>
        <w:t>1</w:t>
      </w:r>
      <w:r w:rsidRPr="008F28F2">
        <w:rPr>
          <w:rFonts w:ascii="Arial" w:hAnsi="Arial" w:cs="Arial"/>
          <w:bCs/>
          <w:color w:val="000000" w:themeColor="text1"/>
          <w:sz w:val="20"/>
          <w:lang w:val="en-GB"/>
        </w:rPr>
        <w:t>H-</w:t>
      </w:r>
      <w:r w:rsidRPr="008F28F2">
        <w:rPr>
          <w:rFonts w:ascii="Arial" w:hAnsi="Arial" w:cs="Arial"/>
          <w:bCs/>
          <w:color w:val="000000" w:themeColor="text1"/>
          <w:sz w:val="20"/>
          <w:vertAlign w:val="superscript"/>
          <w:lang w:val="en-GB"/>
        </w:rPr>
        <w:t>15</w:t>
      </w:r>
      <w:r w:rsidRPr="008F28F2">
        <w:rPr>
          <w:rFonts w:ascii="Arial" w:hAnsi="Arial" w:cs="Arial"/>
          <w:bCs/>
          <w:color w:val="000000" w:themeColor="text1"/>
          <w:sz w:val="20"/>
          <w:lang w:val="en-GB"/>
        </w:rPr>
        <w:t xml:space="preserve">N </w:t>
      </w:r>
      <w:r w:rsidRPr="008F28F2">
        <w:rPr>
          <w:rFonts w:ascii="Arial" w:hAnsi="Arial" w:cs="Arial"/>
          <w:color w:val="000000" w:themeColor="text1"/>
          <w:sz w:val="20"/>
          <w:lang w:val="en-GB" w:eastAsia="it-IT"/>
        </w:rPr>
        <w:t>heteronuclear single quantum correlation (</w:t>
      </w:r>
      <w:r w:rsidRPr="008F28F2">
        <w:rPr>
          <w:rFonts w:ascii="Arial" w:hAnsi="Arial" w:cs="Arial"/>
          <w:bCs/>
          <w:color w:val="000000" w:themeColor="text1"/>
          <w:sz w:val="20"/>
          <w:lang w:val="en-GB"/>
        </w:rPr>
        <w:t xml:space="preserve">HSQC) spectra were further analysed by the program Computer Aided Resonance Assignment </w:t>
      </w:r>
      <w:r w:rsidRPr="008F28F2">
        <w:rPr>
          <w:rFonts w:ascii="Arial" w:hAnsi="Arial" w:cs="Arial"/>
          <w:bCs/>
          <w:color w:val="000000" w:themeColor="text1"/>
          <w:sz w:val="20"/>
          <w:lang w:val="en-GB"/>
        </w:rPr>
        <w:fldChar w:fldCharType="begin"/>
      </w:r>
      <w:r w:rsidRPr="008F28F2">
        <w:rPr>
          <w:rFonts w:ascii="Arial" w:hAnsi="Arial" w:cs="Arial"/>
          <w:bCs/>
          <w:color w:val="000000" w:themeColor="text1"/>
          <w:sz w:val="20"/>
          <w:lang w:val="en-GB"/>
        </w:rPr>
        <w:instrText xml:space="preserve"> ADDIN ZOTERO_ITEM CSL_CITATION {"citationID":"Qm5Fwych","properties":{"formattedCitation":"[23]","plainCitation":"[23]","noteIndex":0},"citationItems":[{"id":1461,"uris":["http://zotero.org/users/local/it4AD6cT/items/GTCPUGNY"],"itemData":{"id":1461,"type":"chapter","abstract":"illustrates how recent developments in computing technology can be exploited for the neuropsychological assessment of dementia  focuses on a comparative study of Alzheimer-type dementia (AD) and Parkinson's disease (PD)  outline some of the principles appropriate for the design and implementation of microcomputer aided tests with special reference to the the Cambridge Neuropsychological Test Automated Battery (CANTAB)  test such functions as memory, attention, and planning  motor screening test / delayed matching-to-sample / delayed response / Tower of London test (PsycINFO Database Record (c) 2016 APA, all rights reserved)","container-title":"Cognitive neurochemistry","event-place":"New York, NY, US","ISBN":"978-0-19-854225-4","page":"21-36","publisher":"Oxford University Press","publisher-place":"New York, NY, US","source":"APA PsycNET","title":"Computer-aided assessment of dementia: Comparative studies of neuropsychological deficits in Alzheimer-type dementia and Parkinson's disease","title-short":"Computer-aided assessment of dementia","author":[{"family":"Morris","given":"Robin G."},{"family":"Evenden","given":"John L."},{"family":"Sahakian","given":"Barbara J."},{"family":"Robbins","given":"Trevor W."}],"issued":{"date-parts":[["1987"]]}}}],"schema":"https://github.com/citation-style-language/schema/raw/master/csl-citation.json"} </w:instrText>
      </w:r>
      <w:r w:rsidRPr="008F28F2">
        <w:rPr>
          <w:rFonts w:ascii="Arial" w:hAnsi="Arial" w:cs="Arial"/>
          <w:bCs/>
          <w:color w:val="000000" w:themeColor="text1"/>
          <w:sz w:val="20"/>
          <w:lang w:val="en-GB"/>
        </w:rPr>
        <w:fldChar w:fldCharType="separate"/>
      </w:r>
      <w:r w:rsidRPr="008F28F2">
        <w:rPr>
          <w:rFonts w:ascii="Arial" w:hAnsi="Arial" w:cs="Arial"/>
          <w:sz w:val="20"/>
          <w:lang w:val="en-GB"/>
        </w:rPr>
        <w:t>[23]</w:t>
      </w:r>
      <w:r w:rsidRPr="008F28F2">
        <w:rPr>
          <w:rFonts w:ascii="Arial" w:hAnsi="Arial" w:cs="Arial"/>
          <w:color w:val="000000" w:themeColor="text1"/>
          <w:sz w:val="20"/>
          <w:lang w:val="en-GB"/>
        </w:rPr>
        <w:fldChar w:fldCharType="end"/>
      </w:r>
      <w:r w:rsidRPr="008F28F2">
        <w:rPr>
          <w:rFonts w:ascii="Arial" w:hAnsi="Arial" w:cs="Arial"/>
          <w:bCs/>
          <w:color w:val="000000" w:themeColor="text1"/>
          <w:sz w:val="20"/>
          <w:lang w:val="en-GB"/>
        </w:rPr>
        <w:t>.</w:t>
      </w:r>
    </w:p>
    <w:p w14:paraId="764041F6" w14:textId="77777777" w:rsidR="000746D6" w:rsidRPr="008F28F2" w:rsidRDefault="000746D6" w:rsidP="000746D6">
      <w:pPr>
        <w:pBdr>
          <w:top w:val="nil"/>
          <w:left w:val="nil"/>
          <w:bottom w:val="nil"/>
          <w:right w:val="nil"/>
          <w:between w:val="nil"/>
        </w:pBdr>
        <w:contextualSpacing/>
        <w:jc w:val="both"/>
        <w:rPr>
          <w:rFonts w:ascii="Arial" w:hAnsi="Arial" w:cs="Arial"/>
          <w:bCs/>
          <w:color w:val="000000" w:themeColor="text1"/>
          <w:sz w:val="20"/>
          <w:lang w:val="en-GB"/>
        </w:rPr>
      </w:pPr>
    </w:p>
    <w:p w14:paraId="1A2F6E22" w14:textId="52636D3D" w:rsidR="000746D6" w:rsidRPr="008F28F2" w:rsidRDefault="000746D6" w:rsidP="000746D6">
      <w:pPr>
        <w:keepNext/>
        <w:spacing w:before="240" w:after="60"/>
        <w:outlineLvl w:val="1"/>
        <w:rPr>
          <w:rFonts w:ascii="Arial" w:hAnsi="Arial" w:cs="Arial"/>
          <w:b/>
          <w:bCs/>
          <w:color w:val="000000" w:themeColor="text1"/>
          <w:sz w:val="22"/>
          <w:szCs w:val="22"/>
          <w:lang w:val="en-GB"/>
        </w:rPr>
      </w:pPr>
      <w:bookmarkStart w:id="5" w:name="_Hlk81476846"/>
      <w:r w:rsidRPr="008F28F2">
        <w:rPr>
          <w:rFonts w:ascii="Arial" w:hAnsi="Arial" w:cs="Arial"/>
          <w:b/>
          <w:bCs/>
          <w:color w:val="000000" w:themeColor="text1"/>
          <w:sz w:val="22"/>
          <w:szCs w:val="22"/>
          <w:lang w:val="en-GB"/>
        </w:rPr>
        <w:t>Mass spectrometry measurements</w:t>
      </w:r>
    </w:p>
    <w:bookmarkEnd w:id="5"/>
    <w:p w14:paraId="28A0DA41" w14:textId="77777777" w:rsidR="000746D6" w:rsidRPr="008F28F2" w:rsidRDefault="000746D6" w:rsidP="000746D6">
      <w:pPr>
        <w:pBdr>
          <w:top w:val="nil"/>
          <w:left w:val="nil"/>
          <w:bottom w:val="nil"/>
          <w:right w:val="nil"/>
          <w:between w:val="nil"/>
        </w:pBdr>
        <w:contextualSpacing/>
        <w:jc w:val="both"/>
        <w:rPr>
          <w:rFonts w:ascii="Arial" w:hAnsi="Arial" w:cs="Arial"/>
          <w:color w:val="000000" w:themeColor="text1"/>
          <w:sz w:val="20"/>
          <w:lang w:val="en-GB"/>
        </w:rPr>
      </w:pPr>
      <w:r w:rsidRPr="008F28F2">
        <w:rPr>
          <w:rFonts w:ascii="Arial" w:hAnsi="Arial" w:cs="Arial"/>
          <w:color w:val="000000" w:themeColor="text1"/>
          <w:sz w:val="20"/>
          <w:lang w:val="en-GB"/>
        </w:rPr>
        <w:t xml:space="preserve">The analyses of proteins contained in CSF and CSF fractions were performed by nano Liquid Chromatography coupled to High Resolution Mass Spectrometry equipped with a </w:t>
      </w:r>
      <w:proofErr w:type="spellStart"/>
      <w:r w:rsidRPr="008F28F2">
        <w:rPr>
          <w:rFonts w:ascii="Arial" w:hAnsi="Arial" w:cs="Arial"/>
          <w:color w:val="000000" w:themeColor="text1"/>
          <w:sz w:val="20"/>
          <w:lang w:val="en-GB"/>
        </w:rPr>
        <w:t>nanoelectrospray</w:t>
      </w:r>
      <w:proofErr w:type="spellEnd"/>
      <w:r w:rsidRPr="008F28F2">
        <w:rPr>
          <w:rFonts w:ascii="Arial" w:hAnsi="Arial" w:cs="Arial"/>
          <w:color w:val="000000" w:themeColor="text1"/>
          <w:sz w:val="20"/>
          <w:lang w:val="en-GB"/>
        </w:rPr>
        <w:t xml:space="preserve"> interface (</w:t>
      </w:r>
      <w:proofErr w:type="spellStart"/>
      <w:r w:rsidRPr="008F28F2">
        <w:rPr>
          <w:rFonts w:ascii="Arial" w:hAnsi="Arial" w:cs="Arial"/>
          <w:color w:val="000000" w:themeColor="text1"/>
          <w:sz w:val="20"/>
          <w:lang w:val="en-GB"/>
        </w:rPr>
        <w:t>nLC-nESI</w:t>
      </w:r>
      <w:proofErr w:type="spellEnd"/>
      <w:r w:rsidRPr="008F28F2">
        <w:rPr>
          <w:rFonts w:ascii="Arial" w:hAnsi="Arial" w:cs="Arial"/>
          <w:color w:val="000000" w:themeColor="text1"/>
          <w:sz w:val="20"/>
          <w:lang w:val="en-GB"/>
        </w:rPr>
        <w:t xml:space="preserve"> HRMS/MS). From each CSF fraction a 10 µL volume was taken in triplicate and reduced with DTT (1 µL of a 0.5 mg/mL solution in ultrapure water) for 30 min at room temperature in the dark and then alkylated adding 1 µL of a 2.5 mg/mL iodoacetamide solution in ultrapure water and left for 20 min at RT in the dark. The samples were diluted with four volumes of 50 mM NH</w:t>
      </w:r>
      <w:r w:rsidRPr="008F28F2">
        <w:rPr>
          <w:rFonts w:ascii="Arial" w:hAnsi="Arial" w:cs="Arial"/>
          <w:color w:val="000000" w:themeColor="text1"/>
          <w:sz w:val="20"/>
          <w:vertAlign w:val="subscript"/>
          <w:lang w:val="en-GB"/>
        </w:rPr>
        <w:t>4</w:t>
      </w:r>
      <w:r w:rsidRPr="008F28F2">
        <w:rPr>
          <w:rFonts w:ascii="Arial" w:hAnsi="Arial" w:cs="Arial"/>
          <w:color w:val="000000" w:themeColor="text1"/>
          <w:sz w:val="20"/>
          <w:lang w:val="en-GB"/>
        </w:rPr>
        <w:t>HCO</w:t>
      </w:r>
      <w:r w:rsidRPr="008F28F2">
        <w:rPr>
          <w:rFonts w:ascii="Arial" w:hAnsi="Arial" w:cs="Arial"/>
          <w:color w:val="000000" w:themeColor="text1"/>
          <w:sz w:val="20"/>
          <w:vertAlign w:val="subscript"/>
          <w:lang w:val="en-GB"/>
        </w:rPr>
        <w:t>3</w:t>
      </w:r>
      <w:r w:rsidRPr="008F28F2">
        <w:rPr>
          <w:rFonts w:ascii="Arial" w:hAnsi="Arial" w:cs="Arial"/>
          <w:color w:val="000000" w:themeColor="text1"/>
          <w:sz w:val="20"/>
          <w:lang w:val="en-GB"/>
        </w:rPr>
        <w:t xml:space="preserve"> pH 8. Protein digestion was started by adding 1 µL of 0.4 mg/mL </w:t>
      </w:r>
      <w:proofErr w:type="spellStart"/>
      <w:r w:rsidRPr="008F28F2">
        <w:rPr>
          <w:rFonts w:ascii="Arial" w:hAnsi="Arial" w:cs="Arial"/>
          <w:color w:val="000000" w:themeColor="text1"/>
          <w:sz w:val="20"/>
          <w:lang w:val="en-GB"/>
        </w:rPr>
        <w:t>LysC</w:t>
      </w:r>
      <w:proofErr w:type="spellEnd"/>
      <w:r w:rsidRPr="008F28F2">
        <w:rPr>
          <w:rFonts w:ascii="Arial" w:hAnsi="Arial" w:cs="Arial"/>
          <w:color w:val="000000" w:themeColor="text1"/>
          <w:sz w:val="20"/>
          <w:lang w:val="en-GB"/>
        </w:rPr>
        <w:t xml:space="preserve"> solution and incubating for 3 h at 37 °C, then adding 1 µL of 0.5 mg/mL sequencing grade trypsin (Promega) solution and incubating at 37 °C overnight. The reaction was stopped by adding 1 µL 10% trifluoroacetic acid to reach a &lt; 2.5 pH value. C18 </w:t>
      </w:r>
      <w:proofErr w:type="spellStart"/>
      <w:r w:rsidRPr="008F28F2">
        <w:rPr>
          <w:rFonts w:ascii="Arial" w:hAnsi="Arial" w:cs="Arial"/>
          <w:color w:val="000000" w:themeColor="text1"/>
          <w:sz w:val="20"/>
          <w:lang w:val="en-GB"/>
        </w:rPr>
        <w:t>Empore</w:t>
      </w:r>
      <w:proofErr w:type="spellEnd"/>
      <w:r w:rsidRPr="008F28F2">
        <w:rPr>
          <w:rFonts w:ascii="Arial" w:hAnsi="Arial" w:cs="Arial"/>
          <w:color w:val="000000" w:themeColor="text1"/>
          <w:sz w:val="20"/>
          <w:lang w:val="en-GB"/>
        </w:rPr>
        <w:t xml:space="preserve"> (3M) Stage tips were prepared in-house and sequentially conditioned with 50 µL methanol, 50 µL 80% acetonitrile, 19.5% ultrapure water, 0.5% acetic acid and then with 50 µL 0.5% acetic acid. The digested samples were loaded into the stage tips, washed with 50 µL 0.5% acetic acid, then dried and peptides eluted with 50 µL methanol, 50 µL 80% acetonitrile, 19.5% ultrapure water, 0.5% acetic acid. The samples were then concentrated to less than 10 µL and brought to a final volume of 20 µL with 0.5% acetic acid; a 1 µL volume was injected into the </w:t>
      </w:r>
      <w:proofErr w:type="spellStart"/>
      <w:r w:rsidRPr="008F28F2">
        <w:rPr>
          <w:rFonts w:ascii="Arial" w:hAnsi="Arial" w:cs="Arial"/>
          <w:color w:val="000000" w:themeColor="text1"/>
          <w:sz w:val="20"/>
          <w:lang w:val="en-GB"/>
        </w:rPr>
        <w:t>nLC-nESI</w:t>
      </w:r>
      <w:proofErr w:type="spellEnd"/>
      <w:r w:rsidRPr="008F28F2">
        <w:rPr>
          <w:rFonts w:ascii="Arial" w:hAnsi="Arial" w:cs="Arial"/>
          <w:color w:val="000000" w:themeColor="text1"/>
          <w:sz w:val="20"/>
          <w:lang w:val="en-GB"/>
        </w:rPr>
        <w:t xml:space="preserve"> HRMS/MS system; this was composed of a </w:t>
      </w:r>
      <w:proofErr w:type="spellStart"/>
      <w:r w:rsidRPr="008F28F2">
        <w:rPr>
          <w:rFonts w:ascii="Arial" w:hAnsi="Arial" w:cs="Arial"/>
          <w:color w:val="000000" w:themeColor="text1"/>
          <w:sz w:val="20"/>
          <w:lang w:val="en-GB"/>
        </w:rPr>
        <w:t>nanoLC</w:t>
      </w:r>
      <w:proofErr w:type="spellEnd"/>
      <w:r w:rsidRPr="008F28F2">
        <w:rPr>
          <w:rFonts w:ascii="Arial" w:hAnsi="Arial" w:cs="Arial"/>
          <w:color w:val="000000" w:themeColor="text1"/>
          <w:sz w:val="20"/>
          <w:lang w:val="en-GB"/>
        </w:rPr>
        <w:t xml:space="preserve"> system EASY-</w:t>
      </w:r>
      <w:proofErr w:type="spellStart"/>
      <w:r w:rsidRPr="008F28F2">
        <w:rPr>
          <w:rFonts w:ascii="Arial" w:hAnsi="Arial" w:cs="Arial"/>
          <w:color w:val="000000" w:themeColor="text1"/>
          <w:sz w:val="20"/>
          <w:lang w:val="en-GB"/>
        </w:rPr>
        <w:t>nLC</w:t>
      </w:r>
      <w:proofErr w:type="spellEnd"/>
      <w:r w:rsidRPr="008F28F2">
        <w:rPr>
          <w:rFonts w:ascii="Arial" w:hAnsi="Arial" w:cs="Arial"/>
          <w:color w:val="000000" w:themeColor="text1"/>
          <w:sz w:val="20"/>
          <w:lang w:val="en-GB"/>
        </w:rPr>
        <w:t xml:space="preserve"> 1200 coupled to a LTQ Orbitrap hybrid mass spectrometer (</w:t>
      </w:r>
      <w:proofErr w:type="spellStart"/>
      <w:r w:rsidRPr="008F28F2">
        <w:rPr>
          <w:rFonts w:ascii="Arial" w:hAnsi="Arial" w:cs="Arial"/>
          <w:color w:val="000000" w:themeColor="text1"/>
          <w:sz w:val="20"/>
          <w:lang w:val="en-GB"/>
        </w:rPr>
        <w:t>Thermo</w:t>
      </w:r>
      <w:proofErr w:type="spellEnd"/>
      <w:r w:rsidRPr="008F28F2">
        <w:rPr>
          <w:rFonts w:ascii="Arial" w:hAnsi="Arial" w:cs="Arial"/>
          <w:color w:val="000000" w:themeColor="text1"/>
          <w:sz w:val="20"/>
          <w:lang w:val="en-GB"/>
        </w:rPr>
        <w:t xml:space="preserve"> Scientific). The </w:t>
      </w:r>
      <w:proofErr w:type="spellStart"/>
      <w:r w:rsidRPr="008F28F2">
        <w:rPr>
          <w:rFonts w:ascii="Arial" w:hAnsi="Arial" w:cs="Arial"/>
          <w:color w:val="000000" w:themeColor="text1"/>
          <w:sz w:val="20"/>
          <w:lang w:val="en-GB"/>
        </w:rPr>
        <w:t>nESI</w:t>
      </w:r>
      <w:proofErr w:type="spellEnd"/>
      <w:r w:rsidRPr="008F28F2">
        <w:rPr>
          <w:rFonts w:ascii="Arial" w:hAnsi="Arial" w:cs="Arial"/>
          <w:color w:val="000000" w:themeColor="text1"/>
          <w:sz w:val="20"/>
          <w:lang w:val="en-GB"/>
        </w:rPr>
        <w:t xml:space="preserve"> spray potential was 1.7 kV, capillary and tube lens voltages were 42 and 120 V, respectively. The chromatographic column was an Acclaim</w:t>
      </w:r>
      <w:r w:rsidRPr="008F28F2">
        <w:rPr>
          <w:rFonts w:ascii="Arial" w:hAnsi="Arial" w:cs="Arial"/>
          <w:color w:val="000000" w:themeColor="text1"/>
          <w:sz w:val="20"/>
          <w:vertAlign w:val="superscript"/>
          <w:lang w:val="en-GB"/>
        </w:rPr>
        <w:sym w:font="Symbol" w:char="F0D2"/>
      </w:r>
      <w:r w:rsidRPr="008F28F2">
        <w:rPr>
          <w:rFonts w:ascii="Arial" w:hAnsi="Arial" w:cs="Arial"/>
          <w:color w:val="000000" w:themeColor="text1"/>
          <w:sz w:val="20"/>
          <w:lang w:val="en-GB"/>
        </w:rPr>
        <w:t xml:space="preserve"> </w:t>
      </w:r>
      <w:proofErr w:type="spellStart"/>
      <w:r w:rsidRPr="008F28F2">
        <w:rPr>
          <w:rFonts w:ascii="Arial" w:hAnsi="Arial" w:cs="Arial"/>
          <w:color w:val="000000" w:themeColor="text1"/>
          <w:sz w:val="20"/>
          <w:lang w:val="en-GB"/>
        </w:rPr>
        <w:t>PepMap</w:t>
      </w:r>
      <w:proofErr w:type="spellEnd"/>
      <w:r w:rsidRPr="008F28F2">
        <w:rPr>
          <w:rFonts w:ascii="Arial" w:hAnsi="Arial" w:cs="Arial"/>
          <w:color w:val="000000" w:themeColor="text1"/>
          <w:sz w:val="20"/>
          <w:lang w:val="en-GB"/>
        </w:rPr>
        <w:t xml:space="preserve"> 100 C18, 3 µm, 100 Å, 75 µm x 150 mm, operating at 300 </w:t>
      </w:r>
      <w:proofErr w:type="spellStart"/>
      <w:r w:rsidRPr="008F28F2">
        <w:rPr>
          <w:rFonts w:ascii="Arial" w:hAnsi="Arial" w:cs="Arial"/>
          <w:color w:val="000000" w:themeColor="text1"/>
          <w:sz w:val="20"/>
          <w:lang w:val="en-GB"/>
        </w:rPr>
        <w:t>nL</w:t>
      </w:r>
      <w:proofErr w:type="spellEnd"/>
      <w:r w:rsidRPr="008F28F2">
        <w:rPr>
          <w:rFonts w:ascii="Arial" w:hAnsi="Arial" w:cs="Arial"/>
          <w:color w:val="000000" w:themeColor="text1"/>
          <w:sz w:val="20"/>
          <w:lang w:val="en-GB"/>
        </w:rPr>
        <w:t xml:space="preserve">/min flow rate. Solvent A was 100 % water and solvent B was 80% acetonitrile/20% water, both containing 0.1% formic acid; solvents were of LC-MS grade from Sigma (Sigma Italy, Merck). Elution was done by gradient starting from 2% B for 5 min, to 40% B in 340 min, to 90% B in 5 min and then returned to initial conditions. Data were acquired in data </w:t>
      </w:r>
      <w:r w:rsidRPr="008F28F2">
        <w:rPr>
          <w:rFonts w:ascii="Arial" w:hAnsi="Arial" w:cs="Arial"/>
          <w:color w:val="000000" w:themeColor="text1"/>
          <w:sz w:val="20"/>
          <w:lang w:val="en-GB"/>
        </w:rPr>
        <w:lastRenderedPageBreak/>
        <w:t>dependent manner, performing a survey HRMS full scan from 350 to 2000 m/z at 60000 nominal resolution (at m/z 400) in the Orbitrap, using a 1 x 10</w:t>
      </w:r>
      <w:r w:rsidRPr="008F28F2">
        <w:rPr>
          <w:rFonts w:ascii="Arial" w:hAnsi="Arial" w:cs="Arial"/>
          <w:color w:val="000000" w:themeColor="text1"/>
          <w:sz w:val="20"/>
          <w:vertAlign w:val="superscript"/>
          <w:lang w:val="en-GB"/>
        </w:rPr>
        <w:t>6</w:t>
      </w:r>
      <w:r w:rsidRPr="008F28F2">
        <w:rPr>
          <w:rFonts w:ascii="Arial" w:hAnsi="Arial" w:cs="Arial"/>
          <w:color w:val="000000" w:themeColor="text1"/>
          <w:sz w:val="20"/>
          <w:lang w:val="en-GB"/>
        </w:rPr>
        <w:t xml:space="preserve"> target value. Precursors were isolated from the seven most intense signals above 500 a.u. threshold with an isolation window of 2 Da. Normalized collision energy of 35% and an activation time of 20 ms were used. Precursor ions with no charge state assigned and singly charged did not trigger MS/MS experiments. Precursor masses already selected were dynamically excluded for 30 s with an exclusion window of 20 ppm (repeat count 2, repeat duration 15 s). The acquired data were searched with Mascot 2.4 search engine (Matrix Science Ltd., London, UK) against a human database created from NCBI. Searches were performed allowing: (</w:t>
      </w:r>
      <w:proofErr w:type="spellStart"/>
      <w:r w:rsidRPr="008F28F2">
        <w:rPr>
          <w:rFonts w:ascii="Arial" w:hAnsi="Arial" w:cs="Arial"/>
          <w:color w:val="000000" w:themeColor="text1"/>
          <w:sz w:val="20"/>
          <w:lang w:val="en-GB"/>
        </w:rPr>
        <w:t>i</w:t>
      </w:r>
      <w:proofErr w:type="spellEnd"/>
      <w:r w:rsidRPr="008F28F2">
        <w:rPr>
          <w:rFonts w:ascii="Arial" w:hAnsi="Arial" w:cs="Arial"/>
          <w:color w:val="000000" w:themeColor="text1"/>
          <w:sz w:val="20"/>
          <w:lang w:val="en-GB"/>
        </w:rPr>
        <w:t xml:space="preserve">) trypsin as enzyme, (ii) up to two missed cleavage sites, (iii) 10 ppm of tolerance for the monoisotopic precursor ion and 0.5 mass unit for monoisotopic fragment ions, (iv) </w:t>
      </w:r>
      <w:proofErr w:type="spellStart"/>
      <w:r w:rsidRPr="008F28F2">
        <w:rPr>
          <w:rFonts w:ascii="Arial" w:hAnsi="Arial" w:cs="Arial"/>
          <w:color w:val="000000" w:themeColor="text1"/>
          <w:sz w:val="20"/>
          <w:lang w:val="en-GB"/>
        </w:rPr>
        <w:t>carbamidomethylation</w:t>
      </w:r>
      <w:proofErr w:type="spellEnd"/>
      <w:r w:rsidRPr="008F28F2">
        <w:rPr>
          <w:rFonts w:ascii="Arial" w:hAnsi="Arial" w:cs="Arial"/>
          <w:color w:val="000000" w:themeColor="text1"/>
          <w:sz w:val="20"/>
          <w:lang w:val="en-GB"/>
        </w:rPr>
        <w:t xml:space="preserve"> of cysteine and oxidation of methionine as variable modifications. A target-decoy search was used: a false discovery rate (FDR) of 1% was imposed and the criterion used to accept protein identification included probabilistic score sorted by the software. The exponentially modified PAI (</w:t>
      </w:r>
      <w:proofErr w:type="spellStart"/>
      <w:r w:rsidRPr="008F28F2">
        <w:rPr>
          <w:rFonts w:ascii="Arial" w:hAnsi="Arial" w:cs="Arial"/>
          <w:color w:val="000000" w:themeColor="text1"/>
          <w:sz w:val="20"/>
          <w:lang w:val="en-GB"/>
        </w:rPr>
        <w:t>emPAI</w:t>
      </w:r>
      <w:proofErr w:type="spellEnd"/>
      <w:r w:rsidRPr="008F28F2">
        <w:rPr>
          <w:rFonts w:ascii="Arial" w:hAnsi="Arial" w:cs="Arial"/>
          <w:color w:val="000000" w:themeColor="text1"/>
          <w:sz w:val="20"/>
          <w:lang w:val="en-GB"/>
        </w:rPr>
        <w:t xml:space="preserve">) values were used to estimate protein abundances </w:t>
      </w:r>
      <w:r w:rsidRPr="008F28F2">
        <w:rPr>
          <w:rFonts w:ascii="Arial" w:hAnsi="Arial" w:cs="Arial"/>
          <w:color w:val="000000" w:themeColor="text1"/>
          <w:sz w:val="20"/>
          <w:lang w:val="en-GB"/>
        </w:rPr>
        <w:fldChar w:fldCharType="begin"/>
      </w:r>
      <w:r w:rsidRPr="008F28F2">
        <w:rPr>
          <w:rFonts w:ascii="Arial" w:hAnsi="Arial" w:cs="Arial"/>
          <w:color w:val="000000" w:themeColor="text1"/>
          <w:sz w:val="20"/>
          <w:lang w:val="en-GB"/>
        </w:rPr>
        <w:instrText xml:space="preserve"> ADDIN ZOTERO_ITEM CSL_CITATION {"citationID":"R0wN0rFD","properties":{"formattedCitation":"[24,25]","plainCitation":"[24,25]","noteIndex":0},"citationItems":[{"id":2069,"uris":["http://zotero.org/users/local/it4AD6cT/items/6IY9DXXW"],"itemData":{"id":2069,"type":"article-journal","abstract":"To estimate absolute protein contents in complex mixtures, we previously defined a protein abundance index (PAI) as the number of observed peptides divided by the number of observable peptides per protein (Rappsilber, J., Ryder, U., Lamond, A. I., and Mann, M. (2002) Large-scale proteomic analysis of the human spliceosome. Genome. Res. 12, 1231-1245). Here we report that PAI values obtained at different concentrations of serum albumin show a linear relationship with the logarithm of protein concentration in LC-MS/MS experiments. This was also the case for 46 proteins in a mouse whole cell lysate. For absolute quantitation, PAI was converted to exponentially modified PAI (emPAI), equal to 10PAI minus one, which is proportional to protein content in a protein mixture. For the 46 proteins in the whole lysate, the deviation percentages of the emPAI-based abundances from the actual values were within 63% on average, similar or better than determination of abundance by protein staining. emPAI was applied to comprehensive protein expression analysis and to a comparison study between gene and protein expression in a human cancer cell line, HCT116. The values of emPAI are easily calculated and add important quantitation information to proteomic experiments; therefore we suggest that they should be reported in large scale proteomic identification projects.","container-title":"Molecular &amp; cellular proteomics: MCP","DOI":"10.1074/mcp.M500061-MCP200","ISSN":"1535-9476","issue":"9","journalAbbreviation":"Mol Cell Proteomics","language":"eng","note":"PMID: 15958392","page":"1265-1272","source":"PubMed","title":"Exponentially modified protein abundance index (emPAI) for estimation of absolute protein amount in proteomics by the number of sequenced peptides per protein","volume":"4","author":[{"family":"Ishihama","given":"Yasushi"},{"family":"Oda","given":"Yoshiya"},{"family":"Tabata","given":"Tsuyoshi"},{"family":"Sato","given":"Toshitaka"},{"family":"Nagasu","given":"Takeshi"},{"family":"Rappsilber","given":"Juri"},{"family":"Mann","given":"Matthias"}],"issued":{"date-parts":[["2005",9]]}}},{"id":2066,"uris":["http://zotero.org/users/local/it4AD6cT/items/KISVR8IM"],"itemData":{"id":2066,"type":"article-journal","abstract":"SUMMARY: emPAI Calc is an open-source web application for the estimation of protein abundance. It uses the correlation between the number of identified peptides and protein abundance in mass spectrometry-based proteomic experiments. The program is the first implementation of our previously reported emPAI algorithm; it calculates the emPAI from the protein identification results obtained by database search engines such as Mascot.","container-title":"Bioinformatics (Oxford, England)","DOI":"10.1093/bioinformatics/btp700","ISSN":"1367-4811","issue":"4","journalAbbreviation":"Bioinformatics","language":"eng","note":"PMID: 20031975","page":"576-577","source":"PubMed","title":"emPAI Calc--for the estimation of protein abundance from large-scale identification data by liquid chromatography-tandem mass spectrometry","volume":"26","author":[{"family":"Shinoda","given":"Kosaku"},{"family":"Tomita","given":"Masaru"},{"family":"Ishihama","given":"Yasushi"}],"issued":{"date-parts":[["2010",2,15]]}}}],"schema":"https://github.com/citation-style-language/schema/raw/master/csl-citation.json"} </w:instrText>
      </w:r>
      <w:r w:rsidRPr="008F28F2">
        <w:rPr>
          <w:rFonts w:ascii="Arial" w:hAnsi="Arial" w:cs="Arial"/>
          <w:color w:val="000000" w:themeColor="text1"/>
          <w:sz w:val="20"/>
          <w:lang w:val="en-GB"/>
        </w:rPr>
        <w:fldChar w:fldCharType="separate"/>
      </w:r>
      <w:r w:rsidRPr="008F28F2">
        <w:rPr>
          <w:rFonts w:ascii="Arial" w:hAnsi="Arial" w:cs="Arial"/>
          <w:sz w:val="20"/>
          <w:lang w:val="en-GB"/>
        </w:rPr>
        <w:t>[24,25]</w:t>
      </w:r>
      <w:r w:rsidRPr="008F28F2">
        <w:rPr>
          <w:rFonts w:ascii="Arial" w:hAnsi="Arial" w:cs="Arial"/>
          <w:color w:val="000000" w:themeColor="text1"/>
          <w:sz w:val="20"/>
          <w:lang w:val="en-GB"/>
        </w:rPr>
        <w:fldChar w:fldCharType="end"/>
      </w:r>
      <w:r w:rsidRPr="008F28F2">
        <w:rPr>
          <w:rFonts w:ascii="Arial" w:hAnsi="Arial" w:cs="Arial"/>
          <w:color w:val="000000" w:themeColor="text1"/>
          <w:sz w:val="20"/>
          <w:lang w:val="en-GB"/>
        </w:rPr>
        <w:t xml:space="preserve">. Considering that the </w:t>
      </w:r>
      <w:proofErr w:type="spellStart"/>
      <w:r w:rsidRPr="008F28F2">
        <w:rPr>
          <w:rFonts w:ascii="Arial" w:hAnsi="Arial" w:cs="Arial"/>
          <w:color w:val="000000" w:themeColor="text1"/>
          <w:sz w:val="20"/>
          <w:lang w:val="en-GB"/>
        </w:rPr>
        <w:t>emPAI</w:t>
      </w:r>
      <w:proofErr w:type="spellEnd"/>
      <w:r w:rsidRPr="008F28F2">
        <w:rPr>
          <w:rFonts w:ascii="Arial" w:hAnsi="Arial" w:cs="Arial"/>
          <w:color w:val="000000" w:themeColor="text1"/>
          <w:sz w:val="20"/>
          <w:lang w:val="en-GB"/>
        </w:rPr>
        <w:t xml:space="preserve"> score can be considered approximately proportional to the mass/volume concentration of the compound, </w:t>
      </w:r>
      <w:proofErr w:type="gramStart"/>
      <w:r w:rsidRPr="008F28F2">
        <w:rPr>
          <w:rFonts w:ascii="Arial" w:hAnsi="Arial" w:cs="Arial"/>
          <w:color w:val="000000" w:themeColor="text1"/>
          <w:sz w:val="20"/>
          <w:lang w:val="en-GB"/>
        </w:rPr>
        <w:t>in order to</w:t>
      </w:r>
      <w:proofErr w:type="gramEnd"/>
      <w:r w:rsidRPr="008F28F2">
        <w:rPr>
          <w:rFonts w:ascii="Arial" w:hAnsi="Arial" w:cs="Arial"/>
          <w:color w:val="000000" w:themeColor="text1"/>
          <w:sz w:val="20"/>
          <w:lang w:val="en-GB"/>
        </w:rPr>
        <w:t xml:space="preserve"> make comparisons among fractions, we multiplied the </w:t>
      </w:r>
      <w:proofErr w:type="spellStart"/>
      <w:r w:rsidRPr="008F28F2">
        <w:rPr>
          <w:rFonts w:ascii="Arial" w:hAnsi="Arial" w:cs="Arial"/>
          <w:color w:val="000000" w:themeColor="text1"/>
          <w:sz w:val="20"/>
          <w:lang w:val="en-GB"/>
        </w:rPr>
        <w:t>emPAI</w:t>
      </w:r>
      <w:proofErr w:type="spellEnd"/>
      <w:r w:rsidRPr="008F28F2">
        <w:rPr>
          <w:rFonts w:ascii="Arial" w:hAnsi="Arial" w:cs="Arial"/>
          <w:color w:val="000000" w:themeColor="text1"/>
          <w:sz w:val="20"/>
          <w:lang w:val="en-GB"/>
        </w:rPr>
        <w:t xml:space="preserve"> score with the molecular weight (MW) in kDa to obtain a value proportional to the mass/volume concentration. </w:t>
      </w:r>
    </w:p>
    <w:p w14:paraId="3DE1C987" w14:textId="77777777" w:rsidR="000746D6" w:rsidRPr="008F28F2" w:rsidRDefault="000746D6" w:rsidP="000746D6">
      <w:pPr>
        <w:pBdr>
          <w:top w:val="nil"/>
          <w:left w:val="nil"/>
          <w:bottom w:val="nil"/>
          <w:right w:val="nil"/>
          <w:between w:val="nil"/>
        </w:pBdr>
        <w:contextualSpacing/>
        <w:jc w:val="both"/>
        <w:rPr>
          <w:rFonts w:ascii="Arial" w:hAnsi="Arial" w:cs="Arial"/>
          <w:color w:val="000000" w:themeColor="text1"/>
          <w:sz w:val="20"/>
          <w:lang w:val="en-GB"/>
        </w:rPr>
      </w:pPr>
    </w:p>
    <w:p w14:paraId="19FD18B0" w14:textId="4ECCFFBE" w:rsidR="000746D6" w:rsidRPr="008F28F2" w:rsidRDefault="000746D6" w:rsidP="000746D6">
      <w:pPr>
        <w:keepNext/>
        <w:spacing w:before="240" w:after="60"/>
        <w:outlineLvl w:val="1"/>
        <w:rPr>
          <w:rFonts w:ascii="Arial" w:hAnsi="Arial" w:cs="Arial"/>
          <w:b/>
          <w:bCs/>
          <w:color w:val="000000" w:themeColor="text1"/>
          <w:sz w:val="22"/>
          <w:szCs w:val="22"/>
          <w:lang w:val="en-GB"/>
        </w:rPr>
      </w:pPr>
      <w:r w:rsidRPr="008F28F2">
        <w:rPr>
          <w:rFonts w:ascii="Arial" w:hAnsi="Arial" w:cs="Arial"/>
          <w:b/>
          <w:bCs/>
          <w:color w:val="000000" w:themeColor="text1"/>
          <w:sz w:val="22"/>
          <w:szCs w:val="22"/>
          <w:lang w:val="en-GB"/>
        </w:rPr>
        <w:t xml:space="preserve">Transmission electron microscopy </w:t>
      </w:r>
    </w:p>
    <w:p w14:paraId="1DA8C6D8" w14:textId="77777777" w:rsidR="000746D6" w:rsidRPr="008F28F2" w:rsidRDefault="000746D6" w:rsidP="000746D6">
      <w:pPr>
        <w:keepNext/>
        <w:pBdr>
          <w:top w:val="nil"/>
          <w:left w:val="nil"/>
          <w:bottom w:val="nil"/>
          <w:right w:val="nil"/>
          <w:between w:val="nil"/>
        </w:pBdr>
        <w:spacing w:before="240" w:after="60"/>
        <w:contextualSpacing/>
        <w:jc w:val="both"/>
        <w:rPr>
          <w:rFonts w:ascii="Arial" w:hAnsi="Arial" w:cs="Arial"/>
          <w:color w:val="000000" w:themeColor="text1"/>
          <w:sz w:val="20"/>
          <w:lang w:val="en-GB"/>
        </w:rPr>
      </w:pPr>
      <w:r w:rsidRPr="008F28F2">
        <w:rPr>
          <w:rFonts w:ascii="Arial" w:hAnsi="Arial" w:cs="Arial"/>
          <w:color w:val="000000" w:themeColor="text1"/>
          <w:sz w:val="20"/>
          <w:lang w:val="en-GB"/>
        </w:rPr>
        <w:t xml:space="preserve">The final reaction products of SAA for samples containing α-syn 0.7 mg/mL, LDL 0.3 mg/mL, α-syn 0.7 mg/mL + LDL 0.3 mg/mL, α-syn 0.7 mg/mL + HDL 0.3 mg/mL and α-syn 0.7 mg/mL + pooled human CSF (1:5 ratio) were diluted 3-fold in water. Ten µL of each dilution was adsorbed onto 200-mesh Formvar-carbon coated nickel grids, at room temperature. After 30 minutes, the remaining drop was dried using filter paper and the grids were stained with 25% Uranyl Acetate Replacement (negative staining) for 10 min and air-dried for 15 minutes. Images were taken using a FEI </w:t>
      </w:r>
      <w:proofErr w:type="spellStart"/>
      <w:r w:rsidRPr="008F28F2">
        <w:rPr>
          <w:rFonts w:ascii="Arial" w:hAnsi="Arial" w:cs="Arial"/>
          <w:color w:val="000000" w:themeColor="text1"/>
          <w:sz w:val="20"/>
          <w:lang w:val="en-GB"/>
        </w:rPr>
        <w:t>Tecnai</w:t>
      </w:r>
      <w:proofErr w:type="spellEnd"/>
      <w:r w:rsidRPr="008F28F2">
        <w:rPr>
          <w:rFonts w:ascii="Arial" w:hAnsi="Arial" w:cs="Arial"/>
          <w:color w:val="000000" w:themeColor="text1"/>
          <w:sz w:val="20"/>
          <w:lang w:val="en-GB"/>
        </w:rPr>
        <w:t xml:space="preserve"> Spirit electron microscope (120 kV), equipped with an </w:t>
      </w:r>
      <w:proofErr w:type="spellStart"/>
      <w:r w:rsidRPr="008F28F2">
        <w:rPr>
          <w:rFonts w:ascii="Arial" w:hAnsi="Arial" w:cs="Arial"/>
          <w:color w:val="000000" w:themeColor="text1"/>
          <w:sz w:val="20"/>
          <w:lang w:val="en-GB"/>
        </w:rPr>
        <w:t>Olimpus</w:t>
      </w:r>
      <w:proofErr w:type="spellEnd"/>
      <w:r w:rsidRPr="008F28F2">
        <w:rPr>
          <w:rFonts w:ascii="Arial" w:hAnsi="Arial" w:cs="Arial"/>
          <w:color w:val="000000" w:themeColor="text1"/>
          <w:sz w:val="20"/>
          <w:lang w:val="en-GB"/>
        </w:rPr>
        <w:t xml:space="preserve"> </w:t>
      </w:r>
      <w:proofErr w:type="spellStart"/>
      <w:r w:rsidRPr="008F28F2">
        <w:rPr>
          <w:rFonts w:ascii="Arial" w:hAnsi="Arial" w:cs="Arial"/>
          <w:color w:val="000000" w:themeColor="text1"/>
          <w:sz w:val="20"/>
          <w:lang w:val="en-GB"/>
        </w:rPr>
        <w:t>Megaview</w:t>
      </w:r>
      <w:proofErr w:type="spellEnd"/>
      <w:r w:rsidRPr="008F28F2">
        <w:rPr>
          <w:rFonts w:ascii="Arial" w:hAnsi="Arial" w:cs="Arial"/>
          <w:color w:val="000000" w:themeColor="text1"/>
          <w:sz w:val="20"/>
          <w:lang w:val="en-GB"/>
        </w:rPr>
        <w:t xml:space="preserve"> G2camera.</w:t>
      </w:r>
    </w:p>
    <w:p w14:paraId="5D38CA11" w14:textId="77777777" w:rsidR="000746D6" w:rsidRPr="008F28F2" w:rsidRDefault="000746D6" w:rsidP="001B39D0">
      <w:pPr>
        <w:keepNext/>
        <w:spacing w:before="240" w:after="60"/>
        <w:outlineLvl w:val="0"/>
        <w:rPr>
          <w:rFonts w:ascii="Arial" w:hAnsi="Arial" w:cs="Arial"/>
          <w:b/>
          <w:bCs/>
          <w:color w:val="000000"/>
          <w:kern w:val="32"/>
          <w:szCs w:val="24"/>
        </w:rPr>
      </w:pPr>
    </w:p>
    <w:p w14:paraId="2E8E4843" w14:textId="5B6D4B82" w:rsidR="001B39D0" w:rsidRPr="008F28F2" w:rsidRDefault="001B39D0" w:rsidP="001B39D0">
      <w:pPr>
        <w:keepNext/>
        <w:spacing w:before="240" w:after="60"/>
        <w:outlineLvl w:val="0"/>
        <w:rPr>
          <w:rFonts w:ascii="Arial" w:hAnsi="Arial" w:cs="Arial"/>
          <w:b/>
          <w:bCs/>
          <w:color w:val="000000"/>
          <w:kern w:val="32"/>
          <w:szCs w:val="24"/>
        </w:rPr>
      </w:pPr>
      <w:r w:rsidRPr="008F28F2">
        <w:rPr>
          <w:rFonts w:ascii="Arial" w:hAnsi="Arial" w:cs="Arial"/>
          <w:b/>
          <w:bCs/>
          <w:color w:val="000000"/>
          <w:kern w:val="32"/>
          <w:szCs w:val="24"/>
        </w:rPr>
        <w:t>Supplementary Results</w:t>
      </w:r>
    </w:p>
    <w:p w14:paraId="23770EBA" w14:textId="77777777" w:rsidR="001B39D0" w:rsidRPr="008F28F2" w:rsidRDefault="001B39D0" w:rsidP="001B39D0">
      <w:pPr>
        <w:keepNext/>
        <w:spacing w:before="240" w:after="60"/>
        <w:outlineLvl w:val="1"/>
        <w:rPr>
          <w:rFonts w:ascii="Arial" w:hAnsi="Arial" w:cs="Arial"/>
          <w:b/>
          <w:bCs/>
          <w:color w:val="000000"/>
          <w:sz w:val="22"/>
          <w:szCs w:val="32"/>
        </w:rPr>
      </w:pPr>
      <w:r w:rsidRPr="008F28F2">
        <w:rPr>
          <w:rFonts w:ascii="Arial" w:hAnsi="Arial" w:cs="Arial"/>
          <w:b/>
          <w:bCs/>
          <w:color w:val="000000"/>
          <w:sz w:val="22"/>
          <w:szCs w:val="32"/>
        </w:rPr>
        <w:t>Solution NMR experiments on CSF fractions</w:t>
      </w:r>
    </w:p>
    <w:p w14:paraId="297CCDFD" w14:textId="49DCD277" w:rsidR="001B39D0" w:rsidRPr="008F28F2" w:rsidRDefault="001B39D0" w:rsidP="001B39D0">
      <w:pPr>
        <w:pBdr>
          <w:top w:val="nil"/>
          <w:left w:val="nil"/>
          <w:bottom w:val="nil"/>
          <w:right w:val="nil"/>
          <w:between w:val="nil"/>
        </w:pBdr>
        <w:spacing w:after="200"/>
        <w:contextualSpacing/>
        <w:jc w:val="both"/>
        <w:rPr>
          <w:rFonts w:ascii="Arial" w:hAnsi="Arial" w:cs="Arial"/>
          <w:bCs/>
          <w:color w:val="000000"/>
          <w:sz w:val="20"/>
        </w:rPr>
      </w:pPr>
      <w:r w:rsidRPr="008F28F2">
        <w:rPr>
          <w:rFonts w:ascii="Arial" w:hAnsi="Arial" w:cs="Arial"/>
          <w:bCs/>
          <w:color w:val="000000"/>
          <w:sz w:val="20"/>
        </w:rPr>
        <w:t xml:space="preserve">To clarify the molecular basis of the inhibition of α-syn aggregation by CSF, we titrated </w:t>
      </w:r>
      <w:r w:rsidRPr="008F28F2">
        <w:rPr>
          <w:rFonts w:ascii="Arial" w:hAnsi="Arial" w:cs="Arial"/>
          <w:bCs/>
          <w:color w:val="000000"/>
          <w:sz w:val="20"/>
          <w:vertAlign w:val="superscript"/>
        </w:rPr>
        <w:t>15</w:t>
      </w:r>
      <w:r w:rsidRPr="008F28F2">
        <w:rPr>
          <w:rFonts w:ascii="Arial" w:hAnsi="Arial" w:cs="Arial"/>
          <w:bCs/>
          <w:color w:val="000000"/>
          <w:sz w:val="20"/>
        </w:rPr>
        <w:t xml:space="preserve">N isotopically enriched monomeric α-syn (1.44 mg/mL, 100 μM) with all the CSF fractions and evaluated the intensity changes in α-syn amide resonances by 2D </w:t>
      </w:r>
      <w:r w:rsidRPr="008F28F2">
        <w:rPr>
          <w:rFonts w:ascii="Arial" w:hAnsi="Arial" w:cs="Arial"/>
          <w:bCs/>
          <w:color w:val="000000"/>
          <w:sz w:val="20"/>
          <w:vertAlign w:val="superscript"/>
        </w:rPr>
        <w:t>1</w:t>
      </w:r>
      <w:r w:rsidRPr="008F28F2">
        <w:rPr>
          <w:rFonts w:ascii="Arial" w:hAnsi="Arial" w:cs="Arial"/>
          <w:bCs/>
          <w:color w:val="000000"/>
          <w:sz w:val="20"/>
        </w:rPr>
        <w:t>H-</w:t>
      </w:r>
      <w:r w:rsidRPr="008F28F2">
        <w:rPr>
          <w:rFonts w:ascii="Arial" w:hAnsi="Arial" w:cs="Arial"/>
          <w:bCs/>
          <w:color w:val="000000"/>
          <w:sz w:val="20"/>
          <w:vertAlign w:val="superscript"/>
        </w:rPr>
        <w:t>15</w:t>
      </w:r>
      <w:r w:rsidRPr="008F28F2">
        <w:rPr>
          <w:rFonts w:ascii="Arial" w:hAnsi="Arial" w:cs="Arial"/>
          <w:bCs/>
          <w:color w:val="000000"/>
          <w:sz w:val="20"/>
        </w:rPr>
        <w:t>N HSQC solution NMR spectra. Relevant intensity decreases were observed by titrating α-syn with whole CSF and with the &lt;3 kDa fraction (Fig. S</w:t>
      </w:r>
      <w:r w:rsidR="00E906A1" w:rsidRPr="008F28F2">
        <w:rPr>
          <w:rFonts w:ascii="Arial" w:hAnsi="Arial" w:cs="Arial"/>
          <w:bCs/>
          <w:color w:val="000000"/>
          <w:sz w:val="20"/>
        </w:rPr>
        <w:t>4</w:t>
      </w:r>
      <w:r w:rsidRPr="008F28F2">
        <w:rPr>
          <w:rFonts w:ascii="Arial" w:hAnsi="Arial" w:cs="Arial"/>
          <w:bCs/>
          <w:color w:val="000000"/>
          <w:sz w:val="20"/>
        </w:rPr>
        <w:t>A and S</w:t>
      </w:r>
      <w:r w:rsidR="00E906A1" w:rsidRPr="008F28F2">
        <w:rPr>
          <w:rFonts w:ascii="Arial" w:hAnsi="Arial" w:cs="Arial"/>
          <w:bCs/>
          <w:color w:val="000000"/>
          <w:sz w:val="20"/>
        </w:rPr>
        <w:t>4</w:t>
      </w:r>
      <w:r w:rsidRPr="008F28F2">
        <w:rPr>
          <w:rFonts w:ascii="Arial" w:hAnsi="Arial" w:cs="Arial"/>
          <w:bCs/>
          <w:color w:val="000000"/>
          <w:sz w:val="20"/>
        </w:rPr>
        <w:t>B), while no relevant intensity decreases were detected for the other fractions (as an example, the results for the &gt;100 kDa fraction are shown in Fig. S</w:t>
      </w:r>
      <w:r w:rsidR="00E906A1" w:rsidRPr="008F28F2">
        <w:rPr>
          <w:rFonts w:ascii="Arial" w:hAnsi="Arial" w:cs="Arial"/>
          <w:bCs/>
          <w:color w:val="000000"/>
          <w:sz w:val="20"/>
        </w:rPr>
        <w:t>4</w:t>
      </w:r>
      <w:r w:rsidRPr="008F28F2">
        <w:rPr>
          <w:rFonts w:ascii="Arial" w:hAnsi="Arial" w:cs="Arial"/>
          <w:bCs/>
          <w:color w:val="000000"/>
          <w:sz w:val="20"/>
        </w:rPr>
        <w:t>C). However, the intensity decreases observed by titrating α-syn with whole CSF and with the &lt;3 kDa fraction were accompanied by a shift in the position of the amide-proton of histidine-50 (for whole CSF Δ</w:t>
      </w:r>
      <w:r w:rsidRPr="008F28F2">
        <w:rPr>
          <w:rFonts w:ascii="Arial" w:hAnsi="Arial" w:cs="Arial"/>
          <w:bCs/>
          <w:color w:val="000000"/>
          <w:sz w:val="20"/>
          <w:vertAlign w:val="superscript"/>
        </w:rPr>
        <w:t>1</w:t>
      </w:r>
      <w:r w:rsidRPr="008F28F2">
        <w:rPr>
          <w:rFonts w:ascii="Arial" w:hAnsi="Arial" w:cs="Arial"/>
          <w:bCs/>
          <w:color w:val="000000"/>
          <w:sz w:val="20"/>
        </w:rPr>
        <w:t>H = 0.042 ppm, Δ</w:t>
      </w:r>
      <w:r w:rsidRPr="008F28F2">
        <w:rPr>
          <w:rFonts w:ascii="Arial" w:hAnsi="Arial" w:cs="Arial"/>
          <w:bCs/>
          <w:color w:val="000000"/>
          <w:sz w:val="20"/>
          <w:vertAlign w:val="superscript"/>
        </w:rPr>
        <w:t>15</w:t>
      </w:r>
      <w:r w:rsidRPr="008F28F2">
        <w:rPr>
          <w:rFonts w:ascii="Arial" w:hAnsi="Arial" w:cs="Arial"/>
          <w:bCs/>
          <w:color w:val="000000"/>
          <w:sz w:val="20"/>
        </w:rPr>
        <w:t xml:space="preserve">N = 0.26 ppm). The resonance frequency of histidine-50 amide protons of α-syn is known to be particularly sensitive to pH changes, which also affect the chemical exchange between bulk water protons and amide protons, which in turn modulates the intensity of peaks in 2D </w:t>
      </w:r>
      <w:r w:rsidRPr="008F28F2">
        <w:rPr>
          <w:rFonts w:ascii="Arial" w:hAnsi="Arial" w:cs="Arial"/>
          <w:bCs/>
          <w:color w:val="000000"/>
          <w:sz w:val="20"/>
          <w:vertAlign w:val="superscript"/>
        </w:rPr>
        <w:t>1</w:t>
      </w:r>
      <w:r w:rsidRPr="008F28F2">
        <w:rPr>
          <w:rFonts w:ascii="Arial" w:hAnsi="Arial" w:cs="Arial"/>
          <w:bCs/>
          <w:color w:val="000000"/>
          <w:sz w:val="20"/>
        </w:rPr>
        <w:t>H-</w:t>
      </w:r>
      <w:r w:rsidRPr="008F28F2">
        <w:rPr>
          <w:rFonts w:ascii="Arial" w:hAnsi="Arial" w:cs="Arial"/>
          <w:bCs/>
          <w:color w:val="000000"/>
          <w:sz w:val="20"/>
          <w:vertAlign w:val="superscript"/>
        </w:rPr>
        <w:t>15</w:t>
      </w:r>
      <w:r w:rsidRPr="008F28F2">
        <w:rPr>
          <w:rFonts w:ascii="Arial" w:hAnsi="Arial" w:cs="Arial"/>
          <w:bCs/>
          <w:color w:val="000000"/>
          <w:sz w:val="20"/>
        </w:rPr>
        <w:t>N HSQC solution NMR spectra. To test whether CSF could produce such a pH change also in the presence of PBS, we performed pH measurements over-time on the whole CSF fraction (2/3 CSF + 1/3 PBS 3x) and in undiluted CSF. The results of these experiments are shown in Fig. S</w:t>
      </w:r>
      <w:r w:rsidR="00E906A1" w:rsidRPr="008F28F2">
        <w:rPr>
          <w:rFonts w:ascii="Arial" w:hAnsi="Arial" w:cs="Arial"/>
          <w:bCs/>
          <w:color w:val="000000"/>
          <w:sz w:val="20"/>
        </w:rPr>
        <w:t>5</w:t>
      </w:r>
      <w:r w:rsidRPr="008F28F2">
        <w:rPr>
          <w:rFonts w:ascii="Arial" w:hAnsi="Arial" w:cs="Arial"/>
          <w:bCs/>
          <w:color w:val="000000"/>
          <w:sz w:val="20"/>
        </w:rPr>
        <w:t xml:space="preserve">: exposing CSF to air upon vigorous shaking caused a significant increase in pH both in the presence and absence of PBS. This effect had been reported previously </w:t>
      </w:r>
      <w:r w:rsidRPr="008F28F2">
        <w:rPr>
          <w:rFonts w:ascii="Arial" w:hAnsi="Arial" w:cs="Arial"/>
          <w:bCs/>
          <w:color w:val="000000"/>
          <w:sz w:val="20"/>
        </w:rPr>
        <w:fldChar w:fldCharType="begin"/>
      </w:r>
      <w:r w:rsidR="008D3877" w:rsidRPr="008F28F2">
        <w:rPr>
          <w:rFonts w:ascii="Arial" w:hAnsi="Arial" w:cs="Arial"/>
          <w:bCs/>
          <w:color w:val="000000"/>
          <w:sz w:val="20"/>
        </w:rPr>
        <w:instrText xml:space="preserve"> ADDIN ZOTERO_ITEM CSL_CITATION {"citationID":"mm2CrPZe","properties":{"formattedCitation":"(1, 2)","plainCitation":"(1, 2)","noteIndex":0},"citationItems":[{"id":1772,"uris":["http://zotero.org/users/local/it4AD6cT/items/WXBQFJ3X"],"itemData":{"id":1772,"type":"article-journal","abstract":"AIMS: To determine the effect of pH changes occurring in cerebrospinal fluid (CSF) after sampling on the viability of meningitis causing bacteria, and on the performance of agglutination assays used for the rapid detection of bacterial antigens.\nMETHODS: The pH of CSF collected via lumbar puncture was measured by various methods, and the effects of the following different incubation conditions on subsequent changes were determined: air at 4 degrees C; air at room temperature (22 degrees C); air at 37 degrees C; and air with 5% CO2 at 37 degrees C. The growth/survival in pooled CSF of 15 bacterial isolates collected from 74 patients with meningitis was assessed in these incubation conditions over 24 hours. The effects of pH changes in the CSF on the sensitivity of two latex agglutination and one co-agglutination kits for detecting Haemophilus influenzae, Neisseria meningitidis groups B and C, and Streptococcus pneumoniae were determined.\nRESULTS: The measured pH of CSF was highly affected by the method used and particularly the time delay between patient sampling and assay. Measured pH values at the time of sampling (mean 7.5) increased rapidly within 60 seconds by about one unit. CSF pH continued to increase during incubation in all tested conditions (up to approximately pH 10), with the exception of in air with 5% CO2 at 37 degrees C where pH changes were reversible and near physiological values were attained. Bacterial survival for all species tested was poorest in CSF incubated in air at 37 degrees C and best following exposure to air with 5% CO2 at 37 degrees C. Agglutination in rapid antigen detection kits with CSF incubated in air as opposed to air with 5% CO2 generally took longer to occur and in some instances was less prominent. In one case a false negative result was obtained with CSF seeded with N meningitidis group B incubated in the former but not the latter conditions.\nCONCLUSIONS: CSF pH increases after patient sampling are minimised and/or mostly reversed by incubation in an atmosphere containing 5% CO2. CSF samples should ideally be placed in such an atmosphere as soon as possible after collection, and left there until laboratory processing occurs, to reduce the detrimental effects of pH stress on bacterial survival. pH increases may also reduce the likelihood of obtaining a positive result in rapid antigen detection assays.","container-title":"Journal of Clinical Pathology","DOI":"10.1136/jcp.49.3.249","ISSN":"0021-9746","issue":"3","journalAbbreviation":"J Clin Pathol","language":"eng","note":"PMID: 8675739\nPMCID: PMC500408","page":"249-253","source":"PubMed","title":"Effect of pH changes in cerebrospinal fluid specimens on bacterial survival and antigen test results","volume":"49","author":[{"family":"Cunniffe","given":"J. G."},{"family":"Whitby-Strevens","given":"S."},{"family":"Wilcox","given":"M. H."}],"issued":{"date-parts":[["1996",3]]}}},{"id":1812,"uris":["http://zotero.org/users/local/it4AD6cT/items/VZU57P7N"],"itemData":{"id":1812,"type":"article-journal","abstract":"The pH of ex vivo plasma, bile and urine was monitored at different times and temperatures of storage, and following different sample processing methods such as ultrafiltration, centrifugation, precipitation and evaporation. The results showed that the pH of ex vivo plasma, bile and urine increased upon storage, and following sample processing and could lead to significant degradation of pH-labile compounds. Several compounds were used to illustrate the impact of pH shifts on drug stability and interpretation of results obtained from in vivo studies. For example, after 1 h of incubation (37°C) in rat plasma (pH 8.3), about 60% of I was lost. However, in phosphate buffer, losses were about 12% at pH 7.4 and 40% at pH 8.0. Plasma pH also increased during ultrafiltration, centrifugation and extraction. After methanol precipitation of plasma proteins, and evaporation of the supernatant and redissolution of the residue, the resulting solution had a pH of 9.5. Under these conditions, II was degraded by 60% but was stable when phosphate buffer was used to maintain the pH at 7.4. The shift in plasma pH can yield misleading results from in vivo studies if the pH is not controlled. For example, the major circulating metabolite of II was also formed in plasma ex-vivo. This ex vivo degradation was prevented when blood samples were collected into tubes containing 0.1 volume of phosphate buffer (0.3 M, pH 5). The pH of ex vivo plasma can best be stabilized at physiological conditions using 10% CO2 atmosphere in a CO2 incubator. Changes in pH of ex vivo urine and bile samples can have similar adverse effect on pH-labile samples. Thus, processing of plasma samples under a 10% CO2 atmosphere is a method of choice for stability or protein binding studies in plasma, whereas citrate or phosphate buffers are suitable for stabilizing pH in bile and urine and for plasma samples requiring extensive preparations or long term storage.","container-title":"Journal of Pharmaceutical and Biomedical Analysis","DOI":"10.1016/S0731-7085(03)00159-6","ISSN":"0731-7085","issue":"3","journalAbbreviation":"Journal of Pharmaceutical and Biomedical Analysis","language":"en","page":"513-522","source":"ScienceDirect","title":"Shift in pH of biological fluids during storage and processing: effect on bioanalysis","title-short":"Shift in pH of biological fluids during storage and processing","volume":"32","author":[{"family":"Fura","given":"Aberra"},{"family":"Harper","given":"Timothy W"},{"family":"Zhang","given":"Hongjian"},{"family":"Fung","given":"Lawrence"},{"family":"Shyu","given":"Wen Chyi"}],"issued":{"date-parts":[["2003",7,14]]}}}],"schema":"https://github.com/citation-style-language/schema/raw/master/csl-citation.json"} </w:instrText>
      </w:r>
      <w:r w:rsidRPr="008F28F2">
        <w:rPr>
          <w:rFonts w:ascii="Arial" w:hAnsi="Arial" w:cs="Arial"/>
          <w:bCs/>
          <w:color w:val="000000"/>
          <w:sz w:val="20"/>
        </w:rPr>
        <w:fldChar w:fldCharType="separate"/>
      </w:r>
      <w:r w:rsidR="008D3877" w:rsidRPr="008F28F2">
        <w:rPr>
          <w:rFonts w:ascii="Arial" w:hAnsi="Arial" w:cs="Arial"/>
          <w:sz w:val="20"/>
        </w:rPr>
        <w:t>(1, 2)</w:t>
      </w:r>
      <w:r w:rsidRPr="008F28F2">
        <w:rPr>
          <w:rFonts w:ascii="Arial" w:hAnsi="Arial" w:cs="Arial"/>
          <w:bCs/>
          <w:color w:val="000000"/>
          <w:sz w:val="20"/>
        </w:rPr>
        <w:fldChar w:fldCharType="end"/>
      </w:r>
      <w:r w:rsidRPr="008F28F2">
        <w:rPr>
          <w:rFonts w:ascii="Arial" w:hAnsi="Arial" w:cs="Arial"/>
          <w:bCs/>
          <w:color w:val="000000"/>
          <w:sz w:val="20"/>
        </w:rPr>
        <w:t xml:space="preserve"> and is produced by the loss of carbon dioxide from CSF (and the consequent displacement of the CO</w:t>
      </w:r>
      <w:r w:rsidRPr="008F28F2">
        <w:rPr>
          <w:rFonts w:ascii="Arial" w:hAnsi="Arial" w:cs="Arial"/>
          <w:bCs/>
          <w:color w:val="000000"/>
          <w:sz w:val="20"/>
          <w:vertAlign w:val="subscript"/>
        </w:rPr>
        <w:t>2</w:t>
      </w:r>
      <w:r w:rsidRPr="008F28F2">
        <w:rPr>
          <w:rFonts w:ascii="Arial" w:hAnsi="Arial" w:cs="Arial"/>
          <w:bCs/>
          <w:color w:val="000000"/>
          <w:sz w:val="20"/>
        </w:rPr>
        <w:t>/HCO</w:t>
      </w:r>
      <w:r w:rsidRPr="008F28F2">
        <w:rPr>
          <w:rFonts w:ascii="Arial" w:hAnsi="Arial" w:cs="Arial"/>
          <w:bCs/>
          <w:color w:val="000000"/>
          <w:sz w:val="20"/>
          <w:vertAlign w:val="subscript"/>
        </w:rPr>
        <w:t>3</w:t>
      </w:r>
      <w:r w:rsidRPr="008F28F2">
        <w:rPr>
          <w:rFonts w:ascii="Arial" w:hAnsi="Arial" w:cs="Arial"/>
          <w:bCs/>
          <w:color w:val="000000"/>
          <w:sz w:val="20"/>
          <w:vertAlign w:val="superscript"/>
        </w:rPr>
        <w:t>–</w:t>
      </w:r>
      <w:r w:rsidRPr="008F28F2">
        <w:rPr>
          <w:rFonts w:ascii="Arial" w:hAnsi="Arial" w:cs="Arial"/>
          <w:bCs/>
          <w:color w:val="000000"/>
          <w:sz w:val="20"/>
        </w:rPr>
        <w:t xml:space="preserve"> equilibrium). This effect is likely responsible for the intensity decreases observed in HSQC spectra while titrating α-syn with whole CSF and with the &lt;3 kDa fraction. </w:t>
      </w:r>
      <w:r w:rsidRPr="008F28F2">
        <w:rPr>
          <w:rFonts w:ascii="Arial" w:hAnsi="Arial" w:cs="Arial"/>
          <w:b/>
          <w:bCs/>
          <w:color w:val="000000"/>
          <w:sz w:val="20"/>
        </w:rPr>
        <w:t xml:space="preserve"> </w:t>
      </w:r>
      <w:r w:rsidRPr="008F28F2">
        <w:rPr>
          <w:rFonts w:ascii="Arial" w:hAnsi="Arial" w:cs="Arial"/>
          <w:bCs/>
          <w:color w:val="000000"/>
          <w:sz w:val="20"/>
        </w:rPr>
        <w:t xml:space="preserve">It is also well known that the aggregation propensity of α-syn is strongly dependent on pH </w:t>
      </w:r>
      <w:r w:rsidRPr="008F28F2">
        <w:rPr>
          <w:rFonts w:ascii="Arial" w:hAnsi="Arial" w:cs="Arial"/>
          <w:bCs/>
          <w:color w:val="000000"/>
          <w:sz w:val="20"/>
        </w:rPr>
        <w:fldChar w:fldCharType="begin"/>
      </w:r>
      <w:r w:rsidR="008D3877" w:rsidRPr="008F28F2">
        <w:rPr>
          <w:rFonts w:ascii="Arial" w:hAnsi="Arial" w:cs="Arial"/>
          <w:bCs/>
          <w:color w:val="000000"/>
          <w:sz w:val="20"/>
        </w:rPr>
        <w:instrText xml:space="preserve"> ADDIN ZOTERO_ITEM CSL_CITATION {"citationID":"3r55HGBz","properties":{"formattedCitation":"(3)","plainCitation":"(3)","noteIndex":0},"citationItems":[{"id":2446,"uris":["http://zotero.org/users/local/it4AD6cT/items/LZDCKTR6"],"itemData":{"id":2446,"type":"article-journal","abstract":"&lt;p&gt;Intracellular proteinaceous aggregates (Lewy bodies and Lewy neurites) of α-synuclein are hallmarks of neurodegenerative diseases such as Parkinson's disease, dementia with Lewy bodies, and multiple systemic atrophy. However, the molecular mechanisms underlying α-synuclein aggregation into such filamentous inclusions remain unknown. An intriguing aspect of this problem is that α-synuclein is a natively unfolded protein, with little or no ordered structure under physiological conditions. This raises the question of how an essentially disordered protein is transformed into highly organized fibrils. In the search for an answer to this question, we have investigated the effects of pH and temperature on the structural properties and fibrillation kinetics of human recombinant α-synuclein. Either a decrease in pH or an increase in temperature transformed α-synuclein into a partially folded conformation. The presence of this intermediate is strongly correlated with the enhanced formation of α-synuclein fibrils. We propose a model for the fibrillation of α-synuclein in which the first step is the conformational transformation of the natively unfolded protein into the aggregation-competent partially folded intermediate.&lt;/p&gt;","container-title":"Journal of Biological Chemistry","DOI":"10.1074/jbc.M010907200","ISSN":"0021-9258, 1083-351X","issue":"14","journalAbbreviation":"Journal of Biological Chemistry","language":"English","note":"publisher: Elsevier\nPMID: 11152691","page":"10737-10744","source":"www.jbc.org","title":"Evidence for a Partially Folded Intermediate in α-Synuclein Fibril Formation *","volume":"276","author":[{"family":"Uversky","given":"Vladimir N."},{"family":"Li","given":"Jie"},{"family":"Fink","given":"Anthony L."}],"issued":{"date-parts":[["2001",4,6]]}}}],"schema":"https://github.com/citation-style-language/schema/raw/master/csl-citation.json"} </w:instrText>
      </w:r>
      <w:r w:rsidRPr="008F28F2">
        <w:rPr>
          <w:rFonts w:ascii="Arial" w:hAnsi="Arial" w:cs="Arial"/>
          <w:bCs/>
          <w:color w:val="000000"/>
          <w:sz w:val="20"/>
        </w:rPr>
        <w:fldChar w:fldCharType="separate"/>
      </w:r>
      <w:r w:rsidR="008D3877" w:rsidRPr="008F28F2">
        <w:rPr>
          <w:rFonts w:ascii="Arial" w:hAnsi="Arial" w:cs="Arial"/>
          <w:sz w:val="20"/>
        </w:rPr>
        <w:t>(3)</w:t>
      </w:r>
      <w:r w:rsidRPr="008F28F2">
        <w:rPr>
          <w:rFonts w:ascii="Arial" w:hAnsi="Arial" w:cs="Arial"/>
          <w:bCs/>
          <w:color w:val="000000"/>
          <w:sz w:val="20"/>
        </w:rPr>
        <w:fldChar w:fldCharType="end"/>
      </w:r>
      <w:r w:rsidRPr="008F28F2">
        <w:rPr>
          <w:rFonts w:ascii="Arial" w:hAnsi="Arial" w:cs="Arial"/>
          <w:bCs/>
          <w:color w:val="000000"/>
          <w:sz w:val="20"/>
        </w:rPr>
        <w:t xml:space="preserve">. For this reason, we interpreted the slight decrease in the maximum fluorescence signal observed for the &lt;3 kDa fraction (main text </w:t>
      </w:r>
      <w:r w:rsidRPr="008F28F2">
        <w:rPr>
          <w:rFonts w:ascii="Arial" w:hAnsi="Arial" w:cs="Arial"/>
          <w:bCs/>
          <w:color w:val="000000"/>
          <w:sz w:val="20"/>
        </w:rPr>
        <w:lastRenderedPageBreak/>
        <w:t xml:space="preserve">Fig. </w:t>
      </w:r>
      <w:r w:rsidR="00240B86" w:rsidRPr="008F28F2">
        <w:rPr>
          <w:rFonts w:ascii="Arial" w:hAnsi="Arial" w:cs="Arial"/>
          <w:bCs/>
          <w:color w:val="000000"/>
          <w:sz w:val="20"/>
        </w:rPr>
        <w:t>3</w:t>
      </w:r>
      <w:r w:rsidRPr="008F28F2">
        <w:rPr>
          <w:rFonts w:ascii="Arial" w:hAnsi="Arial" w:cs="Arial"/>
          <w:bCs/>
          <w:color w:val="000000"/>
          <w:sz w:val="20"/>
        </w:rPr>
        <w:t>B), as a possible effect of the pH increase due to the loss of CO</w:t>
      </w:r>
      <w:r w:rsidRPr="008F28F2">
        <w:rPr>
          <w:rFonts w:ascii="Arial" w:hAnsi="Arial" w:cs="Arial"/>
          <w:bCs/>
          <w:color w:val="000000"/>
          <w:sz w:val="20"/>
          <w:vertAlign w:val="subscript"/>
        </w:rPr>
        <w:t>2</w:t>
      </w:r>
      <w:r w:rsidRPr="008F28F2">
        <w:rPr>
          <w:rFonts w:ascii="Arial" w:hAnsi="Arial" w:cs="Arial"/>
          <w:bCs/>
          <w:color w:val="000000"/>
          <w:sz w:val="20"/>
        </w:rPr>
        <w:t>, which could be significantly present both in this fraction and in the whole CSF sample (the other fractions were eluted multiple times with PBS).</w:t>
      </w:r>
    </w:p>
    <w:p w14:paraId="33F72346" w14:textId="77777777" w:rsidR="001B39D0" w:rsidRPr="008F28F2" w:rsidRDefault="001B39D0" w:rsidP="001B39D0">
      <w:pPr>
        <w:rPr>
          <w:rFonts w:ascii="Arial" w:hAnsi="Arial" w:cs="Arial"/>
          <w:bCs/>
          <w:color w:val="000000"/>
          <w:sz w:val="20"/>
        </w:rPr>
      </w:pPr>
      <w:r w:rsidRPr="008F28F2">
        <w:rPr>
          <w:rFonts w:ascii="Arial" w:hAnsi="Arial" w:cs="Arial"/>
          <w:bCs/>
          <w:color w:val="000000"/>
          <w:sz w:val="20"/>
        </w:rPr>
        <w:br w:type="page"/>
      </w:r>
    </w:p>
    <w:p w14:paraId="2B110F65" w14:textId="77777777" w:rsidR="001B39D0" w:rsidRPr="008F28F2" w:rsidRDefault="001B39D0" w:rsidP="001B39D0">
      <w:pPr>
        <w:pBdr>
          <w:top w:val="nil"/>
          <w:left w:val="nil"/>
          <w:bottom w:val="nil"/>
          <w:right w:val="nil"/>
          <w:between w:val="nil"/>
        </w:pBdr>
        <w:spacing w:after="200"/>
        <w:contextualSpacing/>
        <w:jc w:val="both"/>
        <w:rPr>
          <w:rFonts w:ascii="Arial" w:hAnsi="Arial" w:cs="Arial"/>
          <w:b/>
          <w:bCs/>
          <w:color w:val="000000"/>
          <w:sz w:val="20"/>
        </w:rPr>
      </w:pPr>
    </w:p>
    <w:p w14:paraId="4BA2F96D" w14:textId="25905A6D" w:rsidR="00A80D4F" w:rsidRPr="008F28F2" w:rsidRDefault="001B39D0" w:rsidP="001B39D0">
      <w:pPr>
        <w:keepNext/>
        <w:spacing w:before="240" w:after="60"/>
        <w:outlineLvl w:val="0"/>
        <w:rPr>
          <w:rFonts w:ascii="Arial" w:hAnsi="Arial" w:cs="Arial"/>
          <w:b/>
          <w:bCs/>
          <w:kern w:val="32"/>
          <w:szCs w:val="24"/>
          <w:lang w:val="en-GB"/>
        </w:rPr>
      </w:pPr>
      <w:r w:rsidRPr="008F28F2">
        <w:rPr>
          <w:rFonts w:ascii="Arial" w:hAnsi="Arial" w:cs="Arial"/>
          <w:b/>
          <w:bCs/>
          <w:kern w:val="32"/>
          <w:szCs w:val="24"/>
          <w:lang w:val="en-GB"/>
        </w:rPr>
        <w:t>Supplementary Figures</w:t>
      </w:r>
    </w:p>
    <w:p w14:paraId="2DE9C2A5" w14:textId="541861B1" w:rsidR="001F56A2" w:rsidRPr="008F28F2" w:rsidRDefault="001F56A2" w:rsidP="00F50C12">
      <w:pPr>
        <w:rPr>
          <w:rFonts w:ascii="Arial" w:hAnsi="Arial" w:cs="Arial"/>
          <w:b/>
          <w:bCs/>
          <w:kern w:val="32"/>
          <w:szCs w:val="24"/>
          <w:lang w:val="en-GB"/>
        </w:rPr>
      </w:pPr>
      <w:r w:rsidRPr="008F28F2">
        <w:rPr>
          <w:noProof/>
        </w:rPr>
        <w:drawing>
          <wp:inline distT="0" distB="0" distL="0" distR="0" wp14:anchorId="7F24654A" wp14:editId="2089FD86">
            <wp:extent cx="4065202" cy="3316151"/>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65867" cy="3316694"/>
                    </a:xfrm>
                    <a:prstGeom prst="rect">
                      <a:avLst/>
                    </a:prstGeom>
                    <a:noFill/>
                    <a:ln>
                      <a:noFill/>
                    </a:ln>
                  </pic:spPr>
                </pic:pic>
              </a:graphicData>
            </a:graphic>
          </wp:inline>
        </w:drawing>
      </w:r>
    </w:p>
    <w:p w14:paraId="2DB5ADEB" w14:textId="358AD1F7" w:rsidR="001F56A2" w:rsidRPr="008F28F2" w:rsidRDefault="001F56A2" w:rsidP="00F50C12">
      <w:pPr>
        <w:pStyle w:val="Titolo2"/>
        <w:jc w:val="both"/>
        <w:rPr>
          <w:rFonts w:ascii="Arial" w:hAnsi="Arial" w:cs="Arial"/>
          <w:b w:val="0"/>
          <w:bCs w:val="0"/>
          <w:kern w:val="32"/>
          <w:sz w:val="20"/>
          <w:szCs w:val="20"/>
          <w:lang w:val="en-GB"/>
        </w:rPr>
      </w:pPr>
      <w:r w:rsidRPr="008F28F2">
        <w:rPr>
          <w:rFonts w:ascii="Arial" w:hAnsi="Arial" w:cs="Arial"/>
          <w:i w:val="0"/>
          <w:iCs w:val="0"/>
          <w:kern w:val="32"/>
          <w:sz w:val="20"/>
          <w:szCs w:val="20"/>
        </w:rPr>
        <w:t>Fig. S1.</w:t>
      </w:r>
      <w:r w:rsidRPr="008F28F2">
        <w:rPr>
          <w:rFonts w:ascii="Arial" w:hAnsi="Arial" w:cs="Arial"/>
          <w:b w:val="0"/>
          <w:bCs w:val="0"/>
          <w:i w:val="0"/>
          <w:iCs w:val="0"/>
          <w:kern w:val="32"/>
          <w:sz w:val="20"/>
          <w:szCs w:val="20"/>
        </w:rPr>
        <w:t xml:space="preserve"> Silver staining on </w:t>
      </w:r>
      <w:r w:rsidRPr="008F28F2">
        <w:rPr>
          <w:rFonts w:ascii="Arial" w:hAnsi="Arial" w:cs="Arial"/>
          <w:i w:val="0"/>
          <w:iCs w:val="0"/>
          <w:kern w:val="32"/>
          <w:sz w:val="20"/>
          <w:szCs w:val="20"/>
        </w:rPr>
        <w:t xml:space="preserve">α-syn </w:t>
      </w:r>
      <w:r w:rsidRPr="008F28F2">
        <w:rPr>
          <w:rFonts w:ascii="Arial" w:hAnsi="Arial" w:cs="Arial"/>
          <w:b w:val="0"/>
          <w:bCs w:val="0"/>
          <w:i w:val="0"/>
          <w:iCs w:val="0"/>
          <w:kern w:val="32"/>
          <w:sz w:val="20"/>
          <w:szCs w:val="20"/>
        </w:rPr>
        <w:t xml:space="preserve">used in </w:t>
      </w:r>
      <w:r w:rsidR="00740CAE" w:rsidRPr="008F28F2">
        <w:rPr>
          <w:rFonts w:ascii="Arial" w:hAnsi="Arial" w:cs="Arial"/>
          <w:b w:val="0"/>
          <w:bCs w:val="0"/>
          <w:i w:val="0"/>
          <w:iCs w:val="0"/>
          <w:kern w:val="32"/>
          <w:sz w:val="20"/>
          <w:szCs w:val="20"/>
        </w:rPr>
        <w:t>Protein aggregation</w:t>
      </w:r>
      <w:r w:rsidRPr="008F28F2">
        <w:rPr>
          <w:rFonts w:ascii="Arial" w:hAnsi="Arial" w:cs="Arial"/>
          <w:b w:val="0"/>
          <w:bCs w:val="0"/>
          <w:i w:val="0"/>
          <w:iCs w:val="0"/>
          <w:kern w:val="32"/>
          <w:sz w:val="20"/>
          <w:szCs w:val="20"/>
        </w:rPr>
        <w:t xml:space="preserve"> experiments. </w:t>
      </w:r>
      <w:r w:rsidR="00442AFC" w:rsidRPr="008F28F2">
        <w:rPr>
          <w:rFonts w:ascii="Arial" w:hAnsi="Arial" w:cs="Arial"/>
          <w:b w:val="0"/>
          <w:bCs w:val="0"/>
          <w:i w:val="0"/>
          <w:iCs w:val="0"/>
          <w:kern w:val="32"/>
          <w:sz w:val="20"/>
          <w:szCs w:val="20"/>
        </w:rPr>
        <w:t>Two replicate s</w:t>
      </w:r>
      <w:r w:rsidRPr="008F28F2">
        <w:rPr>
          <w:rFonts w:ascii="Arial" w:hAnsi="Arial" w:cs="Arial"/>
          <w:b w:val="0"/>
          <w:bCs w:val="0"/>
          <w:i w:val="0"/>
          <w:iCs w:val="0"/>
          <w:kern w:val="32"/>
          <w:sz w:val="20"/>
          <w:szCs w:val="20"/>
        </w:rPr>
        <w:t>ilver staining</w:t>
      </w:r>
      <w:r w:rsidR="00442AFC" w:rsidRPr="008F28F2">
        <w:rPr>
          <w:rFonts w:ascii="Arial" w:hAnsi="Arial" w:cs="Arial"/>
          <w:b w:val="0"/>
          <w:bCs w:val="0"/>
          <w:i w:val="0"/>
          <w:iCs w:val="0"/>
          <w:kern w:val="32"/>
          <w:sz w:val="20"/>
          <w:szCs w:val="20"/>
        </w:rPr>
        <w:t xml:space="preserve"> experiments</w:t>
      </w:r>
      <w:r w:rsidRPr="008F28F2">
        <w:rPr>
          <w:rFonts w:ascii="Arial" w:hAnsi="Arial" w:cs="Arial"/>
          <w:b w:val="0"/>
          <w:bCs w:val="0"/>
          <w:i w:val="0"/>
          <w:iCs w:val="0"/>
          <w:kern w:val="32"/>
          <w:sz w:val="20"/>
          <w:szCs w:val="20"/>
        </w:rPr>
        <w:t xml:space="preserve"> performed on a 4-20% SDS-PAGE gel with 1 </w:t>
      </w:r>
      <w:proofErr w:type="spellStart"/>
      <w:r w:rsidRPr="008F28F2">
        <w:rPr>
          <w:rFonts w:ascii="Arial" w:hAnsi="Arial" w:cs="Arial"/>
          <w:b w:val="0"/>
          <w:bCs w:val="0"/>
          <w:i w:val="0"/>
          <w:iCs w:val="0"/>
          <w:kern w:val="32"/>
          <w:sz w:val="20"/>
          <w:szCs w:val="20"/>
        </w:rPr>
        <w:t>μg</w:t>
      </w:r>
      <w:proofErr w:type="spellEnd"/>
      <w:r w:rsidRPr="008F28F2">
        <w:rPr>
          <w:rFonts w:ascii="Arial" w:hAnsi="Arial" w:cs="Arial"/>
          <w:b w:val="0"/>
          <w:bCs w:val="0"/>
          <w:i w:val="0"/>
          <w:iCs w:val="0"/>
          <w:kern w:val="32"/>
          <w:sz w:val="20"/>
          <w:szCs w:val="20"/>
        </w:rPr>
        <w:t xml:space="preserve"> of purified α-syn after one (lane 3) and two (lane 2) size-exclusion chromatography steps. </w:t>
      </w:r>
    </w:p>
    <w:p w14:paraId="3A613132" w14:textId="3DA9302B" w:rsidR="00A80D4F" w:rsidRPr="008F28F2" w:rsidRDefault="00A80D4F" w:rsidP="00A80D4F">
      <w:pPr>
        <w:rPr>
          <w:rFonts w:ascii="Arial" w:hAnsi="Arial" w:cs="Arial"/>
          <w:b/>
          <w:bCs/>
          <w:kern w:val="32"/>
          <w:szCs w:val="24"/>
          <w:lang w:val="en-GB"/>
        </w:rPr>
      </w:pPr>
    </w:p>
    <w:p w14:paraId="1EA9B5C5" w14:textId="77777777" w:rsidR="00A80D4F" w:rsidRPr="008F28F2" w:rsidRDefault="00A80D4F" w:rsidP="00A80D4F">
      <w:pPr>
        <w:rPr>
          <w:rFonts w:ascii="Arial" w:hAnsi="Arial" w:cs="Arial"/>
          <w:b/>
          <w:bCs/>
          <w:kern w:val="32"/>
          <w:szCs w:val="24"/>
          <w:lang w:val="en-GB"/>
        </w:rPr>
      </w:pPr>
    </w:p>
    <w:p w14:paraId="14DF890E" w14:textId="77777777" w:rsidR="001B39D0" w:rsidRPr="008F28F2" w:rsidRDefault="001B39D0" w:rsidP="001B39D0">
      <w:pPr>
        <w:keepNext/>
        <w:spacing w:before="240" w:after="60"/>
        <w:rPr>
          <w:rFonts w:ascii="Arial" w:hAnsi="Arial" w:cs="Arial"/>
          <w:b/>
          <w:bCs/>
          <w:kern w:val="32"/>
          <w:szCs w:val="24"/>
          <w:lang w:val="en-GB"/>
        </w:rPr>
      </w:pPr>
      <w:r w:rsidRPr="008F28F2">
        <w:rPr>
          <w:rFonts w:ascii="Arial" w:hAnsi="Arial" w:cs="Arial"/>
          <w:b/>
          <w:bCs/>
          <w:noProof/>
          <w:kern w:val="32"/>
          <w:szCs w:val="24"/>
        </w:rPr>
        <w:lastRenderedPageBreak/>
        <w:drawing>
          <wp:inline distT="0" distB="0" distL="0" distR="0" wp14:anchorId="6984C6EB" wp14:editId="25D01D55">
            <wp:extent cx="3694430" cy="3576955"/>
            <wp:effectExtent l="0" t="0" r="1270" b="444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4430" cy="3576955"/>
                    </a:xfrm>
                    <a:prstGeom prst="rect">
                      <a:avLst/>
                    </a:prstGeom>
                    <a:noFill/>
                    <a:ln>
                      <a:noFill/>
                    </a:ln>
                  </pic:spPr>
                </pic:pic>
              </a:graphicData>
            </a:graphic>
          </wp:inline>
        </w:drawing>
      </w:r>
    </w:p>
    <w:p w14:paraId="5E999322" w14:textId="706B9E04" w:rsidR="001B39D0" w:rsidRPr="008F28F2" w:rsidRDefault="001B39D0" w:rsidP="00A80D4F">
      <w:pPr>
        <w:jc w:val="both"/>
        <w:outlineLvl w:val="1"/>
        <w:rPr>
          <w:rFonts w:ascii="Arial" w:hAnsi="Arial" w:cs="Arial"/>
          <w:kern w:val="32"/>
          <w:sz w:val="20"/>
          <w:szCs w:val="24"/>
        </w:rPr>
      </w:pPr>
      <w:r w:rsidRPr="008F28F2">
        <w:rPr>
          <w:rFonts w:ascii="Arial" w:hAnsi="Arial" w:cs="Arial"/>
          <w:b/>
          <w:bCs/>
          <w:kern w:val="32"/>
          <w:sz w:val="20"/>
          <w:szCs w:val="24"/>
        </w:rPr>
        <w:t xml:space="preserve">Fig. </w:t>
      </w:r>
      <w:r w:rsidR="00CF0200" w:rsidRPr="008F28F2">
        <w:rPr>
          <w:rFonts w:ascii="Arial" w:hAnsi="Arial" w:cs="Arial"/>
          <w:b/>
          <w:bCs/>
          <w:kern w:val="32"/>
          <w:sz w:val="20"/>
          <w:szCs w:val="24"/>
        </w:rPr>
        <w:t>S</w:t>
      </w:r>
      <w:r w:rsidR="000A7924" w:rsidRPr="008F28F2">
        <w:rPr>
          <w:rFonts w:ascii="Arial" w:hAnsi="Arial" w:cs="Arial"/>
          <w:b/>
          <w:bCs/>
          <w:kern w:val="32"/>
          <w:sz w:val="20"/>
          <w:szCs w:val="24"/>
        </w:rPr>
        <w:t>2</w:t>
      </w:r>
      <w:r w:rsidRPr="008F28F2">
        <w:rPr>
          <w:rFonts w:ascii="Arial" w:hAnsi="Arial" w:cs="Arial"/>
          <w:b/>
          <w:bCs/>
          <w:kern w:val="32"/>
          <w:sz w:val="20"/>
          <w:szCs w:val="24"/>
        </w:rPr>
        <w:t>.</w:t>
      </w:r>
      <w:r w:rsidRPr="008F28F2">
        <w:rPr>
          <w:rFonts w:ascii="Arial" w:eastAsiaTheme="minorHAnsi" w:hAnsi="Arial" w:cs="Arial"/>
          <w:color w:val="000000"/>
          <w:sz w:val="20"/>
        </w:rPr>
        <w:t xml:space="preserve"> </w:t>
      </w:r>
      <w:r w:rsidRPr="008F28F2">
        <w:rPr>
          <w:rFonts w:ascii="Arial" w:hAnsi="Arial" w:cs="Arial"/>
          <w:b/>
          <w:bCs/>
          <w:kern w:val="32"/>
          <w:sz w:val="20"/>
          <w:szCs w:val="24"/>
        </w:rPr>
        <w:t>T</w:t>
      </w:r>
      <w:r w:rsidRPr="008F28F2">
        <w:rPr>
          <w:rFonts w:ascii="Arial" w:hAnsi="Arial" w:cs="Arial"/>
          <w:b/>
          <w:bCs/>
          <w:kern w:val="32"/>
          <w:sz w:val="20"/>
          <w:szCs w:val="24"/>
          <w:vertAlign w:val="subscript"/>
        </w:rPr>
        <w:t>50</w:t>
      </w:r>
      <w:r w:rsidRPr="008F28F2">
        <w:rPr>
          <w:rFonts w:ascii="Arial" w:hAnsi="Arial" w:cs="Arial"/>
          <w:b/>
          <w:bCs/>
          <w:kern w:val="32"/>
          <w:sz w:val="20"/>
          <w:szCs w:val="24"/>
        </w:rPr>
        <w:t xml:space="preserve"> measured in Six different human CSF samples spiked with 20 fg of seeds. </w:t>
      </w:r>
      <w:r w:rsidRPr="008F28F2">
        <w:rPr>
          <w:rFonts w:ascii="Arial" w:hAnsi="Arial" w:cs="Arial"/>
          <w:kern w:val="32"/>
          <w:sz w:val="20"/>
          <w:szCs w:val="24"/>
        </w:rPr>
        <w:t>The measured T</w:t>
      </w:r>
      <w:r w:rsidRPr="008F28F2">
        <w:rPr>
          <w:rFonts w:ascii="Arial" w:hAnsi="Arial" w:cs="Arial"/>
          <w:kern w:val="32"/>
          <w:sz w:val="20"/>
          <w:szCs w:val="24"/>
          <w:vertAlign w:val="subscript"/>
        </w:rPr>
        <w:t xml:space="preserve">50 </w:t>
      </w:r>
      <w:r w:rsidRPr="008F28F2">
        <w:rPr>
          <w:rFonts w:ascii="Arial" w:hAnsi="Arial" w:cs="Arial"/>
          <w:kern w:val="32"/>
          <w:sz w:val="20"/>
          <w:szCs w:val="24"/>
        </w:rPr>
        <w:t>parameters were globally different, as assessed by one-way analysis of variance (ANOVA) and Fisher’s LSD post-hoc test for mean comparisons. *0.01&lt;p&lt;0.05; **0.001&lt;p&lt;0.01: ***p&lt;0.001.</w:t>
      </w:r>
    </w:p>
    <w:p w14:paraId="28B3D43A" w14:textId="1100FD60" w:rsidR="001B39D0" w:rsidRPr="008F28F2" w:rsidRDefault="001B39D0" w:rsidP="001B39D0">
      <w:pPr>
        <w:rPr>
          <w:rFonts w:ascii="Arial" w:hAnsi="Arial" w:cs="Arial"/>
          <w:kern w:val="32"/>
          <w:sz w:val="20"/>
          <w:szCs w:val="24"/>
        </w:rPr>
      </w:pPr>
      <w:r w:rsidRPr="008F28F2">
        <w:rPr>
          <w:rFonts w:ascii="Arial" w:hAnsi="Arial" w:cs="Arial"/>
          <w:b/>
          <w:bCs/>
        </w:rPr>
        <w:br w:type="page"/>
      </w:r>
    </w:p>
    <w:p w14:paraId="15E16C72" w14:textId="77777777" w:rsidR="001B39D0" w:rsidRPr="008F28F2" w:rsidRDefault="001B39D0" w:rsidP="001B39D0">
      <w:pPr>
        <w:rPr>
          <w:rFonts w:ascii="Arial" w:hAnsi="Arial" w:cs="Arial"/>
        </w:rPr>
      </w:pPr>
    </w:p>
    <w:p w14:paraId="040A0DCF" w14:textId="77777777" w:rsidR="001B39D0" w:rsidRPr="008F28F2" w:rsidRDefault="001B39D0" w:rsidP="001B39D0">
      <w:pPr>
        <w:keepNext/>
        <w:spacing w:before="240" w:after="60"/>
        <w:rPr>
          <w:rFonts w:ascii="Arial" w:hAnsi="Arial" w:cs="Arial"/>
          <w:b/>
          <w:bCs/>
          <w:kern w:val="32"/>
          <w:sz w:val="20"/>
          <w:szCs w:val="24"/>
        </w:rPr>
      </w:pPr>
      <w:r w:rsidRPr="008F28F2">
        <w:rPr>
          <w:rFonts w:ascii="Arial" w:hAnsi="Arial" w:cs="Arial"/>
          <w:b/>
          <w:bCs/>
          <w:noProof/>
          <w:kern w:val="32"/>
          <w:sz w:val="20"/>
          <w:szCs w:val="24"/>
        </w:rPr>
        <w:drawing>
          <wp:inline distT="0" distB="0" distL="0" distR="0" wp14:anchorId="21F7592B" wp14:editId="2924961F">
            <wp:extent cx="4320000" cy="2799231"/>
            <wp:effectExtent l="0" t="0" r="4445" b="127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20000" cy="2799231"/>
                    </a:xfrm>
                    <a:prstGeom prst="rect">
                      <a:avLst/>
                    </a:prstGeom>
                  </pic:spPr>
                </pic:pic>
              </a:graphicData>
            </a:graphic>
          </wp:inline>
        </w:drawing>
      </w:r>
    </w:p>
    <w:p w14:paraId="10C0811D" w14:textId="44FAB854" w:rsidR="001B39D0" w:rsidRPr="008F28F2" w:rsidRDefault="001B39D0" w:rsidP="001B39D0">
      <w:pPr>
        <w:keepNext/>
        <w:spacing w:before="240" w:after="60"/>
        <w:jc w:val="both"/>
        <w:outlineLvl w:val="1"/>
        <w:rPr>
          <w:rFonts w:ascii="Arial" w:hAnsi="Arial" w:cs="Arial"/>
          <w:kern w:val="32"/>
          <w:sz w:val="20"/>
          <w:szCs w:val="24"/>
        </w:rPr>
      </w:pPr>
      <w:r w:rsidRPr="008F28F2">
        <w:rPr>
          <w:rFonts w:ascii="Arial" w:hAnsi="Arial" w:cs="Arial"/>
          <w:b/>
          <w:bCs/>
          <w:kern w:val="32"/>
          <w:sz w:val="20"/>
          <w:szCs w:val="24"/>
        </w:rPr>
        <w:t xml:space="preserve">Fig. </w:t>
      </w:r>
      <w:r w:rsidR="00CF0200" w:rsidRPr="008F28F2">
        <w:rPr>
          <w:rFonts w:ascii="Arial" w:hAnsi="Arial" w:cs="Arial"/>
          <w:b/>
          <w:bCs/>
          <w:kern w:val="32"/>
          <w:sz w:val="20"/>
          <w:szCs w:val="24"/>
        </w:rPr>
        <w:t>S</w:t>
      </w:r>
      <w:r w:rsidR="000A7924" w:rsidRPr="008F28F2">
        <w:rPr>
          <w:rFonts w:ascii="Arial" w:hAnsi="Arial" w:cs="Arial"/>
          <w:b/>
          <w:bCs/>
          <w:kern w:val="32"/>
          <w:sz w:val="20"/>
          <w:szCs w:val="24"/>
        </w:rPr>
        <w:t>3</w:t>
      </w:r>
      <w:r w:rsidRPr="008F28F2">
        <w:rPr>
          <w:rFonts w:ascii="Arial" w:hAnsi="Arial" w:cs="Arial"/>
          <w:b/>
          <w:bCs/>
          <w:kern w:val="32"/>
          <w:sz w:val="20"/>
          <w:szCs w:val="24"/>
        </w:rPr>
        <w:t>. Quantitative regression analysis of the seed</w:t>
      </w:r>
      <w:r w:rsidR="005C680F" w:rsidRPr="008F28F2">
        <w:rPr>
          <w:rFonts w:ascii="Arial" w:hAnsi="Arial" w:cs="Arial"/>
          <w:b/>
          <w:bCs/>
          <w:kern w:val="32"/>
          <w:sz w:val="20"/>
          <w:szCs w:val="24"/>
        </w:rPr>
        <w:t xml:space="preserve"> masses in </w:t>
      </w:r>
      <w:r w:rsidRPr="008F28F2">
        <w:rPr>
          <w:rFonts w:ascii="Arial" w:hAnsi="Arial" w:cs="Arial"/>
          <w:b/>
          <w:bCs/>
          <w:kern w:val="32"/>
          <w:sz w:val="20"/>
          <w:szCs w:val="24"/>
        </w:rPr>
        <w:t xml:space="preserve">the absence of human CSF. </w:t>
      </w:r>
      <w:r w:rsidRPr="008F28F2">
        <w:rPr>
          <w:rFonts w:ascii="Arial" w:hAnsi="Arial" w:cs="Arial"/>
          <w:kern w:val="32"/>
          <w:sz w:val="20"/>
          <w:szCs w:val="24"/>
        </w:rPr>
        <w:t>Measured t2 parameters for the seeded experiment vs the quantity of seeds added; the horizontal axis is displayed in log10 scale. The t2 values displayed result from the average of three replicates, error bars reflect the standard deviation of the mean value. The data were fitted with a natural log function, the correlation between t2 and the added seed masses was assessed by means of Pearson’s correlation coefficient (r).</w:t>
      </w:r>
    </w:p>
    <w:p w14:paraId="03CA140F" w14:textId="6A33678E" w:rsidR="001B39D0" w:rsidRPr="008F28F2" w:rsidRDefault="001B39D0" w:rsidP="001B39D0">
      <w:pPr>
        <w:rPr>
          <w:rFonts w:ascii="Arial" w:hAnsi="Arial" w:cs="Arial"/>
          <w:kern w:val="32"/>
          <w:sz w:val="20"/>
          <w:szCs w:val="24"/>
        </w:rPr>
      </w:pPr>
      <w:r w:rsidRPr="008F28F2">
        <w:rPr>
          <w:rFonts w:ascii="Arial" w:hAnsi="Arial" w:cs="Arial"/>
          <w:sz w:val="20"/>
          <w:lang w:val="en-GB"/>
        </w:rPr>
        <w:br w:type="page"/>
      </w:r>
    </w:p>
    <w:p w14:paraId="7A702397" w14:textId="77777777" w:rsidR="001B39D0" w:rsidRPr="008F28F2" w:rsidRDefault="001B39D0" w:rsidP="001B39D0">
      <w:pPr>
        <w:keepNext/>
        <w:spacing w:before="240" w:after="60"/>
        <w:jc w:val="both"/>
        <w:rPr>
          <w:rFonts w:ascii="Arial" w:hAnsi="Arial" w:cs="Arial"/>
          <w:b/>
          <w:bCs/>
          <w:kern w:val="32"/>
          <w:sz w:val="20"/>
          <w:szCs w:val="24"/>
          <w:lang w:val="en-GB"/>
        </w:rPr>
      </w:pPr>
    </w:p>
    <w:p w14:paraId="3B125523" w14:textId="77777777" w:rsidR="001B39D0" w:rsidRPr="008F28F2" w:rsidRDefault="001B39D0" w:rsidP="001B39D0">
      <w:pPr>
        <w:keepNext/>
        <w:spacing w:before="240" w:after="60"/>
        <w:rPr>
          <w:rFonts w:ascii="Arial" w:hAnsi="Arial" w:cs="Arial"/>
          <w:kern w:val="32"/>
          <w:sz w:val="20"/>
          <w:szCs w:val="24"/>
          <w:lang w:val="en-GB"/>
        </w:rPr>
      </w:pPr>
    </w:p>
    <w:p w14:paraId="7BB71DF0" w14:textId="77777777" w:rsidR="00A85F23" w:rsidRPr="008F28F2" w:rsidRDefault="00A85F23" w:rsidP="00A85F23">
      <w:pPr>
        <w:rPr>
          <w:rFonts w:ascii="Arial" w:hAnsi="Arial" w:cs="Arial"/>
          <w:b/>
          <w:bCs/>
          <w:sz w:val="20"/>
        </w:rPr>
      </w:pPr>
      <w:r w:rsidRPr="008F28F2">
        <w:rPr>
          <w:rFonts w:ascii="Arial" w:hAnsi="Arial" w:cs="Arial"/>
          <w:noProof/>
        </w:rPr>
        <w:drawing>
          <wp:inline distT="0" distB="0" distL="0" distR="0" wp14:anchorId="35C15975" wp14:editId="5591A8E1">
            <wp:extent cx="3600000" cy="2704085"/>
            <wp:effectExtent l="0" t="0" r="635" b="127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00000" cy="2704085"/>
                    </a:xfrm>
                    <a:prstGeom prst="rect">
                      <a:avLst/>
                    </a:prstGeom>
                    <a:noFill/>
                    <a:ln>
                      <a:noFill/>
                    </a:ln>
                  </pic:spPr>
                </pic:pic>
              </a:graphicData>
            </a:graphic>
          </wp:inline>
        </w:drawing>
      </w:r>
    </w:p>
    <w:p w14:paraId="3B0479CC" w14:textId="4714A0ED" w:rsidR="00A85F23" w:rsidRPr="008F28F2" w:rsidRDefault="00A85F23" w:rsidP="00A85F23">
      <w:pPr>
        <w:pStyle w:val="Titolo2"/>
        <w:jc w:val="both"/>
        <w:rPr>
          <w:rFonts w:ascii="Arial" w:hAnsi="Arial" w:cs="Arial"/>
          <w:sz w:val="20"/>
        </w:rPr>
      </w:pPr>
      <w:r w:rsidRPr="008F28F2">
        <w:rPr>
          <w:rFonts w:ascii="Arial" w:hAnsi="Arial" w:cs="Arial"/>
          <w:sz w:val="20"/>
        </w:rPr>
        <w:t xml:space="preserve">Fig. </w:t>
      </w:r>
      <w:r w:rsidR="00CF0200" w:rsidRPr="008F28F2">
        <w:rPr>
          <w:rFonts w:ascii="Arial" w:hAnsi="Arial" w:cs="Arial"/>
          <w:sz w:val="20"/>
        </w:rPr>
        <w:t>S</w:t>
      </w:r>
      <w:r w:rsidR="000A7924" w:rsidRPr="008F28F2">
        <w:rPr>
          <w:rFonts w:ascii="Arial" w:hAnsi="Arial" w:cs="Arial"/>
          <w:sz w:val="20"/>
        </w:rPr>
        <w:t>4</w:t>
      </w:r>
      <w:r w:rsidRPr="008F28F2">
        <w:rPr>
          <w:rFonts w:ascii="Arial" w:hAnsi="Arial" w:cs="Arial"/>
          <w:sz w:val="20"/>
        </w:rPr>
        <w:t>. NMR titrations of α-syn with CSF fractions</w:t>
      </w:r>
      <w:r w:rsidRPr="008F28F2">
        <w:rPr>
          <w:rFonts w:ascii="Arial" w:hAnsi="Arial" w:cs="Arial"/>
          <w:b w:val="0"/>
          <w:bCs w:val="0"/>
          <w:sz w:val="20"/>
        </w:rPr>
        <w:t xml:space="preserve">. </w:t>
      </w:r>
      <w:r w:rsidRPr="008F28F2">
        <w:rPr>
          <w:rFonts w:ascii="Arial" w:hAnsi="Arial" w:cs="Arial"/>
          <w:b w:val="0"/>
          <w:bCs w:val="0"/>
          <w:i w:val="0"/>
          <w:iCs w:val="0"/>
          <w:sz w:val="20"/>
        </w:rPr>
        <w:t xml:space="preserve">Intensity decreases of the signals of two-dimensional (2D) </w:t>
      </w:r>
      <w:r w:rsidRPr="008F28F2">
        <w:rPr>
          <w:rFonts w:ascii="Arial" w:hAnsi="Arial" w:cs="Arial"/>
          <w:b w:val="0"/>
          <w:bCs w:val="0"/>
          <w:i w:val="0"/>
          <w:iCs w:val="0"/>
          <w:sz w:val="20"/>
          <w:vertAlign w:val="superscript"/>
        </w:rPr>
        <w:t>15</w:t>
      </w:r>
      <w:r w:rsidRPr="008F28F2">
        <w:rPr>
          <w:rFonts w:ascii="Arial" w:hAnsi="Arial" w:cs="Arial"/>
          <w:b w:val="0"/>
          <w:bCs w:val="0"/>
          <w:i w:val="0"/>
          <w:iCs w:val="0"/>
          <w:sz w:val="20"/>
        </w:rPr>
        <w:t>N–</w:t>
      </w:r>
      <w:r w:rsidRPr="008F28F2">
        <w:rPr>
          <w:rFonts w:ascii="Arial" w:hAnsi="Arial" w:cs="Arial"/>
          <w:b w:val="0"/>
          <w:bCs w:val="0"/>
          <w:i w:val="0"/>
          <w:iCs w:val="0"/>
          <w:sz w:val="20"/>
          <w:vertAlign w:val="superscript"/>
        </w:rPr>
        <w:t>1</w:t>
      </w:r>
      <w:r w:rsidRPr="008F28F2">
        <w:rPr>
          <w:rFonts w:ascii="Arial" w:hAnsi="Arial" w:cs="Arial"/>
          <w:b w:val="0"/>
          <w:bCs w:val="0"/>
          <w:i w:val="0"/>
          <w:iCs w:val="0"/>
          <w:sz w:val="20"/>
        </w:rPr>
        <w:t xml:space="preserve">H HSQC experiments acquired at 950 MHz at T = 283 K on </w:t>
      </w:r>
      <w:r w:rsidRPr="008F28F2">
        <w:rPr>
          <w:rFonts w:ascii="Arial" w:hAnsi="Arial" w:cs="Arial"/>
          <w:b w:val="0"/>
          <w:bCs w:val="0"/>
          <w:i w:val="0"/>
          <w:iCs w:val="0"/>
          <w:sz w:val="20"/>
          <w:vertAlign w:val="superscript"/>
        </w:rPr>
        <w:t>15</w:t>
      </w:r>
      <w:r w:rsidRPr="008F28F2">
        <w:rPr>
          <w:rFonts w:ascii="Arial" w:hAnsi="Arial" w:cs="Arial"/>
          <w:b w:val="0"/>
          <w:bCs w:val="0"/>
          <w:i w:val="0"/>
          <w:iCs w:val="0"/>
          <w:sz w:val="20"/>
        </w:rPr>
        <w:t>N labelled α-syn (100 μM) in PBS after the addition of: (A) whole pooled CSF in PBS, (B) &lt; 3 kDa CSF fraction in PBS and (C) &gt; 100 kDa CSF fraction in PBS. The residues experiencing the largest decreases in signal intensity (smaller by one or more standard deviations with respect to the average value) are highlighted in light blue. The intensity ratios corresponding to overlapping peaks are highlighted in red (their values were not considered in the calculation of the average decreases and standard deviations).</w:t>
      </w:r>
    </w:p>
    <w:p w14:paraId="1A1173FD" w14:textId="77777777" w:rsidR="001B39D0" w:rsidRPr="008F28F2" w:rsidRDefault="001B39D0" w:rsidP="001B39D0">
      <w:pPr>
        <w:keepNext/>
        <w:jc w:val="center"/>
        <w:rPr>
          <w:rFonts w:ascii="Arial" w:hAnsi="Arial" w:cs="Arial"/>
          <w:kern w:val="32"/>
          <w:sz w:val="20"/>
          <w:szCs w:val="24"/>
        </w:rPr>
      </w:pPr>
      <w:r w:rsidRPr="008F28F2">
        <w:rPr>
          <w:rFonts w:ascii="Arial" w:hAnsi="Arial" w:cs="Arial"/>
          <w:b/>
          <w:bCs/>
          <w:sz w:val="20"/>
        </w:rPr>
        <w:br w:type="page"/>
      </w:r>
    </w:p>
    <w:p w14:paraId="2A9B6CA1" w14:textId="77777777" w:rsidR="001B39D0" w:rsidRPr="008F28F2" w:rsidRDefault="001B39D0" w:rsidP="001B39D0">
      <w:pPr>
        <w:keepNext/>
        <w:spacing w:before="240" w:after="60"/>
        <w:jc w:val="both"/>
        <w:rPr>
          <w:rFonts w:ascii="Arial" w:hAnsi="Arial" w:cs="Arial"/>
          <w:kern w:val="32"/>
          <w:sz w:val="20"/>
          <w:szCs w:val="24"/>
          <w:lang w:val="en-GB"/>
        </w:rPr>
      </w:pPr>
    </w:p>
    <w:p w14:paraId="27A32D6A" w14:textId="77777777" w:rsidR="001B39D0" w:rsidRPr="008F28F2" w:rsidRDefault="001B39D0" w:rsidP="001B39D0">
      <w:pPr>
        <w:rPr>
          <w:rFonts w:ascii="Arial" w:hAnsi="Arial" w:cs="Arial"/>
          <w:b/>
          <w:bCs/>
          <w:sz w:val="20"/>
        </w:rPr>
      </w:pPr>
      <w:r w:rsidRPr="008F28F2">
        <w:rPr>
          <w:rFonts w:ascii="Arial" w:hAnsi="Arial" w:cs="Arial"/>
          <w:b/>
          <w:bCs/>
          <w:noProof/>
          <w:sz w:val="20"/>
        </w:rPr>
        <w:drawing>
          <wp:inline distT="0" distB="0" distL="0" distR="0" wp14:anchorId="38A36111" wp14:editId="6ECFA171">
            <wp:extent cx="5756910" cy="288226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5756910" cy="2882265"/>
                    </a:xfrm>
                    <a:prstGeom prst="rect">
                      <a:avLst/>
                    </a:prstGeom>
                    <a:noFill/>
                    <a:ln w="9525">
                      <a:noFill/>
                      <a:miter lim="800000"/>
                      <a:headEnd/>
                      <a:tailEnd/>
                    </a:ln>
                  </pic:spPr>
                </pic:pic>
              </a:graphicData>
            </a:graphic>
          </wp:inline>
        </w:drawing>
      </w:r>
    </w:p>
    <w:p w14:paraId="3A11F594" w14:textId="124418FA" w:rsidR="001B39D0" w:rsidRPr="008F28F2" w:rsidRDefault="001B39D0" w:rsidP="001B39D0">
      <w:pPr>
        <w:keepNext/>
        <w:spacing w:before="240" w:after="60"/>
        <w:jc w:val="both"/>
        <w:outlineLvl w:val="1"/>
        <w:rPr>
          <w:rFonts w:ascii="Arial" w:hAnsi="Arial" w:cs="Arial"/>
          <w:b/>
          <w:bCs/>
          <w:i/>
          <w:iCs/>
          <w:sz w:val="20"/>
          <w:szCs w:val="28"/>
        </w:rPr>
      </w:pPr>
      <w:r w:rsidRPr="008F28F2">
        <w:rPr>
          <w:rFonts w:ascii="Arial" w:hAnsi="Arial" w:cs="Arial"/>
          <w:b/>
          <w:bCs/>
          <w:i/>
          <w:iCs/>
          <w:sz w:val="20"/>
          <w:szCs w:val="28"/>
        </w:rPr>
        <w:t xml:space="preserve">Fig. </w:t>
      </w:r>
      <w:r w:rsidR="00CF0200" w:rsidRPr="008F28F2">
        <w:rPr>
          <w:rFonts w:ascii="Arial" w:hAnsi="Arial" w:cs="Arial"/>
          <w:b/>
          <w:bCs/>
          <w:i/>
          <w:iCs/>
          <w:sz w:val="20"/>
          <w:szCs w:val="28"/>
        </w:rPr>
        <w:t>S</w:t>
      </w:r>
      <w:r w:rsidR="000A7924" w:rsidRPr="008F28F2">
        <w:rPr>
          <w:rFonts w:ascii="Arial" w:hAnsi="Arial" w:cs="Arial"/>
          <w:b/>
          <w:bCs/>
          <w:i/>
          <w:iCs/>
          <w:sz w:val="20"/>
          <w:szCs w:val="28"/>
        </w:rPr>
        <w:t>5</w:t>
      </w:r>
      <w:r w:rsidRPr="008F28F2">
        <w:rPr>
          <w:rFonts w:ascii="Arial" w:hAnsi="Arial" w:cs="Arial"/>
          <w:b/>
          <w:bCs/>
          <w:i/>
          <w:iCs/>
          <w:sz w:val="20"/>
          <w:szCs w:val="28"/>
        </w:rPr>
        <w:t xml:space="preserve">. CSF pH drift. </w:t>
      </w:r>
      <w:r w:rsidRPr="008F28F2">
        <w:rPr>
          <w:rFonts w:ascii="Arial" w:hAnsi="Arial" w:cs="Arial"/>
          <w:sz w:val="20"/>
          <w:szCs w:val="28"/>
        </w:rPr>
        <w:t xml:space="preserve">The pH change due to the exposure of CSF to air was monitored over time in 500 μL of undiluted pooled CSF (A) and in the presence of PBS (400 μL CSF + 200 μL PBS 3x) in polypropylene vials with a </w:t>
      </w:r>
      <w:proofErr w:type="spellStart"/>
      <w:r w:rsidRPr="008F28F2">
        <w:rPr>
          <w:rFonts w:ascii="Arial" w:hAnsi="Arial" w:cs="Arial"/>
          <w:sz w:val="20"/>
          <w:szCs w:val="28"/>
        </w:rPr>
        <w:t>Thermo</w:t>
      </w:r>
      <w:proofErr w:type="spellEnd"/>
      <w:r w:rsidRPr="008F28F2">
        <w:rPr>
          <w:rFonts w:ascii="Arial" w:hAnsi="Arial" w:cs="Arial"/>
          <w:sz w:val="20"/>
          <w:szCs w:val="28"/>
        </w:rPr>
        <w:t xml:space="preserve"> Scientific Orion pH-meter equipped with a glass 6 mm diameter </w:t>
      </w:r>
      <w:proofErr w:type="spellStart"/>
      <w:r w:rsidRPr="008F28F2">
        <w:rPr>
          <w:rFonts w:ascii="Arial" w:hAnsi="Arial" w:cs="Arial"/>
          <w:sz w:val="20"/>
          <w:szCs w:val="28"/>
        </w:rPr>
        <w:t>pHenomenal</w:t>
      </w:r>
      <w:proofErr w:type="spellEnd"/>
      <w:r w:rsidRPr="008F28F2">
        <w:rPr>
          <w:rFonts w:ascii="Arial" w:hAnsi="Arial" w:cs="Arial"/>
          <w:sz w:val="20"/>
          <w:szCs w:val="28"/>
        </w:rPr>
        <w:t xml:space="preserve"> MIC 220 Micro electrode. Right before each measurement, the sample was vortexed for 20 sec and left open to air for another 20 sec.</w:t>
      </w:r>
    </w:p>
    <w:p w14:paraId="19E64412" w14:textId="33ECD43B" w:rsidR="001B39D0" w:rsidRPr="008F28F2" w:rsidRDefault="001B39D0" w:rsidP="001B39D0">
      <w:pPr>
        <w:rPr>
          <w:rFonts w:ascii="Arial" w:hAnsi="Arial" w:cs="Arial"/>
          <w:sz w:val="20"/>
        </w:rPr>
      </w:pPr>
      <w:r w:rsidRPr="008F28F2">
        <w:rPr>
          <w:rFonts w:ascii="Arial" w:hAnsi="Arial" w:cs="Arial"/>
          <w:sz w:val="20"/>
        </w:rPr>
        <w:br w:type="page"/>
      </w:r>
      <w:r w:rsidRPr="008F28F2">
        <w:rPr>
          <w:rFonts w:ascii="Arial" w:hAnsi="Arial" w:cs="Arial"/>
          <w:noProof/>
        </w:rPr>
        <w:lastRenderedPageBreak/>
        <w:drawing>
          <wp:inline distT="0" distB="0" distL="0" distR="0" wp14:anchorId="3D10F2DB" wp14:editId="4E418477">
            <wp:extent cx="3482340" cy="3665220"/>
            <wp:effectExtent l="0" t="0" r="3810" b="0"/>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82340" cy="3665220"/>
                    </a:xfrm>
                    <a:prstGeom prst="rect">
                      <a:avLst/>
                    </a:prstGeom>
                    <a:noFill/>
                    <a:ln>
                      <a:noFill/>
                    </a:ln>
                  </pic:spPr>
                </pic:pic>
              </a:graphicData>
            </a:graphic>
          </wp:inline>
        </w:drawing>
      </w:r>
    </w:p>
    <w:p w14:paraId="31CE2C73" w14:textId="3B2C181F" w:rsidR="001B39D0" w:rsidRPr="008F28F2" w:rsidRDefault="001B39D0" w:rsidP="001B39D0">
      <w:pPr>
        <w:keepNext/>
        <w:spacing w:before="240" w:after="60"/>
        <w:jc w:val="both"/>
        <w:outlineLvl w:val="1"/>
        <w:rPr>
          <w:rFonts w:ascii="Arial" w:hAnsi="Arial" w:cs="Arial"/>
          <w:b/>
          <w:bCs/>
          <w:i/>
          <w:iCs/>
          <w:color w:val="000000"/>
          <w:sz w:val="20"/>
          <w:szCs w:val="28"/>
        </w:rPr>
      </w:pPr>
      <w:r w:rsidRPr="008F28F2">
        <w:rPr>
          <w:rFonts w:ascii="Arial" w:hAnsi="Arial" w:cs="Arial"/>
          <w:b/>
          <w:bCs/>
          <w:color w:val="000000"/>
          <w:sz w:val="20"/>
        </w:rPr>
        <w:t xml:space="preserve">Fig. </w:t>
      </w:r>
      <w:r w:rsidR="00CF0200" w:rsidRPr="008F28F2">
        <w:rPr>
          <w:rFonts w:ascii="Arial" w:hAnsi="Arial" w:cs="Arial"/>
          <w:b/>
          <w:bCs/>
          <w:color w:val="000000"/>
          <w:sz w:val="20"/>
        </w:rPr>
        <w:t>S</w:t>
      </w:r>
      <w:r w:rsidR="000A7924" w:rsidRPr="008F28F2">
        <w:rPr>
          <w:rFonts w:ascii="Arial" w:hAnsi="Arial" w:cs="Arial"/>
          <w:b/>
          <w:bCs/>
          <w:color w:val="000000"/>
          <w:sz w:val="20"/>
        </w:rPr>
        <w:t>6</w:t>
      </w:r>
      <w:r w:rsidRPr="008F28F2">
        <w:rPr>
          <w:rFonts w:ascii="Arial" w:hAnsi="Arial" w:cs="Arial"/>
          <w:b/>
          <w:bCs/>
          <w:color w:val="000000"/>
          <w:sz w:val="20"/>
        </w:rPr>
        <w:t xml:space="preserve">. </w:t>
      </w:r>
      <w:bookmarkStart w:id="6" w:name="_Hlk97117441"/>
      <w:bookmarkStart w:id="7" w:name="_Hlk68692291"/>
      <w:r w:rsidRPr="008F28F2">
        <w:rPr>
          <w:rFonts w:ascii="Arial" w:hAnsi="Arial" w:cs="Arial"/>
          <w:b/>
          <w:bCs/>
          <w:color w:val="000000"/>
          <w:sz w:val="20"/>
        </w:rPr>
        <w:t>Different CSF fractions differently affect α-syn aggregation.</w:t>
      </w:r>
      <w:r w:rsidRPr="008F28F2">
        <w:rPr>
          <w:rFonts w:ascii="Arial" w:eastAsiaTheme="minorHAnsi" w:hAnsi="Arial" w:cs="Arial"/>
          <w:color w:val="000000"/>
          <w:sz w:val="20"/>
        </w:rPr>
        <w:t xml:space="preserve"> </w:t>
      </w:r>
      <w:r w:rsidRPr="008F28F2">
        <w:rPr>
          <w:rFonts w:ascii="Arial" w:hAnsi="Arial" w:cs="Arial"/>
          <w:color w:val="000000"/>
          <w:sz w:val="20"/>
        </w:rPr>
        <w:t>Mean fitted t2 parameters of samples with 40 μl of PBS/CSF fractions. The values displayed result from the average of three replicates with error bars reflecting the SEM.</w:t>
      </w:r>
      <w:r w:rsidRPr="008F28F2">
        <w:rPr>
          <w:rFonts w:ascii="Arial" w:hAnsi="Arial" w:cs="Arial"/>
          <w:b/>
          <w:bCs/>
          <w:color w:val="000000"/>
          <w:sz w:val="20"/>
        </w:rPr>
        <w:t xml:space="preserve"> </w:t>
      </w:r>
      <w:r w:rsidRPr="008F28F2">
        <w:rPr>
          <w:rFonts w:ascii="Arial" w:hAnsi="Arial" w:cs="Arial"/>
          <w:color w:val="000000"/>
          <w:sz w:val="20"/>
        </w:rPr>
        <w:t>For whole CSF and the &gt;100 kDa fraction the total duration of the experiment is shown due to the absence of appreciable aggregation.</w:t>
      </w:r>
      <w:r w:rsidRPr="008F28F2">
        <w:rPr>
          <w:rFonts w:ascii="Arial" w:hAnsi="Arial" w:cs="Arial"/>
          <w:i/>
          <w:iCs/>
          <w:color w:val="000000"/>
          <w:sz w:val="20"/>
        </w:rPr>
        <w:t xml:space="preserve"> </w:t>
      </w:r>
      <w:r w:rsidRPr="008F28F2">
        <w:rPr>
          <w:rFonts w:ascii="Arial" w:hAnsi="Arial" w:cs="Arial"/>
          <w:b/>
          <w:bCs/>
          <w:i/>
          <w:iCs/>
          <w:color w:val="000000"/>
          <w:sz w:val="20"/>
          <w:szCs w:val="28"/>
        </w:rPr>
        <w:br w:type="page"/>
      </w:r>
      <w:bookmarkEnd w:id="6"/>
    </w:p>
    <w:p w14:paraId="23EAFCEA" w14:textId="25A629EA" w:rsidR="00B52A42" w:rsidRPr="008F28F2" w:rsidRDefault="00B52A42" w:rsidP="00F50C12">
      <w:pPr>
        <w:rPr>
          <w:rFonts w:ascii="Arial" w:hAnsi="Arial" w:cs="Arial"/>
          <w:i/>
          <w:iCs/>
          <w:color w:val="000000"/>
          <w:sz w:val="20"/>
          <w:szCs w:val="28"/>
        </w:rPr>
      </w:pPr>
      <w:r w:rsidRPr="008F28F2">
        <w:rPr>
          <w:noProof/>
        </w:rPr>
        <w:lastRenderedPageBreak/>
        <w:drawing>
          <wp:inline distT="0" distB="0" distL="0" distR="0" wp14:anchorId="5FCA4673" wp14:editId="74684003">
            <wp:extent cx="5125085" cy="509143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25085" cy="5091430"/>
                    </a:xfrm>
                    <a:prstGeom prst="rect">
                      <a:avLst/>
                    </a:prstGeom>
                    <a:noFill/>
                    <a:ln>
                      <a:noFill/>
                    </a:ln>
                  </pic:spPr>
                </pic:pic>
              </a:graphicData>
            </a:graphic>
          </wp:inline>
        </w:drawing>
      </w:r>
    </w:p>
    <w:p w14:paraId="4D8BFD4F" w14:textId="7E587A6E" w:rsidR="001B39D0" w:rsidRPr="008F28F2" w:rsidRDefault="001B39D0" w:rsidP="001B39D0">
      <w:pPr>
        <w:keepNext/>
        <w:spacing w:before="240" w:after="60"/>
        <w:jc w:val="both"/>
        <w:outlineLvl w:val="1"/>
        <w:rPr>
          <w:rFonts w:ascii="Arial" w:hAnsi="Arial" w:cs="Arial"/>
          <w:color w:val="000000"/>
          <w:sz w:val="20"/>
          <w:szCs w:val="28"/>
        </w:rPr>
      </w:pPr>
      <w:r w:rsidRPr="008F28F2">
        <w:rPr>
          <w:rFonts w:ascii="Arial" w:hAnsi="Arial" w:cs="Arial"/>
          <w:b/>
          <w:bCs/>
          <w:i/>
          <w:iCs/>
          <w:color w:val="000000"/>
          <w:sz w:val="20"/>
          <w:szCs w:val="28"/>
        </w:rPr>
        <w:t xml:space="preserve">Fig. </w:t>
      </w:r>
      <w:r w:rsidR="00CF0200" w:rsidRPr="008F28F2">
        <w:rPr>
          <w:rFonts w:ascii="Arial" w:hAnsi="Arial" w:cs="Arial"/>
          <w:b/>
          <w:bCs/>
          <w:i/>
          <w:iCs/>
          <w:color w:val="000000"/>
          <w:sz w:val="20"/>
          <w:szCs w:val="28"/>
        </w:rPr>
        <w:t>S</w:t>
      </w:r>
      <w:r w:rsidR="000A7924" w:rsidRPr="008F28F2">
        <w:rPr>
          <w:rFonts w:ascii="Arial" w:hAnsi="Arial" w:cs="Arial"/>
          <w:b/>
          <w:bCs/>
          <w:i/>
          <w:iCs/>
          <w:color w:val="000000"/>
          <w:sz w:val="20"/>
          <w:szCs w:val="28"/>
        </w:rPr>
        <w:t>7</w:t>
      </w:r>
      <w:r w:rsidRPr="008F28F2">
        <w:rPr>
          <w:rFonts w:ascii="Arial" w:hAnsi="Arial" w:cs="Arial"/>
          <w:b/>
          <w:bCs/>
          <w:i/>
          <w:iCs/>
          <w:color w:val="000000"/>
          <w:sz w:val="20"/>
          <w:szCs w:val="28"/>
        </w:rPr>
        <w:t xml:space="preserve">. </w:t>
      </w:r>
      <w:r w:rsidR="0073021A" w:rsidRPr="008F28F2">
        <w:rPr>
          <w:rFonts w:ascii="Arial" w:hAnsi="Arial" w:cs="Arial"/>
          <w:b/>
          <w:bCs/>
          <w:i/>
          <w:iCs/>
          <w:color w:val="000000"/>
          <w:sz w:val="20"/>
          <w:szCs w:val="28"/>
        </w:rPr>
        <w:t xml:space="preserve">Raw </w:t>
      </w:r>
      <w:r w:rsidRPr="008F28F2">
        <w:rPr>
          <w:rFonts w:ascii="Arial" w:hAnsi="Arial" w:cs="Arial"/>
          <w:b/>
          <w:bCs/>
          <w:i/>
          <w:iCs/>
          <w:color w:val="000000"/>
          <w:sz w:val="20"/>
          <w:szCs w:val="28"/>
        </w:rPr>
        <w:t>image</w:t>
      </w:r>
      <w:r w:rsidR="00DB6222" w:rsidRPr="008F28F2">
        <w:rPr>
          <w:rFonts w:ascii="Arial" w:hAnsi="Arial" w:cs="Arial"/>
          <w:b/>
          <w:bCs/>
          <w:i/>
          <w:iCs/>
          <w:color w:val="000000"/>
          <w:sz w:val="20"/>
          <w:szCs w:val="28"/>
        </w:rPr>
        <w:t>s</w:t>
      </w:r>
      <w:r w:rsidRPr="008F28F2">
        <w:rPr>
          <w:rFonts w:ascii="Arial" w:hAnsi="Arial" w:cs="Arial"/>
          <w:b/>
          <w:bCs/>
          <w:i/>
          <w:iCs/>
          <w:color w:val="000000"/>
          <w:sz w:val="20"/>
          <w:szCs w:val="28"/>
        </w:rPr>
        <w:t xml:space="preserve"> of the dot-blot assay</w:t>
      </w:r>
      <w:r w:rsidR="00DB6222" w:rsidRPr="008F28F2">
        <w:rPr>
          <w:rFonts w:ascii="Arial" w:hAnsi="Arial" w:cs="Arial"/>
          <w:b/>
          <w:bCs/>
          <w:i/>
          <w:iCs/>
          <w:color w:val="000000"/>
          <w:sz w:val="20"/>
          <w:szCs w:val="28"/>
        </w:rPr>
        <w:t>s</w:t>
      </w:r>
      <w:r w:rsidRPr="008F28F2">
        <w:rPr>
          <w:rFonts w:ascii="Arial" w:hAnsi="Arial" w:cs="Arial"/>
          <w:b/>
          <w:bCs/>
          <w:i/>
          <w:iCs/>
          <w:color w:val="000000"/>
          <w:sz w:val="20"/>
          <w:szCs w:val="28"/>
        </w:rPr>
        <w:t xml:space="preserve">. </w:t>
      </w:r>
      <w:r w:rsidR="00DB6222" w:rsidRPr="008F28F2">
        <w:rPr>
          <w:rFonts w:ascii="Arial" w:hAnsi="Arial" w:cs="Arial"/>
          <w:color w:val="000000"/>
          <w:sz w:val="20"/>
          <w:szCs w:val="28"/>
        </w:rPr>
        <w:t xml:space="preserve">A-B) Native images of the dot-blot assay performed on </w:t>
      </w:r>
      <w:r w:rsidR="00DB6222" w:rsidRPr="008F28F2">
        <w:rPr>
          <w:rFonts w:ascii="Calibri" w:hAnsi="Calibri" w:cs="Calibri"/>
          <w:color w:val="000000"/>
          <w:sz w:val="20"/>
          <w:szCs w:val="28"/>
        </w:rPr>
        <w:t>α</w:t>
      </w:r>
      <w:r w:rsidR="00DB6222" w:rsidRPr="008F28F2">
        <w:rPr>
          <w:rFonts w:ascii="Arial" w:hAnsi="Arial" w:cs="Arial"/>
          <w:color w:val="000000"/>
          <w:sz w:val="20"/>
          <w:szCs w:val="28"/>
        </w:rPr>
        <w:t xml:space="preserve">-syn alone replicates at different timepoints with OC (A) and A11 (B) conformational antibodies. C-D) </w:t>
      </w:r>
      <w:r w:rsidRPr="008F28F2">
        <w:rPr>
          <w:rFonts w:ascii="Arial" w:hAnsi="Arial" w:cs="Arial"/>
          <w:color w:val="000000"/>
          <w:sz w:val="20"/>
          <w:szCs w:val="28"/>
        </w:rPr>
        <w:t>Native image of the dot-blot assay performed on the HSA and HDL containing samples with OC (</w:t>
      </w:r>
      <w:r w:rsidR="00DB6222" w:rsidRPr="008F28F2">
        <w:rPr>
          <w:rFonts w:ascii="Arial" w:hAnsi="Arial" w:cs="Arial"/>
          <w:color w:val="000000"/>
          <w:sz w:val="20"/>
          <w:szCs w:val="28"/>
        </w:rPr>
        <w:t>C</w:t>
      </w:r>
      <w:r w:rsidRPr="008F28F2">
        <w:rPr>
          <w:rFonts w:ascii="Arial" w:hAnsi="Arial" w:cs="Arial"/>
          <w:color w:val="000000"/>
          <w:sz w:val="20"/>
          <w:szCs w:val="28"/>
        </w:rPr>
        <w:t>) and A11 (</w:t>
      </w:r>
      <w:r w:rsidR="00DB6222" w:rsidRPr="008F28F2">
        <w:rPr>
          <w:rFonts w:ascii="Arial" w:hAnsi="Arial" w:cs="Arial"/>
          <w:color w:val="000000"/>
          <w:sz w:val="20"/>
          <w:szCs w:val="28"/>
        </w:rPr>
        <w:t>D</w:t>
      </w:r>
      <w:r w:rsidRPr="008F28F2">
        <w:rPr>
          <w:rFonts w:ascii="Arial" w:hAnsi="Arial" w:cs="Arial"/>
          <w:color w:val="000000"/>
          <w:sz w:val="20"/>
          <w:szCs w:val="28"/>
        </w:rPr>
        <w:t>) conformational antibodies.</w:t>
      </w:r>
    </w:p>
    <w:p w14:paraId="0E81AF1F" w14:textId="77777777" w:rsidR="001B39D0" w:rsidRPr="008F28F2" w:rsidRDefault="001B39D0" w:rsidP="001B39D0">
      <w:pPr>
        <w:rPr>
          <w:rFonts w:ascii="Arial" w:hAnsi="Arial" w:cs="Arial"/>
          <w:color w:val="000000"/>
          <w:sz w:val="20"/>
        </w:rPr>
      </w:pPr>
    </w:p>
    <w:bookmarkEnd w:id="7"/>
    <w:p w14:paraId="2027EF90" w14:textId="77777777" w:rsidR="001B39D0" w:rsidRPr="008F28F2" w:rsidRDefault="001B39D0" w:rsidP="001B39D0">
      <w:pPr>
        <w:rPr>
          <w:rFonts w:ascii="Arial" w:hAnsi="Arial" w:cs="Arial"/>
          <w:kern w:val="32"/>
          <w:sz w:val="20"/>
          <w:szCs w:val="24"/>
        </w:rPr>
      </w:pPr>
      <w:r w:rsidRPr="008F28F2">
        <w:rPr>
          <w:rFonts w:ascii="Arial" w:hAnsi="Arial" w:cs="Arial"/>
          <w:kern w:val="32"/>
          <w:sz w:val="20"/>
          <w:szCs w:val="24"/>
        </w:rPr>
        <w:br w:type="page"/>
      </w:r>
    </w:p>
    <w:p w14:paraId="025568D9" w14:textId="55964E7D" w:rsidR="008835FB" w:rsidRPr="008F28F2" w:rsidRDefault="00040C52" w:rsidP="00F50C12">
      <w:pPr>
        <w:keepNext/>
        <w:jc w:val="both"/>
      </w:pPr>
      <w:r w:rsidRPr="008F28F2">
        <w:lastRenderedPageBreak/>
        <w:t xml:space="preserve"> </w:t>
      </w:r>
      <w:r w:rsidRPr="008F28F2">
        <w:rPr>
          <w:noProof/>
        </w:rPr>
        <w:drawing>
          <wp:inline distT="0" distB="0" distL="0" distR="0" wp14:anchorId="6F130E04" wp14:editId="11ED479D">
            <wp:extent cx="5486400" cy="4117340"/>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4117340"/>
                    </a:xfrm>
                    <a:prstGeom prst="rect">
                      <a:avLst/>
                    </a:prstGeom>
                    <a:noFill/>
                    <a:ln>
                      <a:noFill/>
                    </a:ln>
                  </pic:spPr>
                </pic:pic>
              </a:graphicData>
            </a:graphic>
          </wp:inline>
        </w:drawing>
      </w:r>
    </w:p>
    <w:p w14:paraId="45B4B7D8" w14:textId="388AA2B1" w:rsidR="008835FB" w:rsidRPr="008F28F2" w:rsidRDefault="008835FB" w:rsidP="00F50C12">
      <w:pPr>
        <w:pStyle w:val="Titolo2"/>
        <w:jc w:val="both"/>
        <w:rPr>
          <w:rFonts w:ascii="Arial" w:hAnsi="Arial" w:cs="Arial"/>
          <w:b w:val="0"/>
          <w:bCs w:val="0"/>
          <w:sz w:val="20"/>
          <w:szCs w:val="20"/>
        </w:rPr>
      </w:pPr>
      <w:r w:rsidRPr="008F28F2">
        <w:rPr>
          <w:rFonts w:ascii="Arial" w:hAnsi="Arial" w:cs="Arial"/>
          <w:i w:val="0"/>
          <w:iCs w:val="0"/>
          <w:sz w:val="20"/>
          <w:szCs w:val="20"/>
        </w:rPr>
        <w:t>Fig. S</w:t>
      </w:r>
      <w:r w:rsidR="000A7924" w:rsidRPr="008F28F2">
        <w:rPr>
          <w:rFonts w:ascii="Arial" w:hAnsi="Arial" w:cs="Arial"/>
          <w:i w:val="0"/>
          <w:iCs w:val="0"/>
          <w:sz w:val="20"/>
          <w:szCs w:val="20"/>
        </w:rPr>
        <w:t>8.</w:t>
      </w:r>
      <w:r w:rsidRPr="008F28F2">
        <w:rPr>
          <w:rFonts w:ascii="Arial" w:hAnsi="Arial" w:cs="Arial"/>
          <w:i w:val="0"/>
          <w:iCs w:val="0"/>
          <w:sz w:val="20"/>
          <w:szCs w:val="20"/>
        </w:rPr>
        <w:t xml:space="preserve"> </w:t>
      </w:r>
      <w:r w:rsidR="00D71B61" w:rsidRPr="008F28F2">
        <w:rPr>
          <w:rFonts w:ascii="Arial" w:hAnsi="Arial" w:cs="Arial"/>
          <w:i w:val="0"/>
          <w:iCs w:val="0"/>
          <w:sz w:val="20"/>
          <w:szCs w:val="20"/>
        </w:rPr>
        <w:t xml:space="preserve">WB experiments to track α-syn aggregation in the presence of human HDL. </w:t>
      </w:r>
      <w:r w:rsidRPr="008F28F2">
        <w:rPr>
          <w:rFonts w:ascii="Arial" w:hAnsi="Arial" w:cs="Arial"/>
          <w:i w:val="0"/>
          <w:iCs w:val="0"/>
          <w:sz w:val="20"/>
          <w:szCs w:val="20"/>
        </w:rPr>
        <w:t>A)</w:t>
      </w:r>
      <w:r w:rsidRPr="008F28F2">
        <w:rPr>
          <w:rFonts w:ascii="Arial" w:hAnsi="Arial" w:cs="Arial"/>
          <w:b w:val="0"/>
          <w:bCs w:val="0"/>
          <w:i w:val="0"/>
          <w:iCs w:val="0"/>
          <w:sz w:val="20"/>
          <w:szCs w:val="20"/>
        </w:rPr>
        <w:t xml:space="preserve"> α-Syn aggregation </w:t>
      </w:r>
      <w:r w:rsidR="00396E16" w:rsidRPr="008F28F2">
        <w:rPr>
          <w:rFonts w:ascii="Arial" w:hAnsi="Arial" w:cs="Arial"/>
          <w:b w:val="0"/>
          <w:bCs w:val="0"/>
          <w:i w:val="0"/>
          <w:iCs w:val="0"/>
          <w:sz w:val="20"/>
          <w:szCs w:val="20"/>
        </w:rPr>
        <w:t xml:space="preserve">patterns </w:t>
      </w:r>
      <w:r w:rsidRPr="008F28F2">
        <w:rPr>
          <w:rFonts w:ascii="Arial" w:hAnsi="Arial" w:cs="Arial"/>
          <w:b w:val="0"/>
          <w:bCs w:val="0"/>
          <w:i w:val="0"/>
          <w:iCs w:val="0"/>
          <w:sz w:val="20"/>
          <w:szCs w:val="20"/>
        </w:rPr>
        <w:t>in samples collected at different timepoints of the spontaneous aggregation process</w:t>
      </w:r>
      <w:r w:rsidR="008D7A56" w:rsidRPr="008F28F2">
        <w:rPr>
          <w:rFonts w:ascii="Arial" w:hAnsi="Arial" w:cs="Arial"/>
          <w:b w:val="0"/>
          <w:bCs w:val="0"/>
          <w:i w:val="0"/>
          <w:iCs w:val="0"/>
          <w:sz w:val="20"/>
          <w:szCs w:val="20"/>
        </w:rPr>
        <w:t>,</w:t>
      </w:r>
      <w:r w:rsidRPr="008F28F2">
        <w:rPr>
          <w:rFonts w:ascii="Arial" w:hAnsi="Arial" w:cs="Arial"/>
          <w:b w:val="0"/>
          <w:bCs w:val="0"/>
          <w:i w:val="0"/>
          <w:iCs w:val="0"/>
          <w:sz w:val="20"/>
          <w:szCs w:val="20"/>
        </w:rPr>
        <w:t xml:space="preserve"> w</w:t>
      </w:r>
      <w:r w:rsidR="00D71B61" w:rsidRPr="008F28F2">
        <w:rPr>
          <w:rFonts w:ascii="Arial" w:hAnsi="Arial" w:cs="Arial"/>
          <w:b w:val="0"/>
          <w:bCs w:val="0"/>
          <w:i w:val="0"/>
          <w:iCs w:val="0"/>
          <w:sz w:val="20"/>
          <w:szCs w:val="20"/>
        </w:rPr>
        <w:t>as</w:t>
      </w:r>
      <w:r w:rsidRPr="008F28F2">
        <w:rPr>
          <w:rFonts w:ascii="Arial" w:hAnsi="Arial" w:cs="Arial"/>
          <w:b w:val="0"/>
          <w:bCs w:val="0"/>
          <w:i w:val="0"/>
          <w:iCs w:val="0"/>
          <w:sz w:val="20"/>
          <w:szCs w:val="20"/>
        </w:rPr>
        <w:t xml:space="preserve"> monitored by WB using Syn211 antibody</w:t>
      </w:r>
      <w:r w:rsidR="00396E16" w:rsidRPr="008F28F2">
        <w:rPr>
          <w:rFonts w:ascii="Arial" w:hAnsi="Arial" w:cs="Arial"/>
          <w:b w:val="0"/>
          <w:bCs w:val="0"/>
          <w:i w:val="0"/>
          <w:iCs w:val="0"/>
          <w:sz w:val="20"/>
          <w:szCs w:val="20"/>
        </w:rPr>
        <w:t xml:space="preserve"> (</w:t>
      </w:r>
      <w:r w:rsidR="001619F3" w:rsidRPr="008F28F2">
        <w:rPr>
          <w:rFonts w:ascii="Arial" w:hAnsi="Arial" w:cs="Arial"/>
          <w:b w:val="0"/>
          <w:bCs w:val="0"/>
          <w:i w:val="0"/>
          <w:iCs w:val="0"/>
          <w:sz w:val="20"/>
          <w:szCs w:val="20"/>
        </w:rPr>
        <w:t>4-20</w:t>
      </w:r>
      <w:r w:rsidR="00396E16" w:rsidRPr="008F28F2">
        <w:rPr>
          <w:rFonts w:ascii="Arial" w:hAnsi="Arial" w:cs="Arial"/>
          <w:b w:val="0"/>
          <w:bCs w:val="0"/>
          <w:i w:val="0"/>
          <w:iCs w:val="0"/>
          <w:sz w:val="20"/>
          <w:szCs w:val="20"/>
        </w:rPr>
        <w:t xml:space="preserve">% SDS-PAGE, 2 </w:t>
      </w:r>
      <w:proofErr w:type="spellStart"/>
      <w:r w:rsidR="00396E16" w:rsidRPr="008F28F2">
        <w:rPr>
          <w:rFonts w:ascii="Arial" w:hAnsi="Arial" w:cs="Arial"/>
          <w:b w:val="0"/>
          <w:bCs w:val="0"/>
          <w:i w:val="0"/>
          <w:iCs w:val="0"/>
          <w:sz w:val="20"/>
          <w:szCs w:val="20"/>
        </w:rPr>
        <w:t>μg</w:t>
      </w:r>
      <w:proofErr w:type="spellEnd"/>
      <w:r w:rsidR="00396E16" w:rsidRPr="008F28F2">
        <w:rPr>
          <w:rFonts w:ascii="Arial" w:hAnsi="Arial" w:cs="Arial"/>
          <w:b w:val="0"/>
          <w:bCs w:val="0"/>
          <w:i w:val="0"/>
          <w:iCs w:val="0"/>
          <w:sz w:val="20"/>
          <w:szCs w:val="20"/>
        </w:rPr>
        <w:t xml:space="preserve"> protein loaded)</w:t>
      </w:r>
      <w:r w:rsidRPr="008F28F2">
        <w:rPr>
          <w:rFonts w:ascii="Arial" w:hAnsi="Arial" w:cs="Arial"/>
          <w:b w:val="0"/>
          <w:bCs w:val="0"/>
          <w:i w:val="0"/>
          <w:iCs w:val="0"/>
          <w:sz w:val="20"/>
          <w:szCs w:val="20"/>
        </w:rPr>
        <w:t xml:space="preserve">. Monomeric α-syn decreases as t increases due to the formation of fibrils. </w:t>
      </w:r>
      <w:r w:rsidRPr="008F28F2">
        <w:rPr>
          <w:rFonts w:ascii="Arial" w:hAnsi="Arial" w:cs="Arial"/>
          <w:i w:val="0"/>
          <w:iCs w:val="0"/>
          <w:sz w:val="20"/>
          <w:szCs w:val="20"/>
        </w:rPr>
        <w:t>B)</w:t>
      </w:r>
      <w:r w:rsidRPr="008F28F2">
        <w:rPr>
          <w:rFonts w:ascii="Arial" w:hAnsi="Arial" w:cs="Arial"/>
          <w:b w:val="0"/>
          <w:bCs w:val="0"/>
          <w:i w:val="0"/>
          <w:iCs w:val="0"/>
          <w:sz w:val="20"/>
          <w:szCs w:val="20"/>
        </w:rPr>
        <w:t xml:space="preserve"> In a similar way, a WB with Syn211 was performed on the reaction products obtained after 180 h, at different HDL concentrations with and without α-syn</w:t>
      </w:r>
      <w:r w:rsidR="00040C52" w:rsidRPr="008F28F2">
        <w:rPr>
          <w:rFonts w:ascii="Arial" w:hAnsi="Arial" w:cs="Arial"/>
          <w:b w:val="0"/>
          <w:bCs w:val="0"/>
          <w:i w:val="0"/>
          <w:iCs w:val="0"/>
          <w:sz w:val="20"/>
          <w:szCs w:val="20"/>
        </w:rPr>
        <w:t xml:space="preserve"> (exposure time 210 s)</w:t>
      </w:r>
      <w:r w:rsidRPr="008F28F2">
        <w:rPr>
          <w:rFonts w:ascii="Arial" w:hAnsi="Arial" w:cs="Arial"/>
          <w:b w:val="0"/>
          <w:bCs w:val="0"/>
          <w:i w:val="0"/>
          <w:iCs w:val="0"/>
          <w:sz w:val="20"/>
          <w:szCs w:val="20"/>
        </w:rPr>
        <w:t xml:space="preserve">. </w:t>
      </w:r>
      <w:r w:rsidR="00396E16" w:rsidRPr="008F28F2">
        <w:rPr>
          <w:rFonts w:ascii="Arial" w:hAnsi="Arial" w:cs="Arial"/>
          <w:i w:val="0"/>
          <w:iCs w:val="0"/>
          <w:sz w:val="20"/>
          <w:szCs w:val="20"/>
        </w:rPr>
        <w:t>C</w:t>
      </w:r>
      <w:r w:rsidRPr="008F28F2">
        <w:rPr>
          <w:rFonts w:ascii="Arial" w:hAnsi="Arial" w:cs="Arial"/>
          <w:i w:val="0"/>
          <w:iCs w:val="0"/>
          <w:sz w:val="20"/>
          <w:szCs w:val="20"/>
        </w:rPr>
        <w:t>)</w:t>
      </w:r>
      <w:r w:rsidRPr="008F28F2">
        <w:rPr>
          <w:rFonts w:ascii="Arial" w:hAnsi="Arial" w:cs="Arial"/>
          <w:b w:val="0"/>
          <w:bCs w:val="0"/>
          <w:i w:val="0"/>
          <w:iCs w:val="0"/>
          <w:sz w:val="20"/>
          <w:szCs w:val="20"/>
        </w:rPr>
        <w:t xml:space="preserve"> </w:t>
      </w:r>
      <w:r w:rsidR="001E29D0" w:rsidRPr="008F28F2">
        <w:rPr>
          <w:rFonts w:ascii="Arial" w:hAnsi="Arial" w:cs="Arial"/>
          <w:b w:val="0"/>
          <w:bCs w:val="0"/>
          <w:i w:val="0"/>
          <w:iCs w:val="0"/>
          <w:sz w:val="20"/>
          <w:szCs w:val="20"/>
        </w:rPr>
        <w:t>The experiment was then repeated by doubling the amount of sample loaded into the gel to better highlight the presence of oligomeric species</w:t>
      </w:r>
      <w:r w:rsidR="00040C52" w:rsidRPr="008F28F2">
        <w:rPr>
          <w:rFonts w:ascii="Arial" w:hAnsi="Arial" w:cs="Arial"/>
          <w:b w:val="0"/>
          <w:bCs w:val="0"/>
          <w:i w:val="0"/>
          <w:iCs w:val="0"/>
          <w:sz w:val="20"/>
          <w:szCs w:val="20"/>
        </w:rPr>
        <w:t xml:space="preserve"> (exposure time 30 s)</w:t>
      </w:r>
      <w:r w:rsidR="001E29D0" w:rsidRPr="008F28F2">
        <w:rPr>
          <w:rFonts w:ascii="Arial" w:hAnsi="Arial" w:cs="Arial"/>
          <w:b w:val="0"/>
          <w:bCs w:val="0"/>
          <w:i w:val="0"/>
          <w:iCs w:val="0"/>
          <w:sz w:val="20"/>
          <w:szCs w:val="20"/>
        </w:rPr>
        <w:t>. Under these conditions</w:t>
      </w:r>
      <w:r w:rsidR="00040C52" w:rsidRPr="008F28F2">
        <w:rPr>
          <w:rFonts w:ascii="Arial" w:hAnsi="Arial" w:cs="Arial"/>
          <w:b w:val="0"/>
          <w:bCs w:val="0"/>
          <w:i w:val="0"/>
          <w:iCs w:val="0"/>
          <w:sz w:val="20"/>
          <w:szCs w:val="20"/>
        </w:rPr>
        <w:t xml:space="preserve">, chosen </w:t>
      </w:r>
      <w:r w:rsidR="00040C52" w:rsidRPr="008F28F2">
        <w:rPr>
          <w:rFonts w:ascii="Arial" w:hAnsi="Arial" w:cs="Arial"/>
          <w:b w:val="0"/>
          <w:bCs w:val="0"/>
          <w:i w:val="0"/>
          <w:iCs w:val="0"/>
          <w:sz w:val="20"/>
          <w:szCs w:val="20"/>
        </w:rPr>
        <w:t>to better visualize the signal at 150-200 kDa</w:t>
      </w:r>
      <w:r w:rsidR="001E29D0" w:rsidRPr="008F28F2">
        <w:rPr>
          <w:rFonts w:ascii="Arial" w:hAnsi="Arial" w:cs="Arial"/>
          <w:b w:val="0"/>
          <w:bCs w:val="0"/>
          <w:i w:val="0"/>
          <w:iCs w:val="0"/>
          <w:sz w:val="20"/>
          <w:szCs w:val="20"/>
        </w:rPr>
        <w:t>, the α-syn monomer bands at 1 and 0.3 mg/</w:t>
      </w:r>
      <w:r w:rsidR="001E29D0" w:rsidRPr="008F28F2">
        <w:rPr>
          <w:rFonts w:ascii="Arial" w:hAnsi="Arial" w:cs="Arial"/>
          <w:b w:val="0"/>
          <w:bCs w:val="0"/>
          <w:i w:val="0"/>
          <w:iCs w:val="0"/>
          <w:sz w:val="20"/>
          <w:szCs w:val="20"/>
        </w:rPr>
        <w:t>m</w:t>
      </w:r>
      <w:r w:rsidR="001E29D0" w:rsidRPr="008F28F2">
        <w:rPr>
          <w:rFonts w:ascii="Arial" w:hAnsi="Arial" w:cs="Arial"/>
          <w:b w:val="0"/>
          <w:bCs w:val="0"/>
          <w:i w:val="0"/>
          <w:iCs w:val="0"/>
          <w:sz w:val="20"/>
          <w:szCs w:val="20"/>
        </w:rPr>
        <w:t xml:space="preserve">L HDL </w:t>
      </w:r>
      <w:r w:rsidR="00040C52" w:rsidRPr="008F28F2">
        <w:rPr>
          <w:rFonts w:ascii="Arial" w:hAnsi="Arial" w:cs="Arial"/>
          <w:b w:val="0"/>
          <w:bCs w:val="0"/>
          <w:i w:val="0"/>
          <w:iCs w:val="0"/>
          <w:sz w:val="20"/>
          <w:szCs w:val="20"/>
        </w:rPr>
        <w:t>may not quantitively reflect</w:t>
      </w:r>
      <w:r w:rsidR="001E29D0" w:rsidRPr="008F28F2">
        <w:rPr>
          <w:rFonts w:ascii="Arial" w:hAnsi="Arial" w:cs="Arial"/>
          <w:b w:val="0"/>
          <w:bCs w:val="0"/>
          <w:i w:val="0"/>
          <w:iCs w:val="0"/>
          <w:sz w:val="20"/>
          <w:szCs w:val="20"/>
        </w:rPr>
        <w:t xml:space="preserve"> </w:t>
      </w:r>
      <w:r w:rsidR="00040C52" w:rsidRPr="008F28F2">
        <w:rPr>
          <w:rFonts w:ascii="Arial" w:hAnsi="Arial" w:cs="Arial"/>
          <w:b w:val="0"/>
          <w:bCs w:val="0"/>
          <w:i w:val="0"/>
          <w:iCs w:val="0"/>
          <w:sz w:val="20"/>
          <w:szCs w:val="20"/>
        </w:rPr>
        <w:t>monomer concentration</w:t>
      </w:r>
      <w:r w:rsidR="004F77CA" w:rsidRPr="008F28F2">
        <w:rPr>
          <w:rFonts w:ascii="Arial" w:hAnsi="Arial" w:cs="Arial"/>
          <w:b w:val="0"/>
          <w:bCs w:val="0"/>
          <w:i w:val="0"/>
          <w:iCs w:val="0"/>
          <w:sz w:val="20"/>
          <w:szCs w:val="20"/>
        </w:rPr>
        <w:t xml:space="preserve"> </w:t>
      </w:r>
      <w:r w:rsidR="004F77CA" w:rsidRPr="008F28F2">
        <w:rPr>
          <w:rFonts w:ascii="Arial" w:hAnsi="Arial" w:cs="Arial"/>
          <w:b w:val="0"/>
          <w:bCs w:val="0"/>
          <w:i w:val="0"/>
          <w:iCs w:val="0"/>
          <w:sz w:val="20"/>
          <w:szCs w:val="20"/>
        </w:rPr>
        <w:t xml:space="preserve">(overloaded </w:t>
      </w:r>
      <w:r w:rsidR="004F77CA" w:rsidRPr="008F28F2">
        <w:rPr>
          <w:rFonts w:ascii="Arial" w:hAnsi="Arial" w:cs="Arial"/>
          <w:b w:val="0"/>
          <w:bCs w:val="0"/>
          <w:i w:val="0"/>
          <w:iCs w:val="0"/>
          <w:sz w:val="20"/>
          <w:szCs w:val="20"/>
        </w:rPr>
        <w:t>lanes</w:t>
      </w:r>
      <w:r w:rsidR="004F77CA" w:rsidRPr="008F28F2">
        <w:rPr>
          <w:rFonts w:ascii="Arial" w:hAnsi="Arial" w:cs="Arial"/>
          <w:b w:val="0"/>
          <w:bCs w:val="0"/>
          <w:i w:val="0"/>
          <w:iCs w:val="0"/>
          <w:sz w:val="20"/>
          <w:szCs w:val="20"/>
        </w:rPr>
        <w:t>)</w:t>
      </w:r>
      <w:r w:rsidR="001E29D0" w:rsidRPr="008F28F2">
        <w:rPr>
          <w:rFonts w:ascii="Arial" w:hAnsi="Arial" w:cs="Arial"/>
          <w:b w:val="0"/>
          <w:bCs w:val="0"/>
          <w:i w:val="0"/>
          <w:iCs w:val="0"/>
          <w:sz w:val="20"/>
          <w:szCs w:val="20"/>
        </w:rPr>
        <w:t>.</w:t>
      </w:r>
    </w:p>
    <w:p w14:paraId="4A945BB4" w14:textId="407A7F65" w:rsidR="00D71B61" w:rsidRPr="008F28F2" w:rsidRDefault="00D71B61" w:rsidP="00F50C12">
      <w:pPr>
        <w:jc w:val="both"/>
      </w:pPr>
      <w:r w:rsidRPr="008F28F2">
        <w:br w:type="page"/>
      </w:r>
    </w:p>
    <w:p w14:paraId="367619D6" w14:textId="77777777" w:rsidR="00D71B61" w:rsidRPr="008F28F2" w:rsidRDefault="00D71B61" w:rsidP="00F50C12"/>
    <w:p w14:paraId="371E1CBD" w14:textId="40FDC657" w:rsidR="001B39D0" w:rsidRPr="008F28F2" w:rsidRDefault="001B39D0" w:rsidP="00F50C12">
      <w:pPr>
        <w:pStyle w:val="Didascalia"/>
        <w:jc w:val="both"/>
        <w:rPr>
          <w:rFonts w:ascii="Arial" w:hAnsi="Arial" w:cs="Arial"/>
          <w:b w:val="0"/>
          <w:bCs w:val="0"/>
          <w:kern w:val="32"/>
          <w:szCs w:val="24"/>
          <w:lang w:val="en-GB"/>
        </w:rPr>
      </w:pPr>
    </w:p>
    <w:p w14:paraId="194145B2" w14:textId="77777777" w:rsidR="001B39D0" w:rsidRPr="008F28F2" w:rsidRDefault="001B39D0" w:rsidP="001B39D0">
      <w:pPr>
        <w:rPr>
          <w:rFonts w:ascii="Arial" w:hAnsi="Arial" w:cs="Arial"/>
          <w:b/>
          <w:bCs/>
          <w:kern w:val="32"/>
          <w:sz w:val="20"/>
          <w:szCs w:val="24"/>
        </w:rPr>
      </w:pPr>
    </w:p>
    <w:p w14:paraId="781B78A1" w14:textId="77777777" w:rsidR="001B39D0" w:rsidRPr="008F28F2" w:rsidRDefault="001B39D0" w:rsidP="001B39D0">
      <w:pPr>
        <w:rPr>
          <w:rFonts w:ascii="Arial" w:hAnsi="Arial" w:cs="Arial"/>
          <w:b/>
          <w:bCs/>
          <w:kern w:val="32"/>
          <w:sz w:val="20"/>
          <w:szCs w:val="24"/>
        </w:rPr>
      </w:pPr>
      <w:r w:rsidRPr="008F28F2">
        <w:rPr>
          <w:rFonts w:ascii="Arial" w:hAnsi="Arial" w:cs="Arial"/>
          <w:b/>
          <w:bCs/>
          <w:noProof/>
          <w:kern w:val="32"/>
          <w:sz w:val="20"/>
          <w:szCs w:val="24"/>
        </w:rPr>
        <w:drawing>
          <wp:inline distT="0" distB="0" distL="0" distR="0" wp14:anchorId="1BE008C5" wp14:editId="53B2F816">
            <wp:extent cx="2601849" cy="1675765"/>
            <wp:effectExtent l="0" t="0" r="8255" b="635"/>
            <wp:docPr id="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rotWithShape="1">
                    <a:blip r:embed="rId18"/>
                    <a:srcRect l="66483" t="29828" r="1154" b="5067"/>
                    <a:stretch/>
                  </pic:blipFill>
                  <pic:spPr bwMode="auto">
                    <a:xfrm>
                      <a:off x="0" y="0"/>
                      <a:ext cx="2603477" cy="1676813"/>
                    </a:xfrm>
                    <a:prstGeom prst="rect">
                      <a:avLst/>
                    </a:prstGeom>
                    <a:noFill/>
                    <a:ln>
                      <a:noFill/>
                    </a:ln>
                    <a:extLst>
                      <a:ext uri="{53640926-AAD7-44D8-BBD7-CCE9431645EC}">
                        <a14:shadowObscured xmlns:a14="http://schemas.microsoft.com/office/drawing/2010/main"/>
                      </a:ext>
                    </a:extLst>
                  </pic:spPr>
                </pic:pic>
              </a:graphicData>
            </a:graphic>
          </wp:inline>
        </w:drawing>
      </w:r>
      <w:r w:rsidRPr="008F28F2">
        <w:rPr>
          <w:rFonts w:ascii="Arial" w:hAnsi="Arial" w:cs="Arial"/>
        </w:rPr>
        <w:t xml:space="preserve"> </w:t>
      </w:r>
      <w:r w:rsidRPr="008F28F2">
        <w:rPr>
          <w:rFonts w:ascii="Arial" w:hAnsi="Arial" w:cs="Arial"/>
          <w:noProof/>
        </w:rPr>
        <w:drawing>
          <wp:inline distT="0" distB="0" distL="0" distR="0" wp14:anchorId="00D71B95" wp14:editId="3838AE20">
            <wp:extent cx="2523074" cy="1675765"/>
            <wp:effectExtent l="0" t="0" r="0" b="63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t="14568"/>
                    <a:stretch/>
                  </pic:blipFill>
                  <pic:spPr bwMode="auto">
                    <a:xfrm>
                      <a:off x="0" y="0"/>
                      <a:ext cx="2523698" cy="1676179"/>
                    </a:xfrm>
                    <a:prstGeom prst="rect">
                      <a:avLst/>
                    </a:prstGeom>
                    <a:noFill/>
                    <a:ln>
                      <a:noFill/>
                    </a:ln>
                    <a:extLst>
                      <a:ext uri="{53640926-AAD7-44D8-BBD7-CCE9431645EC}">
                        <a14:shadowObscured xmlns:a14="http://schemas.microsoft.com/office/drawing/2010/main"/>
                      </a:ext>
                    </a:extLst>
                  </pic:spPr>
                </pic:pic>
              </a:graphicData>
            </a:graphic>
          </wp:inline>
        </w:drawing>
      </w:r>
    </w:p>
    <w:p w14:paraId="50EFB6D1" w14:textId="5CDD13EC" w:rsidR="001B39D0" w:rsidRPr="008F28F2" w:rsidRDefault="001B39D0" w:rsidP="001B39D0">
      <w:pPr>
        <w:keepNext/>
        <w:spacing w:before="240" w:after="60"/>
        <w:jc w:val="both"/>
        <w:outlineLvl w:val="1"/>
        <w:rPr>
          <w:rFonts w:ascii="Arial" w:hAnsi="Arial" w:cs="Arial"/>
          <w:kern w:val="32"/>
          <w:sz w:val="20"/>
          <w:szCs w:val="24"/>
        </w:rPr>
      </w:pPr>
      <w:r w:rsidRPr="008F28F2">
        <w:rPr>
          <w:rFonts w:ascii="Arial" w:hAnsi="Arial" w:cs="Arial"/>
          <w:b/>
          <w:bCs/>
          <w:kern w:val="32"/>
          <w:sz w:val="20"/>
          <w:szCs w:val="24"/>
        </w:rPr>
        <w:t xml:space="preserve">Fig. </w:t>
      </w:r>
      <w:r w:rsidR="008835FB" w:rsidRPr="008F28F2">
        <w:rPr>
          <w:rFonts w:ascii="Arial" w:hAnsi="Arial" w:cs="Arial"/>
          <w:b/>
          <w:bCs/>
          <w:kern w:val="32"/>
          <w:sz w:val="20"/>
          <w:szCs w:val="24"/>
        </w:rPr>
        <w:t>S</w:t>
      </w:r>
      <w:r w:rsidR="000A7924" w:rsidRPr="008F28F2">
        <w:rPr>
          <w:rFonts w:ascii="Arial" w:hAnsi="Arial" w:cs="Arial"/>
          <w:b/>
          <w:bCs/>
          <w:kern w:val="32"/>
          <w:sz w:val="20"/>
          <w:szCs w:val="24"/>
        </w:rPr>
        <w:t>9</w:t>
      </w:r>
      <w:r w:rsidRPr="008F28F2">
        <w:rPr>
          <w:rFonts w:ascii="Arial" w:hAnsi="Arial" w:cs="Arial"/>
          <w:b/>
          <w:bCs/>
          <w:kern w:val="32"/>
          <w:sz w:val="20"/>
          <w:szCs w:val="24"/>
        </w:rPr>
        <w:t xml:space="preserve">. Representative TEM images of α-syn incubated with CSF. </w:t>
      </w:r>
      <w:r w:rsidRPr="008F28F2">
        <w:rPr>
          <w:rFonts w:ascii="Arial" w:hAnsi="Arial" w:cs="Arial"/>
          <w:kern w:val="32"/>
          <w:sz w:val="20"/>
          <w:szCs w:val="24"/>
        </w:rPr>
        <w:t>Representative TEM images obtained by analyzing samples obtained by the co-incubation of α-syn 0.7 mg/mL at 37 °C with pooled human CSF (1:5 ratio with respect to total reaction volume). Samples were subjected to cycles of incubation (13 min) and shaking (double-orbital, 2 min) at 500 rpm.</w:t>
      </w:r>
    </w:p>
    <w:p w14:paraId="1745535C" w14:textId="77777777" w:rsidR="001B39D0" w:rsidRPr="008F28F2" w:rsidRDefault="001B39D0" w:rsidP="001B39D0">
      <w:pPr>
        <w:rPr>
          <w:rFonts w:ascii="Arial" w:hAnsi="Arial" w:cs="Arial"/>
          <w:b/>
          <w:bCs/>
          <w:kern w:val="32"/>
          <w:sz w:val="20"/>
          <w:szCs w:val="24"/>
        </w:rPr>
      </w:pPr>
      <w:r w:rsidRPr="008F28F2">
        <w:rPr>
          <w:rFonts w:ascii="Arial" w:hAnsi="Arial" w:cs="Arial"/>
          <w:b/>
          <w:bCs/>
          <w:kern w:val="32"/>
          <w:sz w:val="20"/>
          <w:szCs w:val="24"/>
        </w:rPr>
        <w:br w:type="page"/>
      </w:r>
      <w:r w:rsidRPr="008F28F2">
        <w:rPr>
          <w:rFonts w:ascii="Arial" w:hAnsi="Arial" w:cs="Arial"/>
          <w:b/>
          <w:bCs/>
          <w:noProof/>
          <w:kern w:val="32"/>
          <w:sz w:val="20"/>
          <w:szCs w:val="24"/>
        </w:rPr>
        <w:lastRenderedPageBreak/>
        <w:drawing>
          <wp:inline distT="0" distB="0" distL="0" distR="0" wp14:anchorId="47954027" wp14:editId="43CAF6BA">
            <wp:extent cx="5040000" cy="4122828"/>
            <wp:effectExtent l="0" t="0" r="825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40000" cy="4122828"/>
                    </a:xfrm>
                    <a:prstGeom prst="rect">
                      <a:avLst/>
                    </a:prstGeom>
                    <a:noFill/>
                    <a:ln>
                      <a:noFill/>
                    </a:ln>
                  </pic:spPr>
                </pic:pic>
              </a:graphicData>
            </a:graphic>
          </wp:inline>
        </w:drawing>
      </w:r>
    </w:p>
    <w:p w14:paraId="599BA552" w14:textId="745CDD30" w:rsidR="001B39D0" w:rsidRPr="008F28F2" w:rsidRDefault="001B39D0" w:rsidP="001B39D0">
      <w:pPr>
        <w:keepNext/>
        <w:spacing w:before="240" w:after="60"/>
        <w:jc w:val="both"/>
        <w:outlineLvl w:val="1"/>
        <w:rPr>
          <w:rFonts w:ascii="Arial" w:hAnsi="Arial" w:cs="Arial"/>
          <w:kern w:val="32"/>
          <w:sz w:val="20"/>
          <w:szCs w:val="24"/>
        </w:rPr>
      </w:pPr>
      <w:r w:rsidRPr="008F28F2">
        <w:rPr>
          <w:rFonts w:ascii="Arial" w:hAnsi="Arial" w:cs="Arial"/>
          <w:b/>
          <w:bCs/>
          <w:kern w:val="32"/>
          <w:sz w:val="20"/>
          <w:szCs w:val="24"/>
        </w:rPr>
        <w:t xml:space="preserve">Fig. </w:t>
      </w:r>
      <w:r w:rsidR="000A7924" w:rsidRPr="008F28F2">
        <w:rPr>
          <w:rFonts w:ascii="Arial" w:hAnsi="Arial" w:cs="Arial"/>
          <w:b/>
          <w:bCs/>
          <w:kern w:val="32"/>
          <w:sz w:val="20"/>
          <w:szCs w:val="24"/>
        </w:rPr>
        <w:t>S10</w:t>
      </w:r>
      <w:r w:rsidRPr="008F28F2">
        <w:rPr>
          <w:rFonts w:ascii="Arial" w:hAnsi="Arial" w:cs="Arial"/>
          <w:b/>
          <w:bCs/>
          <w:kern w:val="32"/>
          <w:sz w:val="20"/>
          <w:szCs w:val="24"/>
        </w:rPr>
        <w:t xml:space="preserve">. NMR titrations of α-syn with HDL, LDL and TTR. A) </w:t>
      </w:r>
      <w:r w:rsidRPr="008F28F2">
        <w:rPr>
          <w:rFonts w:ascii="Arial" w:hAnsi="Arial" w:cs="Arial"/>
          <w:kern w:val="32"/>
          <w:sz w:val="20"/>
          <w:szCs w:val="24"/>
        </w:rPr>
        <w:t xml:space="preserve">Intensity decreases of the signals of two-dimensional (2D) </w:t>
      </w:r>
      <w:r w:rsidRPr="008F28F2">
        <w:rPr>
          <w:rFonts w:ascii="Arial" w:hAnsi="Arial" w:cs="Arial"/>
          <w:kern w:val="32"/>
          <w:sz w:val="20"/>
          <w:szCs w:val="24"/>
          <w:vertAlign w:val="superscript"/>
        </w:rPr>
        <w:t>15</w:t>
      </w:r>
      <w:r w:rsidRPr="008F28F2">
        <w:rPr>
          <w:rFonts w:ascii="Arial" w:hAnsi="Arial" w:cs="Arial"/>
          <w:kern w:val="32"/>
          <w:sz w:val="20"/>
          <w:szCs w:val="24"/>
        </w:rPr>
        <w:t>N–</w:t>
      </w:r>
      <w:r w:rsidRPr="008F28F2">
        <w:rPr>
          <w:rFonts w:ascii="Arial" w:hAnsi="Arial" w:cs="Arial"/>
          <w:kern w:val="32"/>
          <w:sz w:val="20"/>
          <w:szCs w:val="24"/>
          <w:vertAlign w:val="superscript"/>
        </w:rPr>
        <w:t>1</w:t>
      </w:r>
      <w:r w:rsidRPr="008F28F2">
        <w:rPr>
          <w:rFonts w:ascii="Arial" w:hAnsi="Arial" w:cs="Arial"/>
          <w:kern w:val="32"/>
          <w:sz w:val="20"/>
          <w:szCs w:val="24"/>
        </w:rPr>
        <w:t xml:space="preserve">H HSQC experiments acquired at 950 MHz at T = 283 K on </w:t>
      </w:r>
      <w:r w:rsidRPr="008F28F2">
        <w:rPr>
          <w:rFonts w:ascii="Arial" w:hAnsi="Arial" w:cs="Arial"/>
          <w:kern w:val="32"/>
          <w:sz w:val="20"/>
          <w:szCs w:val="24"/>
          <w:vertAlign w:val="superscript"/>
        </w:rPr>
        <w:t>15</w:t>
      </w:r>
      <w:r w:rsidRPr="008F28F2">
        <w:rPr>
          <w:rFonts w:ascii="Arial" w:hAnsi="Arial" w:cs="Arial"/>
          <w:kern w:val="32"/>
          <w:sz w:val="20"/>
          <w:szCs w:val="24"/>
        </w:rPr>
        <w:t xml:space="preserve">N labelled α-syn (100 μM) in PBS after the addition of 0.57 mg/mL serum-derived HDL. The intensity ratios corresponding to overlapping peaks are highlighted in red. B) Intensity decreases of the signals of two-dimensional (2D) </w:t>
      </w:r>
      <w:r w:rsidRPr="008F28F2">
        <w:rPr>
          <w:rFonts w:ascii="Arial" w:hAnsi="Arial" w:cs="Arial"/>
          <w:kern w:val="32"/>
          <w:sz w:val="20"/>
          <w:szCs w:val="24"/>
          <w:vertAlign w:val="superscript"/>
        </w:rPr>
        <w:t>15</w:t>
      </w:r>
      <w:r w:rsidRPr="008F28F2">
        <w:rPr>
          <w:rFonts w:ascii="Arial" w:hAnsi="Arial" w:cs="Arial"/>
          <w:kern w:val="32"/>
          <w:sz w:val="20"/>
          <w:szCs w:val="24"/>
        </w:rPr>
        <w:t>N–</w:t>
      </w:r>
      <w:r w:rsidRPr="008F28F2">
        <w:rPr>
          <w:rFonts w:ascii="Arial" w:hAnsi="Arial" w:cs="Arial"/>
          <w:kern w:val="32"/>
          <w:sz w:val="20"/>
          <w:szCs w:val="24"/>
          <w:vertAlign w:val="superscript"/>
        </w:rPr>
        <w:t>1</w:t>
      </w:r>
      <w:r w:rsidRPr="008F28F2">
        <w:rPr>
          <w:rFonts w:ascii="Arial" w:hAnsi="Arial" w:cs="Arial"/>
          <w:kern w:val="32"/>
          <w:sz w:val="20"/>
          <w:szCs w:val="24"/>
        </w:rPr>
        <w:t xml:space="preserve">H HSQC experiments acquired at 950 MHz at T = 283 K on </w:t>
      </w:r>
      <w:r w:rsidRPr="008F28F2">
        <w:rPr>
          <w:rFonts w:ascii="Arial" w:hAnsi="Arial" w:cs="Arial"/>
          <w:kern w:val="32"/>
          <w:sz w:val="20"/>
          <w:szCs w:val="24"/>
          <w:vertAlign w:val="superscript"/>
        </w:rPr>
        <w:t>15</w:t>
      </w:r>
      <w:r w:rsidRPr="008F28F2">
        <w:rPr>
          <w:rFonts w:ascii="Arial" w:hAnsi="Arial" w:cs="Arial"/>
          <w:kern w:val="32"/>
          <w:sz w:val="20"/>
          <w:szCs w:val="24"/>
        </w:rPr>
        <w:t xml:space="preserve">N labelled α-syn (100 μM) in PBS after the addition of 1 mg/mL serum-derived LDL. C) Intensity decreases of the signals of two-dimensional (2D) </w:t>
      </w:r>
      <w:r w:rsidRPr="008F28F2">
        <w:rPr>
          <w:rFonts w:ascii="Arial" w:hAnsi="Arial" w:cs="Arial"/>
          <w:kern w:val="32"/>
          <w:sz w:val="20"/>
          <w:szCs w:val="24"/>
          <w:vertAlign w:val="superscript"/>
        </w:rPr>
        <w:t>15</w:t>
      </w:r>
      <w:r w:rsidRPr="008F28F2">
        <w:rPr>
          <w:rFonts w:ascii="Arial" w:hAnsi="Arial" w:cs="Arial"/>
          <w:kern w:val="32"/>
          <w:sz w:val="20"/>
          <w:szCs w:val="24"/>
        </w:rPr>
        <w:t>N–</w:t>
      </w:r>
      <w:r w:rsidRPr="008F28F2">
        <w:rPr>
          <w:rFonts w:ascii="Arial" w:hAnsi="Arial" w:cs="Arial"/>
          <w:kern w:val="32"/>
          <w:sz w:val="20"/>
          <w:szCs w:val="24"/>
          <w:vertAlign w:val="superscript"/>
        </w:rPr>
        <w:t>1</w:t>
      </w:r>
      <w:r w:rsidRPr="008F28F2">
        <w:rPr>
          <w:rFonts w:ascii="Arial" w:hAnsi="Arial" w:cs="Arial"/>
          <w:kern w:val="32"/>
          <w:sz w:val="20"/>
          <w:szCs w:val="24"/>
        </w:rPr>
        <w:t xml:space="preserve">H HSQC experiments acquired at 950 MHz at T = 283 K on </w:t>
      </w:r>
      <w:r w:rsidRPr="008F28F2">
        <w:rPr>
          <w:rFonts w:ascii="Arial" w:hAnsi="Arial" w:cs="Arial"/>
          <w:kern w:val="32"/>
          <w:sz w:val="20"/>
          <w:szCs w:val="24"/>
          <w:vertAlign w:val="superscript"/>
        </w:rPr>
        <w:t>15</w:t>
      </w:r>
      <w:r w:rsidRPr="008F28F2">
        <w:rPr>
          <w:rFonts w:ascii="Arial" w:hAnsi="Arial" w:cs="Arial"/>
          <w:kern w:val="32"/>
          <w:sz w:val="20"/>
          <w:szCs w:val="24"/>
        </w:rPr>
        <w:t>N labelled α-syn (100 μM) in PBS after the addition of 3 mg/mL TTR.</w:t>
      </w:r>
    </w:p>
    <w:p w14:paraId="1C9F5238" w14:textId="2721EEB6" w:rsidR="003A3996" w:rsidRPr="008F28F2" w:rsidRDefault="003A3996">
      <w:pPr>
        <w:rPr>
          <w:rFonts w:ascii="Arial" w:hAnsi="Arial" w:cs="Arial"/>
          <w:kern w:val="32"/>
          <w:sz w:val="20"/>
          <w:szCs w:val="24"/>
        </w:rPr>
      </w:pPr>
      <w:r w:rsidRPr="008F28F2">
        <w:rPr>
          <w:rFonts w:ascii="Arial" w:hAnsi="Arial" w:cs="Arial"/>
          <w:kern w:val="32"/>
          <w:sz w:val="20"/>
          <w:szCs w:val="24"/>
        </w:rPr>
        <w:br w:type="page"/>
      </w:r>
    </w:p>
    <w:p w14:paraId="5CA07002" w14:textId="21C72BA8" w:rsidR="00811F12" w:rsidRPr="008F28F2" w:rsidRDefault="0073021A" w:rsidP="00F50C12">
      <w:pPr>
        <w:rPr>
          <w:rFonts w:ascii="Arial" w:hAnsi="Arial" w:cs="Arial"/>
          <w:b/>
          <w:bCs/>
          <w:i/>
          <w:iCs/>
          <w:kern w:val="32"/>
          <w:sz w:val="20"/>
          <w:szCs w:val="24"/>
        </w:rPr>
      </w:pPr>
      <w:r w:rsidRPr="008F28F2">
        <w:lastRenderedPageBreak/>
        <w:t xml:space="preserve"> </w:t>
      </w:r>
      <w:r w:rsidRPr="008F28F2">
        <w:rPr>
          <w:noProof/>
        </w:rPr>
        <w:drawing>
          <wp:inline distT="0" distB="0" distL="0" distR="0" wp14:anchorId="747D7A52" wp14:editId="6C80BC5D">
            <wp:extent cx="5274310" cy="4147820"/>
            <wp:effectExtent l="0" t="0" r="2540" b="508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4310" cy="4147820"/>
                    </a:xfrm>
                    <a:prstGeom prst="rect">
                      <a:avLst/>
                    </a:prstGeom>
                    <a:noFill/>
                    <a:ln>
                      <a:noFill/>
                    </a:ln>
                  </pic:spPr>
                </pic:pic>
              </a:graphicData>
            </a:graphic>
          </wp:inline>
        </w:drawing>
      </w:r>
    </w:p>
    <w:p w14:paraId="43221DC5" w14:textId="3EEDC1AC" w:rsidR="001B39D0" w:rsidRPr="008F28F2" w:rsidRDefault="003A3996" w:rsidP="00F50C12">
      <w:pPr>
        <w:pStyle w:val="Titolo2"/>
        <w:jc w:val="both"/>
        <w:rPr>
          <w:rFonts w:ascii="Arial" w:hAnsi="Arial" w:cs="Arial"/>
          <w:color w:val="000000"/>
          <w:sz w:val="20"/>
        </w:rPr>
      </w:pPr>
      <w:r w:rsidRPr="008F28F2">
        <w:rPr>
          <w:rFonts w:ascii="Arial" w:hAnsi="Arial" w:cs="Arial"/>
          <w:color w:val="000000"/>
          <w:sz w:val="20"/>
        </w:rPr>
        <w:t>Fig. S1</w:t>
      </w:r>
      <w:r w:rsidR="000A7924" w:rsidRPr="008F28F2">
        <w:rPr>
          <w:rFonts w:ascii="Arial" w:hAnsi="Arial" w:cs="Arial"/>
          <w:color w:val="000000"/>
          <w:sz w:val="20"/>
        </w:rPr>
        <w:t>1</w:t>
      </w:r>
      <w:r w:rsidRPr="008F28F2">
        <w:rPr>
          <w:rFonts w:ascii="Arial" w:hAnsi="Arial" w:cs="Arial"/>
          <w:color w:val="000000"/>
          <w:sz w:val="20"/>
        </w:rPr>
        <w:t xml:space="preserve">. WB experiments performed on immunodepleted CSF. </w:t>
      </w:r>
      <w:r w:rsidRPr="008F28F2">
        <w:rPr>
          <w:rFonts w:ascii="Arial" w:hAnsi="Arial" w:cs="Arial"/>
          <w:b w:val="0"/>
          <w:bCs w:val="0"/>
          <w:i w:val="0"/>
          <w:iCs w:val="0"/>
          <w:color w:val="000000"/>
          <w:sz w:val="20"/>
        </w:rPr>
        <w:t>WB experiments were performed with anti-ApoA1 (MIA1404) and anti-ApoE (PA5-27088) antibodies on neat CSF</w:t>
      </w:r>
      <w:r w:rsidR="00AD3787" w:rsidRPr="008F28F2">
        <w:rPr>
          <w:rFonts w:ascii="Arial" w:hAnsi="Arial" w:cs="Arial"/>
          <w:b w:val="0"/>
          <w:bCs w:val="0"/>
          <w:i w:val="0"/>
          <w:iCs w:val="0"/>
          <w:color w:val="000000"/>
          <w:sz w:val="20"/>
        </w:rPr>
        <w:t xml:space="preserve"> </w:t>
      </w:r>
      <w:r w:rsidRPr="008F28F2">
        <w:rPr>
          <w:rFonts w:ascii="Arial" w:hAnsi="Arial" w:cs="Arial"/>
          <w:b w:val="0"/>
          <w:bCs w:val="0"/>
          <w:i w:val="0"/>
          <w:iCs w:val="0"/>
          <w:color w:val="000000"/>
          <w:sz w:val="20"/>
        </w:rPr>
        <w:t xml:space="preserve">and supernatants </w:t>
      </w:r>
      <w:r w:rsidR="00AD3787" w:rsidRPr="008F28F2">
        <w:rPr>
          <w:rFonts w:ascii="Arial" w:hAnsi="Arial" w:cs="Arial"/>
          <w:b w:val="0"/>
          <w:bCs w:val="0"/>
          <w:i w:val="0"/>
          <w:iCs w:val="0"/>
          <w:color w:val="000000"/>
          <w:sz w:val="20"/>
        </w:rPr>
        <w:t xml:space="preserve">(400 μL CSF, 100 μL slurry) </w:t>
      </w:r>
      <w:r w:rsidRPr="008F28F2">
        <w:rPr>
          <w:rFonts w:ascii="Arial" w:hAnsi="Arial" w:cs="Arial"/>
          <w:b w:val="0"/>
          <w:bCs w:val="0"/>
          <w:i w:val="0"/>
          <w:iCs w:val="0"/>
          <w:color w:val="000000"/>
          <w:sz w:val="20"/>
        </w:rPr>
        <w:t>resulting from</w:t>
      </w:r>
      <w:r w:rsidR="00E82AE7" w:rsidRPr="008F28F2">
        <w:rPr>
          <w:rFonts w:ascii="Arial" w:hAnsi="Arial" w:cs="Arial"/>
          <w:b w:val="0"/>
          <w:bCs w:val="0"/>
          <w:i w:val="0"/>
          <w:iCs w:val="0"/>
          <w:color w:val="000000"/>
          <w:sz w:val="20"/>
        </w:rPr>
        <w:t xml:space="preserve"> </w:t>
      </w:r>
      <w:r w:rsidRPr="008F28F2">
        <w:rPr>
          <w:rFonts w:ascii="Arial" w:hAnsi="Arial" w:cs="Arial"/>
          <w:b w:val="0"/>
          <w:bCs w:val="0"/>
          <w:i w:val="0"/>
          <w:iCs w:val="0"/>
          <w:color w:val="000000"/>
          <w:sz w:val="20"/>
        </w:rPr>
        <w:t>immunoprecipitation procedure performed using different quantities of the same antibodies (</w:t>
      </w:r>
      <w:r w:rsidR="00E82AE7" w:rsidRPr="008F28F2">
        <w:rPr>
          <w:rFonts w:ascii="Arial" w:hAnsi="Arial" w:cs="Arial"/>
          <w:b w:val="0"/>
          <w:bCs w:val="0"/>
          <w:i w:val="0"/>
          <w:iCs w:val="0"/>
          <w:color w:val="000000"/>
          <w:sz w:val="20"/>
        </w:rPr>
        <w:t>IP CSF</w:t>
      </w:r>
      <w:r w:rsidRPr="008F28F2">
        <w:rPr>
          <w:rFonts w:ascii="Arial" w:hAnsi="Arial" w:cs="Arial"/>
          <w:b w:val="0"/>
          <w:bCs w:val="0"/>
          <w:i w:val="0"/>
          <w:iCs w:val="0"/>
          <w:color w:val="000000"/>
          <w:sz w:val="20"/>
        </w:rPr>
        <w:t xml:space="preserve"> samples), immunoprecipitation performed without antibodies</w:t>
      </w:r>
      <w:r w:rsidR="00294854" w:rsidRPr="008F28F2">
        <w:rPr>
          <w:rFonts w:ascii="Arial" w:hAnsi="Arial" w:cs="Arial"/>
          <w:b w:val="0"/>
          <w:bCs w:val="0"/>
          <w:i w:val="0"/>
          <w:iCs w:val="0"/>
          <w:color w:val="000000"/>
          <w:sz w:val="20"/>
        </w:rPr>
        <w:t xml:space="preserve"> (CSF IP no Ab)</w:t>
      </w:r>
      <w:r w:rsidRPr="008F28F2">
        <w:rPr>
          <w:rFonts w:ascii="Arial" w:hAnsi="Arial" w:cs="Arial"/>
          <w:b w:val="0"/>
          <w:bCs w:val="0"/>
          <w:i w:val="0"/>
          <w:iCs w:val="0"/>
          <w:color w:val="000000"/>
          <w:sz w:val="20"/>
        </w:rPr>
        <w:t>.</w:t>
      </w:r>
      <w:r w:rsidR="00294854" w:rsidRPr="008F28F2">
        <w:rPr>
          <w:rFonts w:ascii="Arial" w:hAnsi="Arial" w:cs="Arial"/>
          <w:b w:val="0"/>
          <w:bCs w:val="0"/>
          <w:i w:val="0"/>
          <w:iCs w:val="0"/>
          <w:color w:val="000000"/>
          <w:sz w:val="20"/>
        </w:rPr>
        <w:t xml:space="preserve"> The</w:t>
      </w:r>
      <w:r w:rsidR="00C85C06" w:rsidRPr="008F28F2">
        <w:rPr>
          <w:rFonts w:ascii="Arial" w:hAnsi="Arial" w:cs="Arial"/>
          <w:b w:val="0"/>
          <w:bCs w:val="0"/>
          <w:i w:val="0"/>
          <w:iCs w:val="0"/>
          <w:color w:val="000000"/>
          <w:sz w:val="20"/>
        </w:rPr>
        <w:t xml:space="preserve"> conditions relative to</w:t>
      </w:r>
      <w:r w:rsidR="00294854" w:rsidRPr="008F28F2">
        <w:rPr>
          <w:rFonts w:ascii="Arial" w:hAnsi="Arial" w:cs="Arial"/>
          <w:b w:val="0"/>
          <w:bCs w:val="0"/>
          <w:i w:val="0"/>
          <w:iCs w:val="0"/>
          <w:color w:val="000000"/>
          <w:sz w:val="20"/>
        </w:rPr>
        <w:t xml:space="preserve"> </w:t>
      </w:r>
      <w:r w:rsidR="00E82AE7" w:rsidRPr="008F28F2">
        <w:rPr>
          <w:rFonts w:ascii="Arial" w:hAnsi="Arial" w:cs="Arial"/>
          <w:b w:val="0"/>
          <w:bCs w:val="0"/>
          <w:i w:val="0"/>
          <w:iCs w:val="0"/>
          <w:color w:val="000000"/>
          <w:sz w:val="20"/>
        </w:rPr>
        <w:t>IP CSF</w:t>
      </w:r>
      <w:r w:rsidR="00294854" w:rsidRPr="008F28F2">
        <w:rPr>
          <w:rFonts w:ascii="Arial" w:hAnsi="Arial" w:cs="Arial"/>
          <w:b w:val="0"/>
          <w:bCs w:val="0"/>
          <w:i w:val="0"/>
          <w:iCs w:val="0"/>
          <w:color w:val="000000"/>
          <w:sz w:val="20"/>
        </w:rPr>
        <w:t xml:space="preserve"> ApoA1 60 µg and </w:t>
      </w:r>
      <w:r w:rsidR="00E82AE7" w:rsidRPr="008F28F2">
        <w:rPr>
          <w:rFonts w:ascii="Arial" w:hAnsi="Arial" w:cs="Arial"/>
          <w:b w:val="0"/>
          <w:bCs w:val="0"/>
          <w:i w:val="0"/>
          <w:iCs w:val="0"/>
          <w:color w:val="000000"/>
          <w:sz w:val="20"/>
        </w:rPr>
        <w:t>IP CSF</w:t>
      </w:r>
      <w:r w:rsidR="00294854" w:rsidRPr="008F28F2">
        <w:rPr>
          <w:rFonts w:ascii="Arial" w:hAnsi="Arial" w:cs="Arial"/>
          <w:b w:val="0"/>
          <w:bCs w:val="0"/>
          <w:i w:val="0"/>
          <w:iCs w:val="0"/>
          <w:color w:val="000000"/>
          <w:sz w:val="20"/>
        </w:rPr>
        <w:t xml:space="preserve"> ApoE 20 µg were then selected for </w:t>
      </w:r>
      <w:r w:rsidR="00740CAE" w:rsidRPr="008F28F2">
        <w:rPr>
          <w:rFonts w:ascii="Arial" w:hAnsi="Arial" w:cs="Arial"/>
          <w:b w:val="0"/>
          <w:bCs w:val="0"/>
          <w:i w:val="0"/>
          <w:iCs w:val="0"/>
          <w:color w:val="000000"/>
          <w:sz w:val="20"/>
        </w:rPr>
        <w:t>Protein aggregation</w:t>
      </w:r>
      <w:r w:rsidR="00294854" w:rsidRPr="008F28F2">
        <w:rPr>
          <w:rFonts w:ascii="Arial" w:hAnsi="Arial" w:cs="Arial"/>
          <w:b w:val="0"/>
          <w:bCs w:val="0"/>
          <w:i w:val="0"/>
          <w:iCs w:val="0"/>
          <w:color w:val="000000"/>
          <w:sz w:val="20"/>
        </w:rPr>
        <w:t xml:space="preserve"> assays.</w:t>
      </w:r>
    </w:p>
    <w:p w14:paraId="419E9794" w14:textId="7C29DC9B" w:rsidR="003A3996" w:rsidRPr="008F28F2" w:rsidRDefault="003A3996">
      <w:pPr>
        <w:rPr>
          <w:rFonts w:ascii="Arial" w:hAnsi="Arial" w:cs="Arial"/>
          <w:b/>
          <w:bCs/>
          <w:color w:val="000000"/>
          <w:sz w:val="20"/>
        </w:rPr>
      </w:pPr>
      <w:r w:rsidRPr="008F28F2">
        <w:rPr>
          <w:rFonts w:ascii="Arial" w:hAnsi="Arial" w:cs="Arial"/>
          <w:b/>
          <w:bCs/>
          <w:color w:val="000000"/>
          <w:sz w:val="20"/>
        </w:rPr>
        <w:br w:type="page"/>
      </w:r>
    </w:p>
    <w:p w14:paraId="6D013053" w14:textId="77777777" w:rsidR="003A3996" w:rsidRPr="008F28F2" w:rsidRDefault="003A3996" w:rsidP="00F50C12">
      <w:pPr>
        <w:jc w:val="both"/>
        <w:rPr>
          <w:rFonts w:ascii="Arial" w:hAnsi="Arial" w:cs="Arial"/>
          <w:kern w:val="32"/>
          <w:sz w:val="20"/>
          <w:szCs w:val="24"/>
        </w:rPr>
      </w:pPr>
    </w:p>
    <w:p w14:paraId="0EDCE663" w14:textId="77777777" w:rsidR="001B39D0" w:rsidRPr="008F28F2" w:rsidRDefault="001B39D0" w:rsidP="001B39D0">
      <w:pPr>
        <w:pBdr>
          <w:top w:val="nil"/>
          <w:left w:val="nil"/>
          <w:bottom w:val="nil"/>
          <w:right w:val="nil"/>
          <w:between w:val="nil"/>
        </w:pBdr>
        <w:spacing w:after="200"/>
        <w:contextualSpacing/>
        <w:jc w:val="both"/>
        <w:rPr>
          <w:rFonts w:ascii="Arial" w:hAnsi="Arial" w:cs="Arial"/>
          <w:b/>
          <w:bCs/>
          <w:color w:val="000000"/>
          <w:sz w:val="20"/>
        </w:rPr>
      </w:pPr>
    </w:p>
    <w:p w14:paraId="4B7F12F2" w14:textId="77777777" w:rsidR="001B39D0" w:rsidRPr="008F28F2" w:rsidRDefault="001B39D0" w:rsidP="001B39D0">
      <w:pPr>
        <w:keepNext/>
        <w:spacing w:before="240" w:after="60"/>
        <w:outlineLvl w:val="0"/>
        <w:rPr>
          <w:rFonts w:ascii="Arial" w:hAnsi="Arial" w:cs="Arial"/>
          <w:b/>
          <w:bCs/>
          <w:color w:val="000000"/>
          <w:kern w:val="32"/>
          <w:szCs w:val="24"/>
          <w:lang w:val="en-GB"/>
        </w:rPr>
      </w:pPr>
      <w:r w:rsidRPr="008F28F2">
        <w:rPr>
          <w:rFonts w:ascii="Arial" w:hAnsi="Arial" w:cs="Arial"/>
          <w:b/>
          <w:bCs/>
          <w:color w:val="000000"/>
          <w:kern w:val="32"/>
          <w:szCs w:val="24"/>
          <w:lang w:val="en-GB"/>
        </w:rPr>
        <w:t>Supplementary Tables</w:t>
      </w:r>
    </w:p>
    <w:p w14:paraId="6506A37B" w14:textId="77777777" w:rsidR="001B39D0" w:rsidRPr="008F28F2" w:rsidRDefault="001B39D0" w:rsidP="001B39D0">
      <w:pPr>
        <w:keepNext/>
        <w:spacing w:before="240" w:after="60"/>
        <w:outlineLvl w:val="1"/>
        <w:rPr>
          <w:rFonts w:ascii="Arial" w:hAnsi="Arial" w:cs="Arial"/>
          <w:b/>
          <w:bCs/>
          <w:color w:val="000000"/>
          <w:sz w:val="20"/>
          <w:szCs w:val="28"/>
          <w:lang w:val="en-GB"/>
        </w:rPr>
      </w:pPr>
      <w:r w:rsidRPr="008F28F2">
        <w:rPr>
          <w:rFonts w:ascii="Arial" w:hAnsi="Arial" w:cs="Arial"/>
          <w:b/>
          <w:bCs/>
          <w:color w:val="000000"/>
          <w:sz w:val="20"/>
          <w:szCs w:val="28"/>
          <w:lang w:val="en-GB"/>
        </w:rPr>
        <w:t>Table S1. Concentration factors and final volumes of the CSF fractions.</w:t>
      </w:r>
    </w:p>
    <w:tbl>
      <w:tblPr>
        <w:tblW w:w="0" w:type="auto"/>
        <w:jc w:val="center"/>
        <w:tblCellMar>
          <w:left w:w="0" w:type="dxa"/>
          <w:right w:w="0" w:type="dxa"/>
        </w:tblCellMar>
        <w:tblLook w:val="0600" w:firstRow="0" w:lastRow="0" w:firstColumn="0" w:lastColumn="0" w:noHBand="1" w:noVBand="1"/>
      </w:tblPr>
      <w:tblGrid>
        <w:gridCol w:w="1600"/>
        <w:gridCol w:w="1344"/>
        <w:gridCol w:w="1382"/>
        <w:gridCol w:w="2177"/>
        <w:gridCol w:w="2117"/>
      </w:tblGrid>
      <w:tr w:rsidR="001B39D0" w:rsidRPr="008F28F2" w14:paraId="6BB2DB2D" w14:textId="77777777" w:rsidTr="00794846">
        <w:trPr>
          <w:trHeight w:hRule="exact" w:val="578"/>
          <w:jc w:val="center"/>
        </w:trPr>
        <w:tc>
          <w:tcPr>
            <w:tcW w:w="1767" w:type="dxa"/>
            <w:tcBorders>
              <w:top w:val="single" w:sz="8" w:space="0" w:color="000000"/>
              <w:left w:val="single" w:sz="8" w:space="0" w:color="000000"/>
              <w:bottom w:val="single" w:sz="8" w:space="0" w:color="000000"/>
              <w:right w:val="single" w:sz="8" w:space="0" w:color="000000"/>
            </w:tcBorders>
            <w:shd w:val="clear" w:color="auto" w:fill="E9EBF5"/>
            <w:tcMar>
              <w:top w:w="12" w:type="dxa"/>
              <w:left w:w="12" w:type="dxa"/>
              <w:bottom w:w="0" w:type="dxa"/>
              <w:right w:w="12" w:type="dxa"/>
            </w:tcMar>
            <w:vAlign w:val="center"/>
            <w:hideMark/>
          </w:tcPr>
          <w:p w14:paraId="4ABA9028"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b/>
                <w:bCs/>
                <w:color w:val="000000"/>
                <w:sz w:val="20"/>
                <w:lang w:val="en-GB"/>
              </w:rPr>
            </w:pPr>
            <w:r w:rsidRPr="008F28F2">
              <w:rPr>
                <w:rFonts w:ascii="Arial" w:hAnsi="Arial" w:cs="Arial"/>
                <w:b/>
                <w:bCs/>
                <w:color w:val="000000"/>
                <w:sz w:val="20"/>
                <w:lang w:val="en-GB"/>
              </w:rPr>
              <w:t>Sample number</w:t>
            </w:r>
          </w:p>
        </w:tc>
        <w:tc>
          <w:tcPr>
            <w:tcW w:w="1497" w:type="dxa"/>
            <w:tcBorders>
              <w:top w:val="single" w:sz="8" w:space="0" w:color="000000"/>
              <w:left w:val="single" w:sz="8" w:space="0" w:color="000000"/>
              <w:bottom w:val="single" w:sz="8" w:space="0" w:color="000000"/>
              <w:right w:val="single" w:sz="8" w:space="0" w:color="000000"/>
            </w:tcBorders>
            <w:shd w:val="clear" w:color="auto" w:fill="E9EBF5"/>
            <w:tcMar>
              <w:top w:w="12" w:type="dxa"/>
              <w:left w:w="12" w:type="dxa"/>
              <w:bottom w:w="0" w:type="dxa"/>
              <w:right w:w="12" w:type="dxa"/>
            </w:tcMar>
            <w:vAlign w:val="center"/>
          </w:tcPr>
          <w:p w14:paraId="72392CA3"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b/>
                <w:bCs/>
                <w:color w:val="000000"/>
                <w:sz w:val="20"/>
                <w:lang w:val="en-GB"/>
              </w:rPr>
            </w:pPr>
            <w:r w:rsidRPr="008F28F2">
              <w:rPr>
                <w:rFonts w:ascii="Arial" w:hAnsi="Arial" w:cs="Arial"/>
                <w:b/>
                <w:bCs/>
                <w:color w:val="000000"/>
                <w:sz w:val="20"/>
                <w:lang w:val="en-GB"/>
              </w:rPr>
              <w:t>MW range</w:t>
            </w:r>
          </w:p>
        </w:tc>
        <w:tc>
          <w:tcPr>
            <w:tcW w:w="1508" w:type="dxa"/>
            <w:tcBorders>
              <w:top w:val="single" w:sz="8" w:space="0" w:color="000000"/>
              <w:left w:val="single" w:sz="8" w:space="0" w:color="000000"/>
              <w:bottom w:val="single" w:sz="8" w:space="0" w:color="000000"/>
              <w:right w:val="single" w:sz="8" w:space="0" w:color="000000"/>
            </w:tcBorders>
            <w:shd w:val="clear" w:color="auto" w:fill="E9EBF5"/>
            <w:tcMar>
              <w:top w:w="12" w:type="dxa"/>
              <w:left w:w="12" w:type="dxa"/>
              <w:bottom w:w="0" w:type="dxa"/>
              <w:right w:w="12" w:type="dxa"/>
            </w:tcMar>
            <w:vAlign w:val="center"/>
            <w:hideMark/>
          </w:tcPr>
          <w:p w14:paraId="16726ED1"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b/>
                <w:bCs/>
                <w:color w:val="000000"/>
                <w:sz w:val="20"/>
                <w:lang w:val="en-GB"/>
              </w:rPr>
            </w:pPr>
            <w:r w:rsidRPr="008F28F2">
              <w:rPr>
                <w:rFonts w:ascii="Arial" w:hAnsi="Arial" w:cs="Arial"/>
                <w:b/>
                <w:bCs/>
                <w:color w:val="000000"/>
                <w:sz w:val="20"/>
                <w:lang w:val="en-GB"/>
              </w:rPr>
              <w:t>Volume (mL)</w:t>
            </w:r>
          </w:p>
        </w:tc>
        <w:tc>
          <w:tcPr>
            <w:tcW w:w="2342" w:type="dxa"/>
            <w:tcBorders>
              <w:top w:val="single" w:sz="8" w:space="0" w:color="000000"/>
              <w:left w:val="single" w:sz="8" w:space="0" w:color="000000"/>
              <w:bottom w:val="single" w:sz="8" w:space="0" w:color="000000"/>
              <w:right w:val="single" w:sz="8" w:space="0" w:color="000000"/>
            </w:tcBorders>
            <w:shd w:val="clear" w:color="auto" w:fill="E9EBF5"/>
            <w:tcMar>
              <w:top w:w="12" w:type="dxa"/>
              <w:left w:w="12" w:type="dxa"/>
              <w:bottom w:w="0" w:type="dxa"/>
              <w:right w:w="12" w:type="dxa"/>
            </w:tcMar>
            <w:vAlign w:val="center"/>
            <w:hideMark/>
          </w:tcPr>
          <w:p w14:paraId="3F11F64F"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b/>
                <w:bCs/>
                <w:color w:val="000000"/>
                <w:sz w:val="20"/>
                <w:lang w:val="en-GB"/>
              </w:rPr>
            </w:pPr>
            <w:r w:rsidRPr="008F28F2">
              <w:rPr>
                <w:rFonts w:ascii="Arial" w:hAnsi="Arial" w:cs="Arial"/>
                <w:b/>
                <w:bCs/>
                <w:color w:val="000000"/>
                <w:sz w:val="20"/>
                <w:lang w:val="en-GB"/>
              </w:rPr>
              <w:t>Native concentration factor</w:t>
            </w:r>
          </w:p>
        </w:tc>
        <w:tc>
          <w:tcPr>
            <w:tcW w:w="2270" w:type="dxa"/>
            <w:tcBorders>
              <w:top w:val="single" w:sz="8" w:space="0" w:color="000000"/>
              <w:left w:val="single" w:sz="8" w:space="0" w:color="000000"/>
              <w:bottom w:val="single" w:sz="8" w:space="0" w:color="000000"/>
              <w:right w:val="single" w:sz="8" w:space="0" w:color="000000"/>
            </w:tcBorders>
            <w:shd w:val="clear" w:color="auto" w:fill="E9EBF5"/>
            <w:vAlign w:val="center"/>
          </w:tcPr>
          <w:p w14:paraId="2F22F8E3" w14:textId="77777777" w:rsidR="001B39D0" w:rsidRPr="008F28F2" w:rsidDel="00397182" w:rsidRDefault="001B39D0" w:rsidP="001B39D0">
            <w:pPr>
              <w:pBdr>
                <w:top w:val="nil"/>
                <w:left w:val="nil"/>
                <w:bottom w:val="nil"/>
                <w:right w:val="nil"/>
                <w:between w:val="nil"/>
              </w:pBdr>
              <w:spacing w:after="200"/>
              <w:contextualSpacing/>
              <w:jc w:val="center"/>
              <w:rPr>
                <w:rFonts w:ascii="Arial" w:hAnsi="Arial" w:cs="Arial"/>
                <w:b/>
                <w:bCs/>
                <w:color w:val="000000"/>
                <w:sz w:val="20"/>
                <w:lang w:val="en-GB"/>
              </w:rPr>
            </w:pPr>
            <w:r w:rsidRPr="008F28F2">
              <w:rPr>
                <w:rFonts w:ascii="Arial" w:hAnsi="Arial" w:cs="Arial"/>
                <w:b/>
                <w:bCs/>
                <w:color w:val="000000"/>
                <w:sz w:val="20"/>
                <w:lang w:val="en-GB"/>
              </w:rPr>
              <w:t>Final concentration factor</w:t>
            </w:r>
          </w:p>
        </w:tc>
      </w:tr>
      <w:tr w:rsidR="001B39D0" w:rsidRPr="008F28F2" w14:paraId="2B9ABDF3" w14:textId="77777777" w:rsidTr="00794846">
        <w:trPr>
          <w:trHeight w:hRule="exact" w:val="284"/>
          <w:jc w:val="center"/>
        </w:trPr>
        <w:tc>
          <w:tcPr>
            <w:tcW w:w="1767"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478F4ED3"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1</w:t>
            </w:r>
          </w:p>
        </w:tc>
        <w:tc>
          <w:tcPr>
            <w:tcW w:w="1497"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tcPr>
          <w:p w14:paraId="5FCFC9B2"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whole CSF</w:t>
            </w:r>
          </w:p>
        </w:tc>
        <w:tc>
          <w:tcPr>
            <w:tcW w:w="1508"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417991B9"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0.5</w:t>
            </w:r>
          </w:p>
        </w:tc>
        <w:tc>
          <w:tcPr>
            <w:tcW w:w="2342"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6FD83ACC"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1</w:t>
            </w:r>
          </w:p>
        </w:tc>
        <w:tc>
          <w:tcPr>
            <w:tcW w:w="227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554A715"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1</w:t>
            </w:r>
          </w:p>
        </w:tc>
      </w:tr>
      <w:tr w:rsidR="001B39D0" w:rsidRPr="008F28F2" w14:paraId="49DD3612" w14:textId="77777777" w:rsidTr="00794846">
        <w:trPr>
          <w:trHeight w:hRule="exact" w:val="284"/>
          <w:jc w:val="center"/>
        </w:trPr>
        <w:tc>
          <w:tcPr>
            <w:tcW w:w="1767"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6A75EDA3"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2</w:t>
            </w:r>
          </w:p>
        </w:tc>
        <w:tc>
          <w:tcPr>
            <w:tcW w:w="1497"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tcPr>
          <w:p w14:paraId="492A88AA"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&gt;100 kDa</w:t>
            </w:r>
          </w:p>
        </w:tc>
        <w:tc>
          <w:tcPr>
            <w:tcW w:w="1508"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7FC9C4A9"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0.5</w:t>
            </w:r>
          </w:p>
        </w:tc>
        <w:tc>
          <w:tcPr>
            <w:tcW w:w="2342"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7A8A7E9A"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8</w:t>
            </w:r>
          </w:p>
        </w:tc>
        <w:tc>
          <w:tcPr>
            <w:tcW w:w="227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E27D9D9"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5</w:t>
            </w:r>
          </w:p>
        </w:tc>
      </w:tr>
      <w:tr w:rsidR="001B39D0" w:rsidRPr="008F28F2" w14:paraId="675CD8FC" w14:textId="77777777" w:rsidTr="00794846">
        <w:trPr>
          <w:trHeight w:hRule="exact" w:val="284"/>
          <w:jc w:val="center"/>
        </w:trPr>
        <w:tc>
          <w:tcPr>
            <w:tcW w:w="1767"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46701B05"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3</w:t>
            </w:r>
          </w:p>
        </w:tc>
        <w:tc>
          <w:tcPr>
            <w:tcW w:w="1497"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tcPr>
          <w:p w14:paraId="55C9576C"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50-100 kDa</w:t>
            </w:r>
          </w:p>
        </w:tc>
        <w:tc>
          <w:tcPr>
            <w:tcW w:w="1508"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282BA473"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0.5</w:t>
            </w:r>
          </w:p>
        </w:tc>
        <w:tc>
          <w:tcPr>
            <w:tcW w:w="2342"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2D509DEE"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7</w:t>
            </w:r>
          </w:p>
        </w:tc>
        <w:tc>
          <w:tcPr>
            <w:tcW w:w="227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8C77840"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5</w:t>
            </w:r>
          </w:p>
        </w:tc>
      </w:tr>
      <w:tr w:rsidR="001B39D0" w:rsidRPr="008F28F2" w14:paraId="41810888" w14:textId="77777777" w:rsidTr="00794846">
        <w:trPr>
          <w:trHeight w:hRule="exact" w:val="284"/>
          <w:jc w:val="center"/>
        </w:trPr>
        <w:tc>
          <w:tcPr>
            <w:tcW w:w="1767"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6FFD1C0D"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4</w:t>
            </w:r>
          </w:p>
        </w:tc>
        <w:tc>
          <w:tcPr>
            <w:tcW w:w="1497"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tcPr>
          <w:p w14:paraId="5C2A1D20"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10-50 kDa</w:t>
            </w:r>
          </w:p>
        </w:tc>
        <w:tc>
          <w:tcPr>
            <w:tcW w:w="1508"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56AC3EF2"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0.5</w:t>
            </w:r>
          </w:p>
        </w:tc>
        <w:tc>
          <w:tcPr>
            <w:tcW w:w="2342"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28F7C074"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6</w:t>
            </w:r>
          </w:p>
        </w:tc>
        <w:tc>
          <w:tcPr>
            <w:tcW w:w="227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9EE341"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5</w:t>
            </w:r>
          </w:p>
        </w:tc>
      </w:tr>
      <w:tr w:rsidR="001B39D0" w:rsidRPr="008F28F2" w14:paraId="6408655F" w14:textId="77777777" w:rsidTr="00794846">
        <w:trPr>
          <w:trHeight w:hRule="exact" w:val="284"/>
          <w:jc w:val="center"/>
        </w:trPr>
        <w:tc>
          <w:tcPr>
            <w:tcW w:w="1767"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0E313408"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5</w:t>
            </w:r>
          </w:p>
        </w:tc>
        <w:tc>
          <w:tcPr>
            <w:tcW w:w="1497"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tcPr>
          <w:p w14:paraId="10A5DC98"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3-10 kDa</w:t>
            </w:r>
          </w:p>
        </w:tc>
        <w:tc>
          <w:tcPr>
            <w:tcW w:w="1508"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460C63D9"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0.5</w:t>
            </w:r>
          </w:p>
        </w:tc>
        <w:tc>
          <w:tcPr>
            <w:tcW w:w="2342"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645F5140"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5</w:t>
            </w:r>
          </w:p>
        </w:tc>
        <w:tc>
          <w:tcPr>
            <w:tcW w:w="227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7BCE0CA"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5</w:t>
            </w:r>
          </w:p>
        </w:tc>
      </w:tr>
      <w:tr w:rsidR="001B39D0" w:rsidRPr="008F28F2" w14:paraId="7DABCF85" w14:textId="77777777" w:rsidTr="00794846">
        <w:trPr>
          <w:trHeight w:hRule="exact" w:val="284"/>
          <w:jc w:val="center"/>
        </w:trPr>
        <w:tc>
          <w:tcPr>
            <w:tcW w:w="1767"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3125CBFF"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6</w:t>
            </w:r>
          </w:p>
        </w:tc>
        <w:tc>
          <w:tcPr>
            <w:tcW w:w="1497"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tcPr>
          <w:p w14:paraId="120FD15A"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&lt;3 kDa</w:t>
            </w:r>
          </w:p>
        </w:tc>
        <w:tc>
          <w:tcPr>
            <w:tcW w:w="1508"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03DF29C3"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2</w:t>
            </w:r>
          </w:p>
        </w:tc>
        <w:tc>
          <w:tcPr>
            <w:tcW w:w="2342" w:type="dxa"/>
            <w:tcBorders>
              <w:top w:val="single" w:sz="8" w:space="0" w:color="000000"/>
              <w:left w:val="single" w:sz="8" w:space="0" w:color="000000"/>
              <w:bottom w:val="single" w:sz="8" w:space="0" w:color="000000"/>
              <w:right w:val="single" w:sz="8" w:space="0" w:color="000000"/>
            </w:tcBorders>
            <w:shd w:val="clear" w:color="auto" w:fill="FFFFFF"/>
            <w:tcMar>
              <w:top w:w="12" w:type="dxa"/>
              <w:left w:w="12" w:type="dxa"/>
              <w:bottom w:w="0" w:type="dxa"/>
              <w:right w:w="12" w:type="dxa"/>
            </w:tcMar>
            <w:vAlign w:val="center"/>
            <w:hideMark/>
          </w:tcPr>
          <w:p w14:paraId="2351DCEE"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1</w:t>
            </w:r>
          </w:p>
        </w:tc>
        <w:tc>
          <w:tcPr>
            <w:tcW w:w="227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6956E0E" w14:textId="77777777" w:rsidR="001B39D0" w:rsidRPr="008F28F2" w:rsidRDefault="001B39D0" w:rsidP="001B39D0">
            <w:pPr>
              <w:pBdr>
                <w:top w:val="nil"/>
                <w:left w:val="nil"/>
                <w:bottom w:val="nil"/>
                <w:right w:val="nil"/>
                <w:between w:val="nil"/>
              </w:pBdr>
              <w:spacing w:after="200"/>
              <w:contextualSpacing/>
              <w:jc w:val="center"/>
              <w:rPr>
                <w:rFonts w:ascii="Arial" w:hAnsi="Arial" w:cs="Arial"/>
                <w:color w:val="000000"/>
                <w:sz w:val="20"/>
                <w:lang w:val="en-GB"/>
              </w:rPr>
            </w:pPr>
            <w:r w:rsidRPr="008F28F2">
              <w:rPr>
                <w:rFonts w:ascii="Arial" w:hAnsi="Arial" w:cs="Arial"/>
                <w:color w:val="000000"/>
                <w:sz w:val="20"/>
                <w:lang w:val="en-GB"/>
              </w:rPr>
              <w:t>1</w:t>
            </w:r>
          </w:p>
        </w:tc>
      </w:tr>
    </w:tbl>
    <w:p w14:paraId="4345299C" w14:textId="77777777" w:rsidR="001B39D0" w:rsidRPr="008F28F2" w:rsidRDefault="001B39D0" w:rsidP="001B39D0">
      <w:pPr>
        <w:pBdr>
          <w:top w:val="nil"/>
          <w:left w:val="nil"/>
          <w:bottom w:val="nil"/>
          <w:right w:val="nil"/>
          <w:between w:val="nil"/>
        </w:pBdr>
        <w:spacing w:after="200"/>
        <w:contextualSpacing/>
        <w:jc w:val="both"/>
        <w:rPr>
          <w:rFonts w:ascii="Arial" w:hAnsi="Arial" w:cs="Arial"/>
          <w:color w:val="000000"/>
          <w:sz w:val="20"/>
        </w:rPr>
      </w:pPr>
    </w:p>
    <w:p w14:paraId="4F5A2F18" w14:textId="77777777" w:rsidR="001B39D0" w:rsidRPr="008F28F2" w:rsidRDefault="001B39D0" w:rsidP="001B39D0">
      <w:pPr>
        <w:rPr>
          <w:rFonts w:ascii="Arial" w:hAnsi="Arial" w:cs="Arial"/>
          <w:b/>
          <w:bCs/>
          <w:color w:val="000000"/>
          <w:sz w:val="20"/>
        </w:rPr>
      </w:pPr>
      <w:r w:rsidRPr="008F28F2">
        <w:rPr>
          <w:rFonts w:ascii="Arial" w:hAnsi="Arial" w:cs="Arial"/>
          <w:b/>
          <w:bCs/>
          <w:color w:val="000000"/>
          <w:sz w:val="20"/>
        </w:rPr>
        <w:br w:type="page"/>
      </w:r>
    </w:p>
    <w:p w14:paraId="51CD9B5C" w14:textId="224C6B9C" w:rsidR="001B39D0" w:rsidRPr="008F28F2" w:rsidRDefault="001B39D0" w:rsidP="001B39D0">
      <w:pPr>
        <w:keepNext/>
        <w:spacing w:before="240" w:after="60"/>
        <w:jc w:val="both"/>
        <w:outlineLvl w:val="1"/>
        <w:rPr>
          <w:rFonts w:ascii="Arial" w:hAnsi="Arial" w:cs="Arial"/>
          <w:bCs/>
          <w:color w:val="000000"/>
          <w:sz w:val="20"/>
          <w:szCs w:val="28"/>
        </w:rPr>
      </w:pPr>
      <w:r w:rsidRPr="008F28F2">
        <w:rPr>
          <w:rFonts w:ascii="Arial" w:hAnsi="Arial" w:cs="Arial"/>
          <w:b/>
          <w:bCs/>
          <w:color w:val="000000"/>
          <w:sz w:val="20"/>
        </w:rPr>
        <w:lastRenderedPageBreak/>
        <w:t xml:space="preserve">Table </w:t>
      </w:r>
      <w:r w:rsidRPr="008F28F2">
        <w:rPr>
          <w:rFonts w:ascii="Arial" w:hAnsi="Arial" w:cs="Arial"/>
          <w:b/>
          <w:bCs/>
          <w:color w:val="000000"/>
          <w:sz w:val="20"/>
          <w:szCs w:val="28"/>
        </w:rPr>
        <w:t>S2</w:t>
      </w:r>
      <w:r w:rsidRPr="008F28F2">
        <w:rPr>
          <w:rFonts w:ascii="Arial" w:hAnsi="Arial" w:cs="Arial"/>
          <w:b/>
          <w:bCs/>
          <w:color w:val="000000"/>
          <w:sz w:val="20"/>
        </w:rPr>
        <w:t xml:space="preserve">. Measured levels of the most abundant macromolecular CSF constituents by </w:t>
      </w:r>
      <w:proofErr w:type="spellStart"/>
      <w:r w:rsidRPr="008F28F2">
        <w:rPr>
          <w:rFonts w:ascii="Arial" w:hAnsi="Arial" w:cs="Arial"/>
          <w:b/>
          <w:bCs/>
          <w:color w:val="000000"/>
          <w:sz w:val="20"/>
        </w:rPr>
        <w:t>nLC-nESI</w:t>
      </w:r>
      <w:proofErr w:type="spellEnd"/>
      <w:r w:rsidRPr="008F28F2">
        <w:rPr>
          <w:rFonts w:ascii="Arial" w:hAnsi="Arial" w:cs="Arial"/>
          <w:b/>
          <w:bCs/>
          <w:color w:val="000000"/>
          <w:sz w:val="20"/>
        </w:rPr>
        <w:t xml:space="preserve"> HRMS/MS. </w:t>
      </w:r>
      <w:r w:rsidRPr="008F28F2">
        <w:rPr>
          <w:rFonts w:ascii="Arial" w:hAnsi="Arial" w:cs="Arial"/>
          <w:bCs/>
          <w:color w:val="000000"/>
          <w:sz w:val="20"/>
        </w:rPr>
        <w:t xml:space="preserve">Albumin was the most abundant protein in whole CSF at its native concentration and in all concentrated fractions, although its level was </w:t>
      </w:r>
      <w:proofErr w:type="gramStart"/>
      <w:r w:rsidRPr="008F28F2">
        <w:rPr>
          <w:rFonts w:ascii="Arial" w:hAnsi="Arial" w:cs="Arial"/>
          <w:bCs/>
          <w:color w:val="000000"/>
          <w:sz w:val="20"/>
        </w:rPr>
        <w:t>similar to</w:t>
      </w:r>
      <w:proofErr w:type="gramEnd"/>
      <w:r w:rsidRPr="008F28F2">
        <w:rPr>
          <w:rFonts w:ascii="Arial" w:hAnsi="Arial" w:cs="Arial"/>
          <w:bCs/>
          <w:color w:val="000000"/>
          <w:sz w:val="20"/>
        </w:rPr>
        <w:t xml:space="preserve"> the one of apolipoproteins (</w:t>
      </w:r>
      <w:proofErr w:type="spellStart"/>
      <w:r w:rsidRPr="008F28F2">
        <w:rPr>
          <w:rFonts w:ascii="Arial" w:hAnsi="Arial" w:cs="Arial"/>
          <w:bCs/>
          <w:color w:val="000000"/>
          <w:sz w:val="20"/>
        </w:rPr>
        <w:t>apolip</w:t>
      </w:r>
      <w:proofErr w:type="spellEnd"/>
      <w:r w:rsidRPr="008F28F2">
        <w:rPr>
          <w:rFonts w:ascii="Arial" w:hAnsi="Arial" w:cs="Arial"/>
          <w:bCs/>
          <w:color w:val="000000"/>
          <w:sz w:val="20"/>
        </w:rPr>
        <w:t xml:space="preserve">.) in the &gt; 100 </w:t>
      </w:r>
      <w:proofErr w:type="spellStart"/>
      <w:r w:rsidRPr="008F28F2">
        <w:rPr>
          <w:rFonts w:ascii="Arial" w:hAnsi="Arial" w:cs="Arial"/>
          <w:bCs/>
          <w:color w:val="000000"/>
          <w:sz w:val="20"/>
        </w:rPr>
        <w:t>kDA</w:t>
      </w:r>
      <w:proofErr w:type="spellEnd"/>
      <w:r w:rsidRPr="008F28F2">
        <w:rPr>
          <w:rFonts w:ascii="Arial" w:hAnsi="Arial" w:cs="Arial"/>
          <w:bCs/>
          <w:color w:val="000000"/>
          <w:sz w:val="20"/>
        </w:rPr>
        <w:t xml:space="preserve"> fraction. TTR was abundant in the 100-50 kDa fraction. Apolipoproteins were mostly present in the &gt;100 kDa fraction but relevant quantities were also detected in the 100-50 kDa and 50-10 kDa fractions while PG</w:t>
      </w:r>
      <w:r w:rsidR="00680EA1" w:rsidRPr="008F28F2">
        <w:rPr>
          <w:rFonts w:ascii="Arial" w:hAnsi="Arial" w:cs="Arial"/>
          <w:bCs/>
          <w:color w:val="000000"/>
          <w:sz w:val="20"/>
        </w:rPr>
        <w:t>DS</w:t>
      </w:r>
      <w:r w:rsidRPr="008F28F2">
        <w:rPr>
          <w:rFonts w:ascii="Arial" w:hAnsi="Arial" w:cs="Arial"/>
          <w:bCs/>
          <w:color w:val="000000"/>
          <w:sz w:val="20"/>
        </w:rPr>
        <w:t xml:space="preserve"> was mostly present in the 50-10 kDa fraction. Table cells are colored according to the relative concentration (</w:t>
      </w:r>
      <w:proofErr w:type="spellStart"/>
      <w:r w:rsidRPr="008F28F2">
        <w:rPr>
          <w:rFonts w:ascii="Arial" w:hAnsi="Arial" w:cs="Arial"/>
          <w:bCs/>
          <w:color w:val="000000"/>
          <w:sz w:val="20"/>
        </w:rPr>
        <w:t>emPAI</w:t>
      </w:r>
      <w:proofErr w:type="spellEnd"/>
      <w:r w:rsidRPr="008F28F2">
        <w:rPr>
          <w:rFonts w:ascii="Arial" w:hAnsi="Arial" w:cs="Arial"/>
          <w:bCs/>
          <w:color w:val="000000"/>
          <w:sz w:val="20"/>
        </w:rPr>
        <w:t xml:space="preserve"> x MW, proportional to the protein concentration in mg/mL) of each analyte in each concentrated CSF fraction, from blue (most abundant), to white (low levels or not detected, n.d.), the highest value of each analyte is highlighted in bold. The overall dilution/concentration factors (with respect to whole CSF) of the samples depicted are summarized in Table 3 in the Materials and Methods section.</w:t>
      </w:r>
    </w:p>
    <w:p w14:paraId="57CE0AFC" w14:textId="77777777" w:rsidR="001B39D0" w:rsidRPr="008F28F2" w:rsidRDefault="001B39D0" w:rsidP="001B39D0">
      <w:pPr>
        <w:pBdr>
          <w:top w:val="nil"/>
          <w:left w:val="nil"/>
          <w:bottom w:val="nil"/>
          <w:right w:val="nil"/>
          <w:between w:val="nil"/>
        </w:pBdr>
        <w:spacing w:after="200"/>
        <w:contextualSpacing/>
        <w:jc w:val="both"/>
        <w:rPr>
          <w:rFonts w:ascii="Arial" w:hAnsi="Arial" w:cs="Arial"/>
          <w:bCs/>
          <w:color w:val="000000"/>
          <w:sz w:val="20"/>
        </w:rPr>
      </w:pPr>
    </w:p>
    <w:tbl>
      <w:tblPr>
        <w:tblW w:w="0" w:type="auto"/>
        <w:tblInd w:w="70" w:type="dxa"/>
        <w:tblCellMar>
          <w:left w:w="70" w:type="dxa"/>
          <w:right w:w="70" w:type="dxa"/>
        </w:tblCellMar>
        <w:tblLook w:val="04A0" w:firstRow="1" w:lastRow="0" w:firstColumn="1" w:lastColumn="0" w:noHBand="0" w:noVBand="1"/>
      </w:tblPr>
      <w:tblGrid>
        <w:gridCol w:w="1892"/>
        <w:gridCol w:w="1108"/>
        <w:gridCol w:w="1108"/>
        <w:gridCol w:w="1264"/>
        <w:gridCol w:w="1186"/>
        <w:gridCol w:w="1108"/>
        <w:gridCol w:w="616"/>
      </w:tblGrid>
      <w:tr w:rsidR="001B39D0" w:rsidRPr="008F28F2" w14:paraId="2903E1FF" w14:textId="77777777" w:rsidTr="00794846">
        <w:trPr>
          <w:trHeight w:val="300"/>
        </w:trPr>
        <w:tc>
          <w:tcPr>
            <w:tcW w:w="0" w:type="auto"/>
            <w:tcBorders>
              <w:top w:val="single" w:sz="4" w:space="0" w:color="000000"/>
              <w:left w:val="nil"/>
              <w:bottom w:val="single" w:sz="8" w:space="0" w:color="000000"/>
              <w:right w:val="double" w:sz="6" w:space="0" w:color="000000"/>
            </w:tcBorders>
            <w:shd w:val="clear" w:color="auto" w:fill="auto"/>
            <w:noWrap/>
            <w:vAlign w:val="center"/>
            <w:hideMark/>
          </w:tcPr>
          <w:p w14:paraId="16885B56" w14:textId="77777777" w:rsidR="001B39D0" w:rsidRPr="008F28F2" w:rsidRDefault="001B39D0" w:rsidP="001B39D0">
            <w:pPr>
              <w:pBdr>
                <w:top w:val="nil"/>
                <w:left w:val="nil"/>
                <w:bottom w:val="nil"/>
                <w:right w:val="nil"/>
                <w:between w:val="nil"/>
              </w:pBdr>
              <w:spacing w:after="200"/>
              <w:contextualSpacing/>
              <w:rPr>
                <w:rFonts w:ascii="Arial" w:hAnsi="Arial" w:cs="Arial"/>
                <w:b/>
                <w:bCs/>
                <w:color w:val="000000"/>
                <w:sz w:val="16"/>
                <w:szCs w:val="16"/>
                <w:lang w:val="it-IT"/>
              </w:rPr>
            </w:pPr>
            <w:r w:rsidRPr="008F28F2">
              <w:rPr>
                <w:rFonts w:ascii="Arial" w:hAnsi="Arial" w:cs="Arial"/>
                <w:b/>
                <w:bCs/>
                <w:color w:val="000000"/>
                <w:sz w:val="16"/>
                <w:szCs w:val="16"/>
                <w:lang w:val="it-IT"/>
              </w:rPr>
              <w:t>Sample</w:t>
            </w:r>
          </w:p>
        </w:tc>
        <w:tc>
          <w:tcPr>
            <w:tcW w:w="0" w:type="auto"/>
            <w:tcBorders>
              <w:top w:val="single" w:sz="4" w:space="0" w:color="000000"/>
              <w:left w:val="double" w:sz="6" w:space="0" w:color="000000"/>
              <w:bottom w:val="single" w:sz="8" w:space="0" w:color="000000"/>
              <w:right w:val="double" w:sz="6" w:space="0" w:color="000000"/>
            </w:tcBorders>
            <w:shd w:val="clear" w:color="auto" w:fill="auto"/>
            <w:noWrap/>
            <w:vAlign w:val="center"/>
            <w:hideMark/>
          </w:tcPr>
          <w:p w14:paraId="0824BA67" w14:textId="77777777" w:rsidR="001B39D0" w:rsidRPr="008F28F2" w:rsidRDefault="001B39D0" w:rsidP="001B39D0">
            <w:pPr>
              <w:pBdr>
                <w:top w:val="nil"/>
                <w:left w:val="nil"/>
                <w:bottom w:val="nil"/>
                <w:right w:val="nil"/>
                <w:between w:val="nil"/>
              </w:pBdr>
              <w:spacing w:after="200"/>
              <w:contextualSpacing/>
              <w:rPr>
                <w:rFonts w:ascii="Arial" w:hAnsi="Arial" w:cs="Arial"/>
                <w:b/>
                <w:bCs/>
                <w:color w:val="000000"/>
                <w:sz w:val="16"/>
                <w:szCs w:val="16"/>
                <w:lang w:val="it-IT"/>
              </w:rPr>
            </w:pPr>
            <w:proofErr w:type="spellStart"/>
            <w:r w:rsidRPr="008F28F2">
              <w:rPr>
                <w:rFonts w:ascii="Arial" w:hAnsi="Arial" w:cs="Arial"/>
                <w:b/>
                <w:bCs/>
                <w:color w:val="000000"/>
                <w:sz w:val="16"/>
                <w:szCs w:val="16"/>
                <w:lang w:val="it-IT"/>
              </w:rPr>
              <w:t>whole</w:t>
            </w:r>
            <w:proofErr w:type="spellEnd"/>
            <w:r w:rsidRPr="008F28F2">
              <w:rPr>
                <w:rFonts w:ascii="Arial" w:hAnsi="Arial" w:cs="Arial"/>
                <w:b/>
                <w:bCs/>
                <w:color w:val="000000"/>
                <w:sz w:val="16"/>
                <w:szCs w:val="16"/>
                <w:lang w:val="it-IT"/>
              </w:rPr>
              <w:t xml:space="preserve"> CSF</w:t>
            </w:r>
          </w:p>
        </w:tc>
        <w:tc>
          <w:tcPr>
            <w:tcW w:w="0" w:type="auto"/>
            <w:tcBorders>
              <w:top w:val="single" w:sz="4" w:space="0" w:color="000000"/>
              <w:left w:val="double" w:sz="6" w:space="0" w:color="000000"/>
              <w:bottom w:val="single" w:sz="8" w:space="0" w:color="000000"/>
              <w:right w:val="nil"/>
            </w:tcBorders>
            <w:shd w:val="clear" w:color="auto" w:fill="auto"/>
            <w:noWrap/>
            <w:vAlign w:val="center"/>
            <w:hideMark/>
          </w:tcPr>
          <w:p w14:paraId="040FB1D3" w14:textId="77777777" w:rsidR="001B39D0" w:rsidRPr="008F28F2" w:rsidRDefault="001B39D0" w:rsidP="001B39D0">
            <w:pPr>
              <w:pBdr>
                <w:top w:val="nil"/>
                <w:left w:val="nil"/>
                <w:bottom w:val="nil"/>
                <w:right w:val="nil"/>
                <w:between w:val="nil"/>
              </w:pBdr>
              <w:spacing w:after="200"/>
              <w:contextualSpacing/>
              <w:rPr>
                <w:rFonts w:ascii="Arial" w:hAnsi="Arial" w:cs="Arial"/>
                <w:b/>
                <w:bCs/>
                <w:color w:val="000000"/>
                <w:sz w:val="16"/>
                <w:szCs w:val="16"/>
                <w:lang w:val="it-IT"/>
              </w:rPr>
            </w:pPr>
            <w:r w:rsidRPr="008F28F2">
              <w:rPr>
                <w:rFonts w:ascii="Arial" w:hAnsi="Arial" w:cs="Arial"/>
                <w:b/>
                <w:bCs/>
                <w:color w:val="000000"/>
                <w:sz w:val="16"/>
                <w:szCs w:val="16"/>
                <w:lang w:val="it-IT"/>
              </w:rPr>
              <w:t>&gt;100 kDa</w:t>
            </w:r>
          </w:p>
        </w:tc>
        <w:tc>
          <w:tcPr>
            <w:tcW w:w="0" w:type="auto"/>
            <w:tcBorders>
              <w:top w:val="single" w:sz="4" w:space="0" w:color="000000"/>
              <w:left w:val="nil"/>
              <w:bottom w:val="single" w:sz="8" w:space="0" w:color="000000"/>
              <w:right w:val="nil"/>
            </w:tcBorders>
            <w:shd w:val="clear" w:color="auto" w:fill="auto"/>
            <w:noWrap/>
            <w:vAlign w:val="center"/>
            <w:hideMark/>
          </w:tcPr>
          <w:p w14:paraId="6925AC2A" w14:textId="77777777" w:rsidR="001B39D0" w:rsidRPr="008F28F2" w:rsidRDefault="001B39D0" w:rsidP="001B39D0">
            <w:pPr>
              <w:pBdr>
                <w:top w:val="nil"/>
                <w:left w:val="nil"/>
                <w:bottom w:val="nil"/>
                <w:right w:val="nil"/>
                <w:between w:val="nil"/>
              </w:pBdr>
              <w:spacing w:after="200"/>
              <w:contextualSpacing/>
              <w:rPr>
                <w:rFonts w:ascii="Arial" w:hAnsi="Arial" w:cs="Arial"/>
                <w:b/>
                <w:bCs/>
                <w:color w:val="000000"/>
                <w:sz w:val="16"/>
                <w:szCs w:val="16"/>
                <w:lang w:val="it-IT"/>
              </w:rPr>
            </w:pPr>
            <w:r w:rsidRPr="008F28F2">
              <w:rPr>
                <w:rFonts w:ascii="Arial" w:hAnsi="Arial" w:cs="Arial"/>
                <w:b/>
                <w:bCs/>
                <w:color w:val="000000"/>
                <w:sz w:val="16"/>
                <w:szCs w:val="16"/>
                <w:lang w:val="it-IT"/>
              </w:rPr>
              <w:t>50-100 kDa</w:t>
            </w:r>
          </w:p>
        </w:tc>
        <w:tc>
          <w:tcPr>
            <w:tcW w:w="0" w:type="auto"/>
            <w:tcBorders>
              <w:top w:val="single" w:sz="4" w:space="0" w:color="000000"/>
              <w:left w:val="nil"/>
              <w:bottom w:val="single" w:sz="8" w:space="0" w:color="000000"/>
              <w:right w:val="nil"/>
            </w:tcBorders>
            <w:shd w:val="clear" w:color="auto" w:fill="auto"/>
            <w:noWrap/>
            <w:vAlign w:val="center"/>
            <w:hideMark/>
          </w:tcPr>
          <w:p w14:paraId="654AB028" w14:textId="77777777" w:rsidR="001B39D0" w:rsidRPr="008F28F2" w:rsidRDefault="001B39D0" w:rsidP="001B39D0">
            <w:pPr>
              <w:pBdr>
                <w:top w:val="nil"/>
                <w:left w:val="nil"/>
                <w:bottom w:val="nil"/>
                <w:right w:val="nil"/>
                <w:between w:val="nil"/>
              </w:pBdr>
              <w:spacing w:after="200"/>
              <w:contextualSpacing/>
              <w:rPr>
                <w:rFonts w:ascii="Arial" w:hAnsi="Arial" w:cs="Arial"/>
                <w:b/>
                <w:bCs/>
                <w:color w:val="000000"/>
                <w:sz w:val="16"/>
                <w:szCs w:val="16"/>
                <w:lang w:val="it-IT"/>
              </w:rPr>
            </w:pPr>
            <w:r w:rsidRPr="008F28F2">
              <w:rPr>
                <w:rFonts w:ascii="Arial" w:hAnsi="Arial" w:cs="Arial"/>
                <w:b/>
                <w:bCs/>
                <w:color w:val="000000"/>
                <w:sz w:val="16"/>
                <w:szCs w:val="16"/>
                <w:lang w:val="it-IT"/>
              </w:rPr>
              <w:t>50-10 kDa</w:t>
            </w:r>
          </w:p>
        </w:tc>
        <w:tc>
          <w:tcPr>
            <w:tcW w:w="0" w:type="auto"/>
            <w:tcBorders>
              <w:top w:val="single" w:sz="4" w:space="0" w:color="000000"/>
              <w:left w:val="nil"/>
              <w:bottom w:val="single" w:sz="8" w:space="0" w:color="000000"/>
              <w:right w:val="nil"/>
            </w:tcBorders>
            <w:shd w:val="clear" w:color="auto" w:fill="auto"/>
            <w:noWrap/>
            <w:vAlign w:val="center"/>
            <w:hideMark/>
          </w:tcPr>
          <w:p w14:paraId="7D54D3C2" w14:textId="77777777" w:rsidR="001B39D0" w:rsidRPr="008F28F2" w:rsidRDefault="001B39D0" w:rsidP="001B39D0">
            <w:pPr>
              <w:pBdr>
                <w:top w:val="nil"/>
                <w:left w:val="nil"/>
                <w:bottom w:val="nil"/>
                <w:right w:val="nil"/>
                <w:between w:val="nil"/>
              </w:pBdr>
              <w:spacing w:after="200"/>
              <w:contextualSpacing/>
              <w:rPr>
                <w:rFonts w:ascii="Arial" w:hAnsi="Arial" w:cs="Arial"/>
                <w:b/>
                <w:bCs/>
                <w:color w:val="000000"/>
                <w:sz w:val="16"/>
                <w:szCs w:val="16"/>
                <w:lang w:val="it-IT"/>
              </w:rPr>
            </w:pPr>
            <w:r w:rsidRPr="008F28F2">
              <w:rPr>
                <w:rFonts w:ascii="Arial" w:hAnsi="Arial" w:cs="Arial"/>
                <w:b/>
                <w:bCs/>
                <w:color w:val="000000"/>
                <w:sz w:val="16"/>
                <w:szCs w:val="16"/>
                <w:lang w:val="it-IT"/>
              </w:rPr>
              <w:t>10-3 kDa</w:t>
            </w:r>
          </w:p>
        </w:tc>
        <w:tc>
          <w:tcPr>
            <w:tcW w:w="0" w:type="auto"/>
            <w:tcBorders>
              <w:top w:val="single" w:sz="4" w:space="0" w:color="000000"/>
              <w:left w:val="nil"/>
              <w:bottom w:val="single" w:sz="8" w:space="0" w:color="auto"/>
              <w:right w:val="nil"/>
            </w:tcBorders>
            <w:shd w:val="clear" w:color="auto" w:fill="auto"/>
            <w:noWrap/>
            <w:vAlign w:val="center"/>
            <w:hideMark/>
          </w:tcPr>
          <w:p w14:paraId="3A4CA287" w14:textId="77777777" w:rsidR="001B39D0" w:rsidRPr="008F28F2" w:rsidRDefault="001B39D0" w:rsidP="001B39D0">
            <w:pPr>
              <w:pBdr>
                <w:top w:val="nil"/>
                <w:left w:val="nil"/>
                <w:bottom w:val="nil"/>
                <w:right w:val="nil"/>
                <w:between w:val="nil"/>
              </w:pBdr>
              <w:spacing w:after="200"/>
              <w:contextualSpacing/>
              <w:rPr>
                <w:rFonts w:ascii="Arial" w:hAnsi="Arial" w:cs="Arial"/>
                <w:b/>
                <w:bCs/>
                <w:color w:val="000000"/>
                <w:sz w:val="16"/>
                <w:szCs w:val="16"/>
                <w:lang w:val="it-IT"/>
              </w:rPr>
            </w:pPr>
            <w:r w:rsidRPr="008F28F2">
              <w:rPr>
                <w:rFonts w:ascii="Arial" w:hAnsi="Arial" w:cs="Arial"/>
                <w:b/>
                <w:bCs/>
                <w:color w:val="000000"/>
                <w:sz w:val="16"/>
                <w:szCs w:val="16"/>
                <w:lang w:val="it-IT"/>
              </w:rPr>
              <w:t>&lt;3kDa</w:t>
            </w:r>
          </w:p>
        </w:tc>
      </w:tr>
      <w:tr w:rsidR="001B39D0" w:rsidRPr="008F28F2" w14:paraId="1A869B89" w14:textId="77777777" w:rsidTr="00794846">
        <w:trPr>
          <w:trHeight w:val="311"/>
        </w:trPr>
        <w:tc>
          <w:tcPr>
            <w:tcW w:w="0" w:type="auto"/>
            <w:tcBorders>
              <w:top w:val="nil"/>
              <w:left w:val="nil"/>
              <w:bottom w:val="single" w:sz="8" w:space="0" w:color="000000"/>
              <w:right w:val="double" w:sz="6" w:space="0" w:color="000000"/>
            </w:tcBorders>
            <w:shd w:val="clear" w:color="auto" w:fill="auto"/>
            <w:noWrap/>
            <w:vAlign w:val="center"/>
            <w:hideMark/>
          </w:tcPr>
          <w:p w14:paraId="1501BC05" w14:textId="77777777" w:rsidR="001B39D0" w:rsidRPr="008F28F2" w:rsidRDefault="001B39D0" w:rsidP="001B39D0">
            <w:pPr>
              <w:pBdr>
                <w:top w:val="nil"/>
                <w:left w:val="nil"/>
                <w:bottom w:val="nil"/>
                <w:right w:val="nil"/>
                <w:between w:val="nil"/>
              </w:pBdr>
              <w:spacing w:after="200"/>
              <w:contextualSpacing/>
              <w:rPr>
                <w:rFonts w:ascii="Arial" w:hAnsi="Arial" w:cs="Arial"/>
                <w:b/>
                <w:color w:val="000000"/>
                <w:sz w:val="16"/>
                <w:szCs w:val="16"/>
                <w:lang w:val="it-IT"/>
              </w:rPr>
            </w:pPr>
            <w:proofErr w:type="spellStart"/>
            <w:r w:rsidRPr="008F28F2">
              <w:rPr>
                <w:rFonts w:ascii="Arial" w:hAnsi="Arial" w:cs="Arial"/>
                <w:b/>
                <w:color w:val="000000"/>
                <w:sz w:val="16"/>
                <w:szCs w:val="16"/>
                <w:lang w:val="it-IT"/>
              </w:rPr>
              <w:t>Albumin</w:t>
            </w:r>
            <w:proofErr w:type="spellEnd"/>
            <w:r w:rsidRPr="008F28F2">
              <w:rPr>
                <w:rFonts w:ascii="Arial" w:hAnsi="Arial" w:cs="Arial"/>
                <w:b/>
                <w:color w:val="000000"/>
                <w:sz w:val="16"/>
                <w:szCs w:val="16"/>
                <w:lang w:val="it-IT"/>
              </w:rPr>
              <w:t xml:space="preserve"> (MW x </w:t>
            </w:r>
            <w:proofErr w:type="spellStart"/>
            <w:r w:rsidRPr="008F28F2">
              <w:rPr>
                <w:rFonts w:ascii="Arial" w:hAnsi="Arial" w:cs="Arial"/>
                <w:b/>
                <w:color w:val="000000"/>
                <w:sz w:val="16"/>
                <w:szCs w:val="16"/>
                <w:lang w:val="it-IT"/>
              </w:rPr>
              <w:t>emPAI</w:t>
            </w:r>
            <w:proofErr w:type="spellEnd"/>
            <w:r w:rsidRPr="008F28F2">
              <w:rPr>
                <w:rFonts w:ascii="Arial" w:hAnsi="Arial" w:cs="Arial"/>
                <w:b/>
                <w:color w:val="000000"/>
                <w:sz w:val="16"/>
                <w:szCs w:val="16"/>
                <w:lang w:val="it-IT"/>
              </w:rPr>
              <w:t>)</w:t>
            </w:r>
          </w:p>
        </w:tc>
        <w:tc>
          <w:tcPr>
            <w:tcW w:w="0" w:type="auto"/>
            <w:tcBorders>
              <w:top w:val="single" w:sz="8" w:space="0" w:color="000000"/>
              <w:left w:val="double" w:sz="6" w:space="0" w:color="000000"/>
              <w:bottom w:val="single" w:sz="8" w:space="0" w:color="000000"/>
              <w:right w:val="double" w:sz="6" w:space="0" w:color="000000"/>
            </w:tcBorders>
            <w:shd w:val="clear" w:color="auto" w:fill="FFFFFF"/>
            <w:noWrap/>
            <w:vAlign w:val="center"/>
            <w:hideMark/>
          </w:tcPr>
          <w:p w14:paraId="7E96D11F"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(520 ± 40) · 10</w:t>
            </w:r>
            <w:r w:rsidRPr="008F28F2">
              <w:rPr>
                <w:rFonts w:ascii="Arial" w:hAnsi="Arial" w:cs="Arial"/>
                <w:bCs/>
                <w:color w:val="000000"/>
                <w:sz w:val="14"/>
                <w:szCs w:val="14"/>
                <w:vertAlign w:val="superscript"/>
              </w:rPr>
              <w:t>4</w:t>
            </w:r>
          </w:p>
        </w:tc>
        <w:tc>
          <w:tcPr>
            <w:tcW w:w="0" w:type="auto"/>
            <w:tcBorders>
              <w:top w:val="nil"/>
              <w:left w:val="double" w:sz="6" w:space="0" w:color="000000"/>
              <w:bottom w:val="single" w:sz="8" w:space="0" w:color="000000"/>
              <w:right w:val="nil"/>
            </w:tcBorders>
            <w:shd w:val="clear" w:color="auto" w:fill="auto"/>
            <w:noWrap/>
            <w:vAlign w:val="center"/>
            <w:hideMark/>
          </w:tcPr>
          <w:p w14:paraId="7AE19323"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(220 ± 30) · 10</w:t>
            </w:r>
            <w:r w:rsidRPr="008F28F2">
              <w:rPr>
                <w:rFonts w:ascii="Arial" w:hAnsi="Arial" w:cs="Arial"/>
                <w:bCs/>
                <w:color w:val="000000"/>
                <w:sz w:val="14"/>
                <w:szCs w:val="14"/>
                <w:vertAlign w:val="superscript"/>
              </w:rPr>
              <w:t>4</w:t>
            </w:r>
          </w:p>
        </w:tc>
        <w:tc>
          <w:tcPr>
            <w:tcW w:w="0" w:type="auto"/>
            <w:tcBorders>
              <w:top w:val="nil"/>
              <w:left w:val="nil"/>
              <w:bottom w:val="single" w:sz="8" w:space="0" w:color="000000"/>
              <w:right w:val="nil"/>
            </w:tcBorders>
            <w:shd w:val="clear" w:color="auto" w:fill="auto"/>
            <w:noWrap/>
            <w:vAlign w:val="center"/>
            <w:hideMark/>
          </w:tcPr>
          <w:p w14:paraId="3AD68FBD"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(1090 ± 130) · 10</w:t>
            </w:r>
            <w:r w:rsidRPr="008F28F2">
              <w:rPr>
                <w:rFonts w:ascii="Arial" w:hAnsi="Arial" w:cs="Arial"/>
                <w:bCs/>
                <w:color w:val="000000"/>
                <w:sz w:val="14"/>
                <w:szCs w:val="14"/>
                <w:vertAlign w:val="superscript"/>
              </w:rPr>
              <w:t>4</w:t>
            </w:r>
          </w:p>
        </w:tc>
        <w:tc>
          <w:tcPr>
            <w:tcW w:w="0" w:type="auto"/>
            <w:tcBorders>
              <w:top w:val="nil"/>
              <w:left w:val="nil"/>
              <w:bottom w:val="single" w:sz="8" w:space="0" w:color="000000"/>
              <w:right w:val="nil"/>
            </w:tcBorders>
            <w:shd w:val="clear" w:color="auto" w:fill="auto"/>
            <w:noWrap/>
            <w:vAlign w:val="center"/>
            <w:hideMark/>
          </w:tcPr>
          <w:p w14:paraId="54552066"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(180 ± 130) · 10</w:t>
            </w:r>
            <w:r w:rsidRPr="008F28F2">
              <w:rPr>
                <w:rFonts w:ascii="Arial" w:hAnsi="Arial" w:cs="Arial"/>
                <w:bCs/>
                <w:color w:val="000000"/>
                <w:sz w:val="14"/>
                <w:szCs w:val="14"/>
                <w:vertAlign w:val="superscript"/>
              </w:rPr>
              <w:t>4</w:t>
            </w:r>
          </w:p>
        </w:tc>
        <w:tc>
          <w:tcPr>
            <w:tcW w:w="0" w:type="auto"/>
            <w:tcBorders>
              <w:top w:val="nil"/>
              <w:left w:val="nil"/>
              <w:bottom w:val="single" w:sz="8" w:space="0" w:color="000000"/>
              <w:right w:val="nil"/>
            </w:tcBorders>
            <w:shd w:val="clear" w:color="auto" w:fill="FFFFFF"/>
            <w:noWrap/>
            <w:vAlign w:val="center"/>
            <w:hideMark/>
          </w:tcPr>
          <w:p w14:paraId="60C8C19E"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(1.4 ± 0.4) · 10</w:t>
            </w:r>
            <w:r w:rsidRPr="008F28F2">
              <w:rPr>
                <w:rFonts w:ascii="Arial" w:hAnsi="Arial" w:cs="Arial"/>
                <w:bCs/>
                <w:color w:val="000000"/>
                <w:sz w:val="14"/>
                <w:szCs w:val="14"/>
                <w:vertAlign w:val="superscript"/>
              </w:rPr>
              <w:t>4</w:t>
            </w:r>
          </w:p>
        </w:tc>
        <w:tc>
          <w:tcPr>
            <w:tcW w:w="0" w:type="auto"/>
            <w:tcBorders>
              <w:top w:val="nil"/>
              <w:left w:val="nil"/>
              <w:bottom w:val="single" w:sz="8" w:space="0" w:color="auto"/>
              <w:right w:val="nil"/>
            </w:tcBorders>
            <w:shd w:val="clear" w:color="auto" w:fill="FFFFFF"/>
            <w:noWrap/>
            <w:vAlign w:val="center"/>
            <w:hideMark/>
          </w:tcPr>
          <w:p w14:paraId="10B8BF11"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n.d.</w:t>
            </w:r>
          </w:p>
        </w:tc>
      </w:tr>
      <w:tr w:rsidR="001B39D0" w:rsidRPr="008F28F2" w14:paraId="7089B0A8" w14:textId="77777777" w:rsidTr="00794846">
        <w:trPr>
          <w:trHeight w:val="311"/>
        </w:trPr>
        <w:tc>
          <w:tcPr>
            <w:tcW w:w="0" w:type="auto"/>
            <w:tcBorders>
              <w:top w:val="nil"/>
              <w:left w:val="nil"/>
              <w:bottom w:val="single" w:sz="8" w:space="0" w:color="000000"/>
              <w:right w:val="double" w:sz="6" w:space="0" w:color="000000"/>
            </w:tcBorders>
            <w:shd w:val="clear" w:color="auto" w:fill="auto"/>
            <w:noWrap/>
            <w:vAlign w:val="center"/>
            <w:hideMark/>
          </w:tcPr>
          <w:p w14:paraId="39099EA0" w14:textId="77777777" w:rsidR="001B39D0" w:rsidRPr="008F28F2" w:rsidRDefault="001B39D0" w:rsidP="001B39D0">
            <w:pPr>
              <w:pBdr>
                <w:top w:val="nil"/>
                <w:left w:val="nil"/>
                <w:bottom w:val="nil"/>
                <w:right w:val="nil"/>
                <w:between w:val="nil"/>
              </w:pBdr>
              <w:spacing w:after="200"/>
              <w:contextualSpacing/>
              <w:rPr>
                <w:rFonts w:ascii="Arial" w:hAnsi="Arial" w:cs="Arial"/>
                <w:b/>
                <w:color w:val="000000"/>
                <w:sz w:val="16"/>
                <w:szCs w:val="16"/>
                <w:lang w:val="it-IT"/>
              </w:rPr>
            </w:pPr>
            <w:r w:rsidRPr="008F28F2">
              <w:rPr>
                <w:rFonts w:ascii="Arial" w:hAnsi="Arial" w:cs="Arial"/>
                <w:b/>
                <w:color w:val="000000"/>
                <w:sz w:val="16"/>
                <w:szCs w:val="16"/>
                <w:lang w:val="it-IT"/>
              </w:rPr>
              <w:t xml:space="preserve">TTR (MW x </w:t>
            </w:r>
            <w:proofErr w:type="spellStart"/>
            <w:r w:rsidRPr="008F28F2">
              <w:rPr>
                <w:rFonts w:ascii="Arial" w:hAnsi="Arial" w:cs="Arial"/>
                <w:b/>
                <w:color w:val="000000"/>
                <w:sz w:val="16"/>
                <w:szCs w:val="16"/>
                <w:lang w:val="it-IT"/>
              </w:rPr>
              <w:t>emPAI</w:t>
            </w:r>
            <w:proofErr w:type="spellEnd"/>
            <w:r w:rsidRPr="008F28F2">
              <w:rPr>
                <w:rFonts w:ascii="Arial" w:hAnsi="Arial" w:cs="Arial"/>
                <w:b/>
                <w:color w:val="000000"/>
                <w:sz w:val="16"/>
                <w:szCs w:val="16"/>
                <w:lang w:val="it-IT"/>
              </w:rPr>
              <w:t>)</w:t>
            </w:r>
          </w:p>
        </w:tc>
        <w:tc>
          <w:tcPr>
            <w:tcW w:w="0" w:type="auto"/>
            <w:tcBorders>
              <w:top w:val="single" w:sz="8" w:space="0" w:color="000000"/>
              <w:left w:val="double" w:sz="6" w:space="0" w:color="000000"/>
              <w:bottom w:val="single" w:sz="8" w:space="0" w:color="000000"/>
              <w:right w:val="double" w:sz="6" w:space="0" w:color="000000"/>
            </w:tcBorders>
            <w:shd w:val="clear" w:color="auto" w:fill="FFFFFF"/>
            <w:noWrap/>
            <w:vAlign w:val="center"/>
            <w:hideMark/>
          </w:tcPr>
          <w:p w14:paraId="41174162"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(130 ± 40) · 10</w:t>
            </w:r>
            <w:r w:rsidRPr="008F28F2">
              <w:rPr>
                <w:rFonts w:ascii="Arial" w:hAnsi="Arial" w:cs="Arial"/>
                <w:bCs/>
                <w:color w:val="000000"/>
                <w:sz w:val="14"/>
                <w:szCs w:val="14"/>
                <w:vertAlign w:val="superscript"/>
              </w:rPr>
              <w:t>4</w:t>
            </w:r>
          </w:p>
        </w:tc>
        <w:tc>
          <w:tcPr>
            <w:tcW w:w="0" w:type="auto"/>
            <w:tcBorders>
              <w:top w:val="nil"/>
              <w:left w:val="double" w:sz="6" w:space="0" w:color="000000"/>
              <w:bottom w:val="single" w:sz="8" w:space="0" w:color="000000"/>
              <w:right w:val="nil"/>
            </w:tcBorders>
            <w:shd w:val="clear" w:color="auto" w:fill="auto"/>
            <w:noWrap/>
            <w:vAlign w:val="center"/>
            <w:hideMark/>
          </w:tcPr>
          <w:p w14:paraId="34341D9A"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(11 ± 4) · 10</w:t>
            </w:r>
            <w:r w:rsidRPr="008F28F2">
              <w:rPr>
                <w:rFonts w:ascii="Arial" w:hAnsi="Arial" w:cs="Arial"/>
                <w:bCs/>
                <w:color w:val="000000"/>
                <w:sz w:val="14"/>
                <w:szCs w:val="14"/>
                <w:vertAlign w:val="superscript"/>
              </w:rPr>
              <w:t>4</w:t>
            </w:r>
          </w:p>
        </w:tc>
        <w:tc>
          <w:tcPr>
            <w:tcW w:w="0" w:type="auto"/>
            <w:tcBorders>
              <w:top w:val="nil"/>
              <w:left w:val="nil"/>
              <w:bottom w:val="single" w:sz="8" w:space="0" w:color="000000"/>
              <w:right w:val="nil"/>
            </w:tcBorders>
            <w:shd w:val="clear" w:color="auto" w:fill="auto"/>
            <w:noWrap/>
            <w:vAlign w:val="center"/>
            <w:hideMark/>
          </w:tcPr>
          <w:p w14:paraId="4E605DFC"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(270 ± 100) · 10</w:t>
            </w:r>
            <w:r w:rsidRPr="008F28F2">
              <w:rPr>
                <w:rFonts w:ascii="Arial" w:hAnsi="Arial" w:cs="Arial"/>
                <w:bCs/>
                <w:color w:val="000000"/>
                <w:sz w:val="14"/>
                <w:szCs w:val="14"/>
                <w:vertAlign w:val="superscript"/>
              </w:rPr>
              <w:t>4</w:t>
            </w:r>
          </w:p>
        </w:tc>
        <w:tc>
          <w:tcPr>
            <w:tcW w:w="0" w:type="auto"/>
            <w:tcBorders>
              <w:top w:val="nil"/>
              <w:left w:val="nil"/>
              <w:bottom w:val="single" w:sz="8" w:space="0" w:color="000000"/>
              <w:right w:val="nil"/>
            </w:tcBorders>
            <w:shd w:val="clear" w:color="auto" w:fill="auto"/>
            <w:noWrap/>
            <w:vAlign w:val="center"/>
            <w:hideMark/>
          </w:tcPr>
          <w:p w14:paraId="6202597F"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(14 ± 1) · 10</w:t>
            </w:r>
            <w:r w:rsidRPr="008F28F2">
              <w:rPr>
                <w:rFonts w:ascii="Arial" w:hAnsi="Arial" w:cs="Arial"/>
                <w:bCs/>
                <w:color w:val="000000"/>
                <w:sz w:val="14"/>
                <w:szCs w:val="14"/>
                <w:vertAlign w:val="superscript"/>
              </w:rPr>
              <w:t>4</w:t>
            </w:r>
          </w:p>
        </w:tc>
        <w:tc>
          <w:tcPr>
            <w:tcW w:w="0" w:type="auto"/>
            <w:tcBorders>
              <w:top w:val="nil"/>
              <w:left w:val="nil"/>
              <w:bottom w:val="single" w:sz="8" w:space="0" w:color="000000"/>
              <w:right w:val="nil"/>
            </w:tcBorders>
            <w:shd w:val="clear" w:color="auto" w:fill="FFFFFF"/>
            <w:noWrap/>
            <w:vAlign w:val="center"/>
            <w:hideMark/>
          </w:tcPr>
          <w:p w14:paraId="0F304BE2"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n.d.</w:t>
            </w:r>
          </w:p>
        </w:tc>
        <w:tc>
          <w:tcPr>
            <w:tcW w:w="0" w:type="auto"/>
            <w:tcBorders>
              <w:top w:val="nil"/>
              <w:left w:val="nil"/>
              <w:bottom w:val="single" w:sz="8" w:space="0" w:color="auto"/>
              <w:right w:val="nil"/>
            </w:tcBorders>
            <w:shd w:val="clear" w:color="auto" w:fill="FFFFFF"/>
            <w:noWrap/>
            <w:vAlign w:val="center"/>
            <w:hideMark/>
          </w:tcPr>
          <w:p w14:paraId="4ADBE269"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n.d.</w:t>
            </w:r>
          </w:p>
        </w:tc>
      </w:tr>
      <w:tr w:rsidR="001B39D0" w:rsidRPr="008F28F2" w14:paraId="391B0085" w14:textId="77777777" w:rsidTr="00794846">
        <w:trPr>
          <w:trHeight w:val="311"/>
        </w:trPr>
        <w:tc>
          <w:tcPr>
            <w:tcW w:w="0" w:type="auto"/>
            <w:tcBorders>
              <w:top w:val="nil"/>
              <w:left w:val="nil"/>
              <w:bottom w:val="single" w:sz="8" w:space="0" w:color="000000"/>
              <w:right w:val="double" w:sz="6" w:space="0" w:color="000000"/>
            </w:tcBorders>
            <w:shd w:val="clear" w:color="auto" w:fill="auto"/>
            <w:noWrap/>
            <w:vAlign w:val="center"/>
            <w:hideMark/>
          </w:tcPr>
          <w:p w14:paraId="6D4B070D" w14:textId="77777777" w:rsidR="001B39D0" w:rsidRPr="008F28F2" w:rsidRDefault="001B39D0" w:rsidP="001B39D0">
            <w:pPr>
              <w:pBdr>
                <w:top w:val="nil"/>
                <w:left w:val="nil"/>
                <w:bottom w:val="nil"/>
                <w:right w:val="nil"/>
                <w:between w:val="nil"/>
              </w:pBdr>
              <w:spacing w:after="200"/>
              <w:contextualSpacing/>
              <w:rPr>
                <w:rFonts w:ascii="Arial" w:hAnsi="Arial" w:cs="Arial"/>
                <w:b/>
                <w:color w:val="000000"/>
                <w:sz w:val="16"/>
                <w:szCs w:val="16"/>
                <w:lang w:val="it-IT"/>
              </w:rPr>
            </w:pPr>
            <w:proofErr w:type="spellStart"/>
            <w:r w:rsidRPr="008F28F2">
              <w:rPr>
                <w:rFonts w:ascii="Arial" w:hAnsi="Arial" w:cs="Arial"/>
                <w:b/>
                <w:color w:val="000000"/>
                <w:sz w:val="16"/>
                <w:szCs w:val="16"/>
                <w:lang w:val="it-IT"/>
              </w:rPr>
              <w:t>apolip</w:t>
            </w:r>
            <w:proofErr w:type="spellEnd"/>
            <w:r w:rsidRPr="008F28F2">
              <w:rPr>
                <w:rFonts w:ascii="Arial" w:hAnsi="Arial" w:cs="Arial"/>
                <w:b/>
                <w:color w:val="000000"/>
                <w:sz w:val="16"/>
                <w:szCs w:val="16"/>
                <w:lang w:val="it-IT"/>
              </w:rPr>
              <w:t xml:space="preserve">. (MW x </w:t>
            </w:r>
            <w:proofErr w:type="spellStart"/>
            <w:r w:rsidRPr="008F28F2">
              <w:rPr>
                <w:rFonts w:ascii="Arial" w:hAnsi="Arial" w:cs="Arial"/>
                <w:b/>
                <w:color w:val="000000"/>
                <w:sz w:val="16"/>
                <w:szCs w:val="16"/>
                <w:lang w:val="it-IT"/>
              </w:rPr>
              <w:t>emPAI</w:t>
            </w:r>
            <w:proofErr w:type="spellEnd"/>
            <w:r w:rsidRPr="008F28F2">
              <w:rPr>
                <w:rFonts w:ascii="Arial" w:hAnsi="Arial" w:cs="Arial"/>
                <w:b/>
                <w:color w:val="000000"/>
                <w:sz w:val="16"/>
                <w:szCs w:val="16"/>
                <w:lang w:val="it-IT"/>
              </w:rPr>
              <w:t>)</w:t>
            </w:r>
          </w:p>
        </w:tc>
        <w:tc>
          <w:tcPr>
            <w:tcW w:w="0" w:type="auto"/>
            <w:tcBorders>
              <w:top w:val="single" w:sz="8" w:space="0" w:color="000000"/>
              <w:left w:val="double" w:sz="6" w:space="0" w:color="000000"/>
              <w:bottom w:val="single" w:sz="8" w:space="0" w:color="000000"/>
              <w:right w:val="double" w:sz="6" w:space="0" w:color="000000"/>
            </w:tcBorders>
            <w:shd w:val="clear" w:color="auto" w:fill="FFFFFF"/>
            <w:noWrap/>
            <w:vAlign w:val="center"/>
            <w:hideMark/>
          </w:tcPr>
          <w:p w14:paraId="725A7ED2"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(52 ± 15) · 10</w:t>
            </w:r>
            <w:r w:rsidRPr="008F28F2">
              <w:rPr>
                <w:rFonts w:ascii="Arial" w:hAnsi="Arial" w:cs="Arial"/>
                <w:bCs/>
                <w:color w:val="000000"/>
                <w:sz w:val="14"/>
                <w:szCs w:val="14"/>
                <w:vertAlign w:val="superscript"/>
              </w:rPr>
              <w:t>4</w:t>
            </w:r>
          </w:p>
        </w:tc>
        <w:tc>
          <w:tcPr>
            <w:tcW w:w="0" w:type="auto"/>
            <w:tcBorders>
              <w:top w:val="nil"/>
              <w:left w:val="double" w:sz="6" w:space="0" w:color="000000"/>
              <w:bottom w:val="single" w:sz="8" w:space="0" w:color="000000"/>
              <w:right w:val="nil"/>
            </w:tcBorders>
            <w:shd w:val="clear" w:color="auto" w:fill="auto"/>
            <w:noWrap/>
            <w:vAlign w:val="center"/>
            <w:hideMark/>
          </w:tcPr>
          <w:p w14:paraId="14C03D4C"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(180 ± 10) · 10</w:t>
            </w:r>
            <w:r w:rsidRPr="008F28F2">
              <w:rPr>
                <w:rFonts w:ascii="Arial" w:hAnsi="Arial" w:cs="Arial"/>
                <w:bCs/>
                <w:color w:val="000000"/>
                <w:sz w:val="14"/>
                <w:szCs w:val="14"/>
                <w:vertAlign w:val="superscript"/>
              </w:rPr>
              <w:t>4</w:t>
            </w:r>
          </w:p>
        </w:tc>
        <w:tc>
          <w:tcPr>
            <w:tcW w:w="0" w:type="auto"/>
            <w:tcBorders>
              <w:top w:val="nil"/>
              <w:left w:val="nil"/>
              <w:bottom w:val="single" w:sz="8" w:space="0" w:color="000000"/>
              <w:right w:val="nil"/>
            </w:tcBorders>
            <w:shd w:val="clear" w:color="auto" w:fill="auto"/>
            <w:noWrap/>
            <w:vAlign w:val="center"/>
            <w:hideMark/>
          </w:tcPr>
          <w:p w14:paraId="2DFC3B97"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(28 ± 6) · 10</w:t>
            </w:r>
            <w:r w:rsidRPr="008F28F2">
              <w:rPr>
                <w:rFonts w:ascii="Arial" w:hAnsi="Arial" w:cs="Arial"/>
                <w:bCs/>
                <w:color w:val="000000"/>
                <w:sz w:val="14"/>
                <w:szCs w:val="14"/>
                <w:vertAlign w:val="superscript"/>
              </w:rPr>
              <w:t>4</w:t>
            </w:r>
          </w:p>
        </w:tc>
        <w:tc>
          <w:tcPr>
            <w:tcW w:w="0" w:type="auto"/>
            <w:tcBorders>
              <w:top w:val="nil"/>
              <w:left w:val="nil"/>
              <w:bottom w:val="single" w:sz="8" w:space="0" w:color="000000"/>
              <w:right w:val="nil"/>
            </w:tcBorders>
            <w:shd w:val="clear" w:color="auto" w:fill="auto"/>
            <w:noWrap/>
            <w:vAlign w:val="center"/>
            <w:hideMark/>
          </w:tcPr>
          <w:p w14:paraId="4086E56D"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(2.4 ± 0.6) · 10</w:t>
            </w:r>
            <w:r w:rsidRPr="008F28F2">
              <w:rPr>
                <w:rFonts w:ascii="Arial" w:hAnsi="Arial" w:cs="Arial"/>
                <w:bCs/>
                <w:color w:val="000000"/>
                <w:sz w:val="14"/>
                <w:szCs w:val="14"/>
                <w:vertAlign w:val="superscript"/>
              </w:rPr>
              <w:t>4</w:t>
            </w:r>
          </w:p>
        </w:tc>
        <w:tc>
          <w:tcPr>
            <w:tcW w:w="0" w:type="auto"/>
            <w:tcBorders>
              <w:top w:val="nil"/>
              <w:left w:val="nil"/>
              <w:bottom w:val="single" w:sz="8" w:space="0" w:color="000000"/>
              <w:right w:val="nil"/>
            </w:tcBorders>
            <w:shd w:val="clear" w:color="auto" w:fill="FFFFFF"/>
            <w:noWrap/>
            <w:vAlign w:val="center"/>
            <w:hideMark/>
          </w:tcPr>
          <w:p w14:paraId="121C4AB6"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n.d.</w:t>
            </w:r>
          </w:p>
        </w:tc>
        <w:tc>
          <w:tcPr>
            <w:tcW w:w="0" w:type="auto"/>
            <w:tcBorders>
              <w:top w:val="nil"/>
              <w:left w:val="nil"/>
              <w:bottom w:val="single" w:sz="8" w:space="0" w:color="auto"/>
              <w:right w:val="nil"/>
            </w:tcBorders>
            <w:shd w:val="clear" w:color="auto" w:fill="FFFFFF"/>
            <w:noWrap/>
            <w:vAlign w:val="center"/>
            <w:hideMark/>
          </w:tcPr>
          <w:p w14:paraId="626ADFDD"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n.d.</w:t>
            </w:r>
          </w:p>
        </w:tc>
      </w:tr>
      <w:tr w:rsidR="001B39D0" w:rsidRPr="008F28F2" w14:paraId="15B90F17" w14:textId="77777777" w:rsidTr="00794846">
        <w:trPr>
          <w:trHeight w:val="311"/>
        </w:trPr>
        <w:tc>
          <w:tcPr>
            <w:tcW w:w="0" w:type="auto"/>
            <w:tcBorders>
              <w:top w:val="nil"/>
              <w:left w:val="nil"/>
              <w:bottom w:val="single" w:sz="8" w:space="0" w:color="000000"/>
              <w:right w:val="double" w:sz="6" w:space="0" w:color="000000"/>
            </w:tcBorders>
            <w:shd w:val="clear" w:color="auto" w:fill="auto"/>
            <w:noWrap/>
            <w:vAlign w:val="center"/>
            <w:hideMark/>
          </w:tcPr>
          <w:p w14:paraId="5BEFC2FC" w14:textId="22D8B82D" w:rsidR="001B39D0" w:rsidRPr="008F28F2" w:rsidRDefault="001B39D0" w:rsidP="001B39D0">
            <w:pPr>
              <w:pBdr>
                <w:top w:val="nil"/>
                <w:left w:val="nil"/>
                <w:bottom w:val="nil"/>
                <w:right w:val="nil"/>
                <w:between w:val="nil"/>
              </w:pBdr>
              <w:spacing w:after="200"/>
              <w:contextualSpacing/>
              <w:rPr>
                <w:rFonts w:ascii="Arial" w:hAnsi="Arial" w:cs="Arial"/>
                <w:b/>
                <w:color w:val="000000"/>
                <w:sz w:val="16"/>
                <w:szCs w:val="16"/>
                <w:lang w:val="it-IT"/>
              </w:rPr>
            </w:pPr>
            <w:r w:rsidRPr="008F28F2">
              <w:rPr>
                <w:rFonts w:ascii="Arial" w:hAnsi="Arial" w:cs="Arial"/>
                <w:b/>
                <w:color w:val="000000"/>
                <w:sz w:val="16"/>
                <w:szCs w:val="16"/>
                <w:lang w:val="it-IT"/>
              </w:rPr>
              <w:t>PG</w:t>
            </w:r>
            <w:r w:rsidR="00DC51F5" w:rsidRPr="008F28F2">
              <w:rPr>
                <w:rFonts w:ascii="Arial" w:hAnsi="Arial" w:cs="Arial"/>
                <w:b/>
                <w:color w:val="000000"/>
                <w:sz w:val="16"/>
                <w:szCs w:val="16"/>
                <w:lang w:val="it-IT"/>
              </w:rPr>
              <w:t>DS</w:t>
            </w:r>
            <w:r w:rsidRPr="008F28F2">
              <w:rPr>
                <w:rFonts w:ascii="Arial" w:hAnsi="Arial" w:cs="Arial"/>
                <w:b/>
                <w:color w:val="000000"/>
                <w:sz w:val="16"/>
                <w:szCs w:val="16"/>
                <w:lang w:val="it-IT"/>
              </w:rPr>
              <w:t xml:space="preserve"> (MW x </w:t>
            </w:r>
            <w:proofErr w:type="spellStart"/>
            <w:r w:rsidRPr="008F28F2">
              <w:rPr>
                <w:rFonts w:ascii="Arial" w:hAnsi="Arial" w:cs="Arial"/>
                <w:b/>
                <w:color w:val="000000"/>
                <w:sz w:val="16"/>
                <w:szCs w:val="16"/>
                <w:lang w:val="it-IT"/>
              </w:rPr>
              <w:t>emPAI</w:t>
            </w:r>
            <w:proofErr w:type="spellEnd"/>
            <w:r w:rsidRPr="008F28F2">
              <w:rPr>
                <w:rFonts w:ascii="Arial" w:hAnsi="Arial" w:cs="Arial"/>
                <w:b/>
                <w:color w:val="000000"/>
                <w:sz w:val="16"/>
                <w:szCs w:val="16"/>
                <w:lang w:val="it-IT"/>
              </w:rPr>
              <w:t>)</w:t>
            </w:r>
          </w:p>
        </w:tc>
        <w:tc>
          <w:tcPr>
            <w:tcW w:w="0" w:type="auto"/>
            <w:tcBorders>
              <w:top w:val="single" w:sz="8" w:space="0" w:color="000000"/>
              <w:left w:val="double" w:sz="6" w:space="0" w:color="000000"/>
              <w:bottom w:val="single" w:sz="8" w:space="0" w:color="000000"/>
              <w:right w:val="double" w:sz="6" w:space="0" w:color="000000"/>
            </w:tcBorders>
            <w:shd w:val="clear" w:color="auto" w:fill="FFFFFF"/>
            <w:noWrap/>
            <w:vAlign w:val="center"/>
            <w:hideMark/>
          </w:tcPr>
          <w:p w14:paraId="18182121"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(16 ± 4) · 10</w:t>
            </w:r>
            <w:r w:rsidRPr="008F28F2">
              <w:rPr>
                <w:rFonts w:ascii="Arial" w:hAnsi="Arial" w:cs="Arial"/>
                <w:bCs/>
                <w:color w:val="000000"/>
                <w:sz w:val="14"/>
                <w:szCs w:val="14"/>
                <w:vertAlign w:val="superscript"/>
              </w:rPr>
              <w:t>4</w:t>
            </w:r>
          </w:p>
        </w:tc>
        <w:tc>
          <w:tcPr>
            <w:tcW w:w="0" w:type="auto"/>
            <w:tcBorders>
              <w:top w:val="nil"/>
              <w:left w:val="double" w:sz="6" w:space="0" w:color="000000"/>
              <w:bottom w:val="single" w:sz="8" w:space="0" w:color="000000"/>
              <w:right w:val="nil"/>
            </w:tcBorders>
            <w:shd w:val="clear" w:color="auto" w:fill="auto"/>
            <w:noWrap/>
            <w:vAlign w:val="center"/>
            <w:hideMark/>
          </w:tcPr>
          <w:p w14:paraId="70BBB1D2"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(2.6 ± 1.6) · 10</w:t>
            </w:r>
            <w:r w:rsidRPr="008F28F2">
              <w:rPr>
                <w:rFonts w:ascii="Arial" w:hAnsi="Arial" w:cs="Arial"/>
                <w:bCs/>
                <w:color w:val="000000"/>
                <w:sz w:val="14"/>
                <w:szCs w:val="14"/>
                <w:vertAlign w:val="superscript"/>
              </w:rPr>
              <w:t>4</w:t>
            </w:r>
          </w:p>
        </w:tc>
        <w:tc>
          <w:tcPr>
            <w:tcW w:w="0" w:type="auto"/>
            <w:tcBorders>
              <w:top w:val="nil"/>
              <w:left w:val="nil"/>
              <w:bottom w:val="single" w:sz="8" w:space="0" w:color="000000"/>
              <w:right w:val="nil"/>
            </w:tcBorders>
            <w:shd w:val="clear" w:color="auto" w:fill="auto"/>
            <w:noWrap/>
            <w:vAlign w:val="center"/>
            <w:hideMark/>
          </w:tcPr>
          <w:p w14:paraId="6BA1C663"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(13 ± 2) · 10</w:t>
            </w:r>
            <w:r w:rsidRPr="008F28F2">
              <w:rPr>
                <w:rFonts w:ascii="Arial" w:hAnsi="Arial" w:cs="Arial"/>
                <w:bCs/>
                <w:color w:val="000000"/>
                <w:sz w:val="14"/>
                <w:szCs w:val="14"/>
                <w:vertAlign w:val="superscript"/>
              </w:rPr>
              <w:t>4</w:t>
            </w:r>
          </w:p>
        </w:tc>
        <w:tc>
          <w:tcPr>
            <w:tcW w:w="0" w:type="auto"/>
            <w:tcBorders>
              <w:top w:val="nil"/>
              <w:left w:val="nil"/>
              <w:bottom w:val="single" w:sz="8" w:space="0" w:color="000000"/>
              <w:right w:val="nil"/>
            </w:tcBorders>
            <w:shd w:val="clear" w:color="auto" w:fill="auto"/>
            <w:noWrap/>
            <w:vAlign w:val="center"/>
            <w:hideMark/>
          </w:tcPr>
          <w:p w14:paraId="3844C2F8"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(30 ± 14) · 10</w:t>
            </w:r>
            <w:r w:rsidRPr="008F28F2">
              <w:rPr>
                <w:rFonts w:ascii="Arial" w:hAnsi="Arial" w:cs="Arial"/>
                <w:bCs/>
                <w:color w:val="000000"/>
                <w:sz w:val="14"/>
                <w:szCs w:val="14"/>
                <w:vertAlign w:val="superscript"/>
              </w:rPr>
              <w:t>4</w:t>
            </w:r>
          </w:p>
        </w:tc>
        <w:tc>
          <w:tcPr>
            <w:tcW w:w="0" w:type="auto"/>
            <w:tcBorders>
              <w:top w:val="nil"/>
              <w:left w:val="nil"/>
              <w:bottom w:val="single" w:sz="8" w:space="0" w:color="000000"/>
              <w:right w:val="nil"/>
            </w:tcBorders>
            <w:shd w:val="clear" w:color="auto" w:fill="FFFFFF"/>
            <w:noWrap/>
            <w:vAlign w:val="center"/>
            <w:hideMark/>
          </w:tcPr>
          <w:p w14:paraId="40F87970"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n.d.</w:t>
            </w:r>
          </w:p>
        </w:tc>
        <w:tc>
          <w:tcPr>
            <w:tcW w:w="0" w:type="auto"/>
            <w:tcBorders>
              <w:top w:val="nil"/>
              <w:left w:val="nil"/>
              <w:bottom w:val="single" w:sz="8" w:space="0" w:color="auto"/>
              <w:right w:val="nil"/>
            </w:tcBorders>
            <w:shd w:val="clear" w:color="auto" w:fill="FFFFFF"/>
            <w:noWrap/>
            <w:vAlign w:val="center"/>
            <w:hideMark/>
          </w:tcPr>
          <w:p w14:paraId="17579342" w14:textId="77777777" w:rsidR="001B39D0" w:rsidRPr="008F28F2" w:rsidRDefault="001B39D0" w:rsidP="001B39D0">
            <w:pPr>
              <w:pBdr>
                <w:top w:val="nil"/>
                <w:left w:val="nil"/>
                <w:bottom w:val="nil"/>
                <w:right w:val="nil"/>
                <w:between w:val="nil"/>
              </w:pBdr>
              <w:spacing w:after="200"/>
              <w:contextualSpacing/>
              <w:rPr>
                <w:rFonts w:ascii="Arial" w:hAnsi="Arial" w:cs="Arial"/>
                <w:bCs/>
                <w:color w:val="000000"/>
                <w:sz w:val="14"/>
                <w:szCs w:val="14"/>
                <w:lang w:val="it-IT"/>
              </w:rPr>
            </w:pPr>
            <w:r w:rsidRPr="008F28F2">
              <w:rPr>
                <w:rFonts w:ascii="Arial" w:hAnsi="Arial" w:cs="Arial"/>
                <w:bCs/>
                <w:color w:val="000000"/>
                <w:sz w:val="14"/>
                <w:szCs w:val="14"/>
              </w:rPr>
              <w:t>n.d.</w:t>
            </w:r>
          </w:p>
        </w:tc>
      </w:tr>
    </w:tbl>
    <w:p w14:paraId="77849D19" w14:textId="77777777" w:rsidR="001B39D0" w:rsidRPr="008F28F2" w:rsidRDefault="001B39D0" w:rsidP="001B39D0">
      <w:pPr>
        <w:pBdr>
          <w:top w:val="nil"/>
          <w:left w:val="nil"/>
          <w:bottom w:val="nil"/>
          <w:right w:val="nil"/>
          <w:between w:val="nil"/>
        </w:pBdr>
        <w:contextualSpacing/>
        <w:rPr>
          <w:rFonts w:ascii="Arial" w:hAnsi="Arial" w:cs="Arial"/>
          <w:color w:val="000000"/>
          <w:sz w:val="20"/>
        </w:rPr>
      </w:pPr>
    </w:p>
    <w:p w14:paraId="358BCDAE" w14:textId="77777777" w:rsidR="001B39D0" w:rsidRPr="008F28F2" w:rsidRDefault="001B39D0" w:rsidP="001B39D0">
      <w:pPr>
        <w:rPr>
          <w:rFonts w:ascii="Arial" w:hAnsi="Arial" w:cs="Arial"/>
          <w:color w:val="000000"/>
          <w:sz w:val="20"/>
        </w:rPr>
      </w:pPr>
      <w:r w:rsidRPr="008F28F2">
        <w:rPr>
          <w:rFonts w:ascii="Arial" w:hAnsi="Arial" w:cs="Arial"/>
          <w:color w:val="000000"/>
          <w:sz w:val="20"/>
        </w:rPr>
        <w:br w:type="page"/>
      </w:r>
    </w:p>
    <w:p w14:paraId="4F5E60F4" w14:textId="77777777" w:rsidR="001B39D0" w:rsidRPr="008F28F2" w:rsidRDefault="001B39D0" w:rsidP="001B39D0">
      <w:pPr>
        <w:pBdr>
          <w:top w:val="nil"/>
          <w:left w:val="nil"/>
          <w:bottom w:val="nil"/>
          <w:right w:val="nil"/>
          <w:between w:val="nil"/>
        </w:pBdr>
        <w:contextualSpacing/>
        <w:rPr>
          <w:rFonts w:ascii="Arial" w:hAnsi="Arial" w:cs="Arial"/>
          <w:color w:val="000000"/>
          <w:sz w:val="20"/>
        </w:rPr>
      </w:pPr>
    </w:p>
    <w:p w14:paraId="72BA5B30" w14:textId="77777777" w:rsidR="001B39D0" w:rsidRPr="008F28F2" w:rsidRDefault="001B39D0" w:rsidP="001B39D0">
      <w:pPr>
        <w:pBdr>
          <w:top w:val="nil"/>
          <w:left w:val="nil"/>
          <w:bottom w:val="nil"/>
          <w:right w:val="nil"/>
          <w:between w:val="nil"/>
        </w:pBdr>
        <w:contextualSpacing/>
        <w:rPr>
          <w:rFonts w:ascii="Arial" w:hAnsi="Arial" w:cs="Arial"/>
          <w:color w:val="000000"/>
          <w:sz w:val="20"/>
        </w:rPr>
      </w:pPr>
    </w:p>
    <w:p w14:paraId="72492583" w14:textId="77777777" w:rsidR="001B39D0" w:rsidRPr="008F28F2" w:rsidRDefault="001B39D0" w:rsidP="001B39D0">
      <w:pPr>
        <w:keepNext/>
        <w:spacing w:before="240" w:after="60"/>
        <w:outlineLvl w:val="1"/>
        <w:rPr>
          <w:rFonts w:ascii="Arial" w:hAnsi="Arial" w:cs="Arial"/>
          <w:b/>
          <w:bCs/>
          <w:color w:val="000000"/>
          <w:sz w:val="20"/>
          <w:szCs w:val="28"/>
          <w:vertAlign w:val="subscript"/>
          <w:lang w:val="it-IT"/>
        </w:rPr>
      </w:pPr>
      <w:r w:rsidRPr="008F28F2">
        <w:rPr>
          <w:rFonts w:ascii="Arial" w:hAnsi="Arial" w:cs="Arial"/>
          <w:b/>
          <w:bCs/>
          <w:color w:val="000000"/>
          <w:sz w:val="20"/>
        </w:rPr>
        <w:t xml:space="preserve">Table </w:t>
      </w:r>
      <w:r w:rsidRPr="008F28F2">
        <w:rPr>
          <w:rFonts w:ascii="Arial" w:hAnsi="Arial" w:cs="Arial"/>
          <w:b/>
          <w:bCs/>
          <w:color w:val="000000"/>
          <w:sz w:val="20"/>
          <w:szCs w:val="28"/>
        </w:rPr>
        <w:t>S3</w:t>
      </w:r>
      <w:r w:rsidRPr="008F28F2">
        <w:rPr>
          <w:rFonts w:ascii="Arial" w:hAnsi="Arial" w:cs="Arial"/>
          <w:b/>
          <w:bCs/>
          <w:color w:val="000000"/>
          <w:sz w:val="20"/>
        </w:rPr>
        <w:t>. Mean fitted kinetic parameters and maximum fluorescence values (</w:t>
      </w:r>
      <w:r w:rsidRPr="008F28F2">
        <w:rPr>
          <w:rFonts w:ascii="Arial" w:hAnsi="Arial" w:cs="Arial"/>
          <w:b/>
          <w:bCs/>
          <w:color w:val="000000"/>
          <w:sz w:val="20"/>
          <w:szCs w:val="28"/>
        </w:rPr>
        <w:t>F</w:t>
      </w:r>
      <w:r w:rsidRPr="008F28F2">
        <w:rPr>
          <w:rFonts w:ascii="Arial" w:hAnsi="Arial" w:cs="Arial"/>
          <w:b/>
          <w:bCs/>
          <w:color w:val="000000"/>
          <w:sz w:val="20"/>
          <w:szCs w:val="28"/>
          <w:vertAlign w:val="subscript"/>
        </w:rPr>
        <w:t>max</w:t>
      </w:r>
      <w:r w:rsidRPr="008F28F2">
        <w:rPr>
          <w:rFonts w:ascii="Arial" w:hAnsi="Arial" w:cs="Arial"/>
          <w:b/>
          <w:bCs/>
          <w:color w:val="000000"/>
          <w:sz w:val="20"/>
        </w:rPr>
        <w:t>) of the analyzed samples.</w:t>
      </w:r>
      <w:r w:rsidRPr="008F28F2">
        <w:rPr>
          <w:rFonts w:ascii="Arial" w:hAnsi="Arial" w:cs="Arial"/>
          <w:color w:val="000000"/>
          <w:sz w:val="20"/>
        </w:rPr>
        <w:t xml:space="preserve"> Fitting was not possible for samples containing 0.3 and 1 mg/mL of HDL. Data are represented as mean ± SEM.</w:t>
      </w:r>
    </w:p>
    <w:tbl>
      <w:tblPr>
        <w:tblW w:w="0" w:type="auto"/>
        <w:tblCellMar>
          <w:left w:w="0" w:type="dxa"/>
          <w:right w:w="0" w:type="dxa"/>
        </w:tblCellMar>
        <w:tblLook w:val="04A0" w:firstRow="1" w:lastRow="0" w:firstColumn="1" w:lastColumn="0" w:noHBand="0" w:noVBand="1"/>
      </w:tblPr>
      <w:tblGrid>
        <w:gridCol w:w="1472"/>
        <w:gridCol w:w="1366"/>
        <w:gridCol w:w="1366"/>
        <w:gridCol w:w="1588"/>
        <w:gridCol w:w="1412"/>
        <w:gridCol w:w="1388"/>
      </w:tblGrid>
      <w:tr w:rsidR="001B39D0" w:rsidRPr="008F28F2" w14:paraId="0CD888BD" w14:textId="77777777" w:rsidTr="00794846">
        <w:trPr>
          <w:trHeight w:val="265"/>
        </w:trPr>
        <w:tc>
          <w:tcPr>
            <w:tcW w:w="0" w:type="auto"/>
            <w:vMerge w:val="restar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7B311423"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b/>
                <w:color w:val="000000"/>
                <w:sz w:val="20"/>
                <w:lang w:val="it-IT"/>
              </w:rPr>
            </w:pPr>
            <w:r w:rsidRPr="008F28F2">
              <w:rPr>
                <w:rFonts w:ascii="Arial" w:hAnsi="Arial" w:cs="Arial"/>
                <w:b/>
                <w:bCs/>
                <w:color w:val="000000"/>
                <w:sz w:val="20"/>
              </w:rPr>
              <w:t>HDL (mg/mL)</w:t>
            </w:r>
          </w:p>
        </w:tc>
        <w:tc>
          <w:tcPr>
            <w:tcW w:w="0" w:type="auto"/>
            <w:vMerge w:val="restar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4DE852B"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b/>
                <w:color w:val="000000"/>
                <w:sz w:val="20"/>
                <w:vertAlign w:val="subscript"/>
                <w:lang w:val="it-IT"/>
              </w:rPr>
            </w:pPr>
            <w:proofErr w:type="spellStart"/>
            <w:r w:rsidRPr="008F28F2">
              <w:rPr>
                <w:rFonts w:ascii="Arial" w:hAnsi="Arial" w:cs="Arial"/>
                <w:b/>
                <w:bCs/>
                <w:color w:val="000000"/>
                <w:sz w:val="20"/>
                <w:lang w:val="it-IT"/>
              </w:rPr>
              <w:t>F</w:t>
            </w:r>
            <w:r w:rsidRPr="008F28F2">
              <w:rPr>
                <w:rFonts w:ascii="Arial" w:hAnsi="Arial" w:cs="Arial"/>
                <w:b/>
                <w:bCs/>
                <w:color w:val="000000"/>
                <w:sz w:val="20"/>
                <w:vertAlign w:val="subscript"/>
                <w:lang w:val="it-IT"/>
              </w:rPr>
              <w:t>max</w:t>
            </w:r>
            <w:proofErr w:type="spellEnd"/>
          </w:p>
          <w:p w14:paraId="07A77F3E"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b/>
                <w:color w:val="000000"/>
                <w:sz w:val="20"/>
                <w:lang w:val="it-IT"/>
              </w:rPr>
            </w:pPr>
            <w:r w:rsidRPr="008F28F2">
              <w:rPr>
                <w:rFonts w:ascii="Arial" w:hAnsi="Arial" w:cs="Arial"/>
                <w:b/>
                <w:color w:val="000000"/>
                <w:sz w:val="20"/>
                <w:lang w:val="it-IT"/>
              </w:rPr>
              <w:t>(a.u.)</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3FC91EFA"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b/>
                <w:color w:val="000000"/>
                <w:sz w:val="20"/>
                <w:lang w:val="it-IT"/>
              </w:rPr>
            </w:pPr>
            <w:r w:rsidRPr="008F28F2">
              <w:rPr>
                <w:rFonts w:ascii="Arial" w:hAnsi="Arial" w:cs="Arial"/>
                <w:b/>
                <w:bCs/>
                <w:color w:val="000000"/>
                <w:sz w:val="20"/>
              </w:rPr>
              <w:t>2</w:t>
            </w:r>
            <w:r w:rsidRPr="008F28F2">
              <w:rPr>
                <w:rFonts w:ascii="Arial" w:hAnsi="Arial" w:cs="Arial"/>
                <w:b/>
                <w:bCs/>
                <w:color w:val="000000"/>
                <w:sz w:val="20"/>
                <w:vertAlign w:val="superscript"/>
              </w:rPr>
              <w:t>nd</w:t>
            </w:r>
            <w:r w:rsidRPr="008F28F2">
              <w:rPr>
                <w:rFonts w:ascii="Arial" w:hAnsi="Arial" w:cs="Arial"/>
                <w:b/>
                <w:bCs/>
                <w:color w:val="000000"/>
                <w:sz w:val="20"/>
              </w:rPr>
              <w:t xml:space="preserve"> plateau</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21B6322A"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b/>
                <w:color w:val="000000"/>
                <w:sz w:val="20"/>
                <w:lang w:val="it-IT"/>
              </w:rPr>
            </w:pPr>
            <w:r w:rsidRPr="008F28F2">
              <w:rPr>
                <w:rFonts w:ascii="Arial" w:hAnsi="Arial" w:cs="Arial"/>
                <w:b/>
                <w:bCs/>
                <w:color w:val="000000"/>
                <w:sz w:val="20"/>
              </w:rPr>
              <w:t>1</w:t>
            </w:r>
            <w:r w:rsidRPr="008F28F2">
              <w:rPr>
                <w:rFonts w:ascii="Arial" w:hAnsi="Arial" w:cs="Arial"/>
                <w:b/>
                <w:bCs/>
                <w:color w:val="000000"/>
                <w:sz w:val="20"/>
                <w:vertAlign w:val="superscript"/>
              </w:rPr>
              <w:t>st</w:t>
            </w:r>
            <w:r w:rsidRPr="008F28F2">
              <w:rPr>
                <w:rFonts w:ascii="Arial" w:hAnsi="Arial" w:cs="Arial"/>
                <w:b/>
                <w:bCs/>
                <w:color w:val="000000"/>
                <w:sz w:val="20"/>
              </w:rPr>
              <w:t xml:space="preserve"> plateau</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65AF4AD3"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b/>
                <w:color w:val="000000"/>
                <w:sz w:val="20"/>
                <w:lang w:val="it-IT"/>
              </w:rPr>
            </w:pPr>
            <w:r w:rsidRPr="008F28F2">
              <w:rPr>
                <w:rFonts w:ascii="Arial" w:hAnsi="Arial" w:cs="Arial"/>
                <w:b/>
                <w:bCs/>
                <w:color w:val="000000"/>
                <w:sz w:val="20"/>
              </w:rPr>
              <w:t>2</w:t>
            </w:r>
            <w:r w:rsidRPr="008F28F2">
              <w:rPr>
                <w:rFonts w:ascii="Arial" w:hAnsi="Arial" w:cs="Arial"/>
                <w:b/>
                <w:bCs/>
                <w:color w:val="000000"/>
                <w:sz w:val="20"/>
                <w:vertAlign w:val="superscript"/>
              </w:rPr>
              <w:t xml:space="preserve">nd </w:t>
            </w:r>
            <w:r w:rsidRPr="008F28F2">
              <w:rPr>
                <w:rFonts w:ascii="Arial" w:hAnsi="Arial" w:cs="Arial"/>
                <w:b/>
                <w:bCs/>
                <w:color w:val="000000"/>
                <w:sz w:val="20"/>
              </w:rPr>
              <w:t>inflection</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0D66B21"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b/>
                <w:color w:val="000000"/>
                <w:sz w:val="20"/>
                <w:lang w:val="it-IT"/>
              </w:rPr>
            </w:pPr>
            <w:r w:rsidRPr="008F28F2">
              <w:rPr>
                <w:rFonts w:ascii="Arial" w:hAnsi="Arial" w:cs="Arial"/>
                <w:b/>
                <w:bCs/>
                <w:color w:val="000000"/>
                <w:sz w:val="20"/>
              </w:rPr>
              <w:t>1</w:t>
            </w:r>
            <w:r w:rsidRPr="008F28F2">
              <w:rPr>
                <w:rFonts w:ascii="Arial" w:hAnsi="Arial" w:cs="Arial"/>
                <w:b/>
                <w:bCs/>
                <w:color w:val="000000"/>
                <w:sz w:val="20"/>
                <w:vertAlign w:val="superscript"/>
              </w:rPr>
              <w:t>st</w:t>
            </w:r>
            <w:r w:rsidRPr="008F28F2">
              <w:rPr>
                <w:rFonts w:ascii="Arial" w:hAnsi="Arial" w:cs="Arial"/>
                <w:b/>
                <w:bCs/>
                <w:color w:val="000000"/>
                <w:sz w:val="20"/>
              </w:rPr>
              <w:t xml:space="preserve"> inflection</w:t>
            </w:r>
          </w:p>
        </w:tc>
      </w:tr>
      <w:tr w:rsidR="001B39D0" w:rsidRPr="008F28F2" w14:paraId="3CDD94FD" w14:textId="77777777" w:rsidTr="00794846">
        <w:trPr>
          <w:trHeight w:val="242"/>
        </w:trPr>
        <w:tc>
          <w:tcPr>
            <w:tcW w:w="0" w:type="auto"/>
            <w:vMerge/>
            <w:tcBorders>
              <w:top w:val="single" w:sz="8" w:space="0" w:color="000000"/>
              <w:left w:val="nil"/>
              <w:bottom w:val="single" w:sz="8" w:space="0" w:color="000000"/>
              <w:right w:val="nil"/>
            </w:tcBorders>
            <w:vAlign w:val="center"/>
            <w:hideMark/>
          </w:tcPr>
          <w:p w14:paraId="6A027387"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b/>
                <w:color w:val="000000"/>
                <w:sz w:val="20"/>
                <w:lang w:val="it-IT"/>
              </w:rPr>
            </w:pPr>
          </w:p>
        </w:tc>
        <w:tc>
          <w:tcPr>
            <w:tcW w:w="0" w:type="auto"/>
            <w:vMerge/>
            <w:tcBorders>
              <w:top w:val="single" w:sz="8" w:space="0" w:color="000000"/>
              <w:left w:val="nil"/>
              <w:bottom w:val="single" w:sz="8" w:space="0" w:color="000000"/>
              <w:right w:val="nil"/>
            </w:tcBorders>
            <w:vAlign w:val="center"/>
            <w:hideMark/>
          </w:tcPr>
          <w:p w14:paraId="7B16FD12"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b/>
                <w:color w:val="000000"/>
                <w:sz w:val="20"/>
                <w:lang w:val="it-IT"/>
              </w:rPr>
            </w:pP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3BF7A57C"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b/>
                <w:color w:val="000000"/>
                <w:sz w:val="20"/>
                <w:lang w:val="it-IT"/>
              </w:rPr>
            </w:pPr>
            <w:r w:rsidRPr="008F28F2">
              <w:rPr>
                <w:rFonts w:ascii="Arial" w:hAnsi="Arial" w:cs="Arial"/>
                <w:b/>
                <w:color w:val="000000"/>
                <w:sz w:val="20"/>
              </w:rPr>
              <w:t>A2 (a.u.)</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269448F6"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b/>
                <w:color w:val="000000"/>
                <w:sz w:val="20"/>
                <w:lang w:val="it-IT"/>
              </w:rPr>
            </w:pPr>
            <w:r w:rsidRPr="008F28F2">
              <w:rPr>
                <w:rFonts w:ascii="Arial" w:hAnsi="Arial" w:cs="Arial"/>
                <w:b/>
                <w:color w:val="000000"/>
                <w:sz w:val="20"/>
              </w:rPr>
              <w:t>A1 (a.u.)</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21BFC0B6"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b/>
                <w:color w:val="000000"/>
                <w:sz w:val="20"/>
                <w:lang w:val="it-IT"/>
              </w:rPr>
            </w:pPr>
            <w:r w:rsidRPr="008F28F2">
              <w:rPr>
                <w:rFonts w:ascii="Arial" w:hAnsi="Arial" w:cs="Arial"/>
                <w:b/>
                <w:color w:val="000000"/>
                <w:sz w:val="20"/>
              </w:rPr>
              <w:t>t2 (h)</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14:paraId="5450DA8F"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b/>
                <w:color w:val="000000"/>
                <w:sz w:val="20"/>
                <w:lang w:val="it-IT"/>
              </w:rPr>
            </w:pPr>
            <w:r w:rsidRPr="008F28F2">
              <w:rPr>
                <w:rFonts w:ascii="Arial" w:hAnsi="Arial" w:cs="Arial"/>
                <w:b/>
                <w:color w:val="000000"/>
                <w:sz w:val="20"/>
              </w:rPr>
              <w:t>t1 (h)</w:t>
            </w:r>
          </w:p>
        </w:tc>
      </w:tr>
      <w:tr w:rsidR="001B39D0" w:rsidRPr="008F28F2" w14:paraId="5EEAB410" w14:textId="77777777" w:rsidTr="00794846">
        <w:trPr>
          <w:trHeight w:val="441"/>
        </w:trPr>
        <w:tc>
          <w:tcPr>
            <w:tcW w:w="0" w:type="auto"/>
            <w:tcBorders>
              <w:top w:val="single" w:sz="8" w:space="0" w:color="000000"/>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1BA97D1D"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 xml:space="preserve"> 0</w:t>
            </w:r>
          </w:p>
        </w:tc>
        <w:tc>
          <w:tcPr>
            <w:tcW w:w="0" w:type="auto"/>
            <w:tcBorders>
              <w:top w:val="single" w:sz="8" w:space="0" w:color="000000"/>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503174C9"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(31 ± 6) ∙ 10</w:t>
            </w:r>
            <w:r w:rsidRPr="008F28F2">
              <w:rPr>
                <w:rFonts w:ascii="Arial" w:hAnsi="Arial" w:cs="Arial"/>
                <w:color w:val="000000"/>
                <w:sz w:val="20"/>
                <w:vertAlign w:val="superscript"/>
              </w:rPr>
              <w:t>3</w:t>
            </w:r>
          </w:p>
        </w:tc>
        <w:tc>
          <w:tcPr>
            <w:tcW w:w="0" w:type="auto"/>
            <w:tcBorders>
              <w:top w:val="single" w:sz="8" w:space="0" w:color="000000"/>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145A2627"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(27 ± 5) ∙ 10</w:t>
            </w:r>
            <w:r w:rsidRPr="008F28F2">
              <w:rPr>
                <w:rFonts w:ascii="Arial" w:hAnsi="Arial" w:cs="Arial"/>
                <w:color w:val="000000"/>
                <w:sz w:val="20"/>
                <w:vertAlign w:val="superscript"/>
              </w:rPr>
              <w:t>3</w:t>
            </w:r>
          </w:p>
        </w:tc>
        <w:tc>
          <w:tcPr>
            <w:tcW w:w="0" w:type="auto"/>
            <w:tcBorders>
              <w:top w:val="single" w:sz="8" w:space="0" w:color="000000"/>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6176658E"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(12 ± 1.2) ∙ 10</w:t>
            </w:r>
            <w:r w:rsidRPr="008F28F2">
              <w:rPr>
                <w:rFonts w:ascii="Arial" w:hAnsi="Arial" w:cs="Arial"/>
                <w:color w:val="000000"/>
                <w:sz w:val="20"/>
                <w:vertAlign w:val="superscript"/>
              </w:rPr>
              <w:t>2</w:t>
            </w:r>
          </w:p>
        </w:tc>
        <w:tc>
          <w:tcPr>
            <w:tcW w:w="0" w:type="auto"/>
            <w:tcBorders>
              <w:top w:val="single" w:sz="8" w:space="0" w:color="000000"/>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1622EC0E"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120 ± 11</w:t>
            </w:r>
          </w:p>
        </w:tc>
        <w:tc>
          <w:tcPr>
            <w:tcW w:w="0" w:type="auto"/>
            <w:tcBorders>
              <w:top w:val="single" w:sz="8" w:space="0" w:color="000000"/>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54C6850A"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39.1 ± 0.3</w:t>
            </w:r>
          </w:p>
        </w:tc>
      </w:tr>
      <w:tr w:rsidR="001B39D0" w:rsidRPr="008F28F2" w14:paraId="39C2CDDC" w14:textId="77777777" w:rsidTr="00794846">
        <w:trPr>
          <w:trHeight w:val="441"/>
        </w:trPr>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6D0AA513"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0.003</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4C6BACE2"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(27 ± 4) ∙ 10</w:t>
            </w:r>
            <w:r w:rsidRPr="008F28F2">
              <w:rPr>
                <w:rFonts w:ascii="Arial" w:hAnsi="Arial" w:cs="Arial"/>
                <w:color w:val="000000"/>
                <w:sz w:val="20"/>
                <w:vertAlign w:val="superscript"/>
              </w:rPr>
              <w:t>3</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59D431FE"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(22 ± 4) ∙ 10</w:t>
            </w:r>
            <w:r w:rsidRPr="008F28F2">
              <w:rPr>
                <w:rFonts w:ascii="Arial" w:hAnsi="Arial" w:cs="Arial"/>
                <w:color w:val="000000"/>
                <w:sz w:val="20"/>
                <w:vertAlign w:val="superscript"/>
              </w:rPr>
              <w:t>3</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3C8EB996"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(9.4 ± 1.7) ∙ 10</w:t>
            </w:r>
            <w:r w:rsidRPr="008F28F2">
              <w:rPr>
                <w:rFonts w:ascii="Arial" w:hAnsi="Arial" w:cs="Arial"/>
                <w:color w:val="000000"/>
                <w:sz w:val="20"/>
                <w:vertAlign w:val="superscript"/>
              </w:rPr>
              <w:t>2</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4A7280F0"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135 ± 9</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25C9620A"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29.6 ± 1.3</w:t>
            </w:r>
          </w:p>
        </w:tc>
      </w:tr>
      <w:tr w:rsidR="001B39D0" w:rsidRPr="008F28F2" w14:paraId="256F54F5" w14:textId="77777777" w:rsidTr="00794846">
        <w:trPr>
          <w:trHeight w:val="441"/>
        </w:trPr>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01603B8E"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 xml:space="preserve">0.03 </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63D966C3"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(35 ± 3) ∙ 10</w:t>
            </w:r>
            <w:r w:rsidRPr="008F28F2">
              <w:rPr>
                <w:rFonts w:ascii="Arial" w:hAnsi="Arial" w:cs="Arial"/>
                <w:color w:val="000000"/>
                <w:sz w:val="20"/>
                <w:vertAlign w:val="superscript"/>
              </w:rPr>
              <w:t>3</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26483F2E"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(28 ± 2) ∙ 10</w:t>
            </w:r>
            <w:r w:rsidRPr="008F28F2">
              <w:rPr>
                <w:rFonts w:ascii="Arial" w:hAnsi="Arial" w:cs="Arial"/>
                <w:color w:val="000000"/>
                <w:sz w:val="20"/>
                <w:vertAlign w:val="superscript"/>
              </w:rPr>
              <w:t>3</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3CAC7BB6"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(3.3 ± 0.7) ∙ 10</w:t>
            </w:r>
            <w:r w:rsidRPr="008F28F2">
              <w:rPr>
                <w:rFonts w:ascii="Arial" w:hAnsi="Arial" w:cs="Arial"/>
                <w:color w:val="000000"/>
                <w:sz w:val="20"/>
                <w:vertAlign w:val="superscript"/>
              </w:rPr>
              <w:t>2</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4012D134"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139 ± 7</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2CF09ACC"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30.2 ± 0.3</w:t>
            </w:r>
          </w:p>
        </w:tc>
      </w:tr>
      <w:tr w:rsidR="001B39D0" w:rsidRPr="008F28F2" w14:paraId="7F37D0A3" w14:textId="77777777" w:rsidTr="00794846">
        <w:trPr>
          <w:trHeight w:val="309"/>
        </w:trPr>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3B1B1478"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0.3</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18ED14CA"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(50 ± 2) ∙ 10</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5A435103"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n.d.</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6387D2CE"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n.d.</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6CAF0632"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&gt; 215</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vAlign w:val="center"/>
            <w:hideMark/>
          </w:tcPr>
          <w:p w14:paraId="118D9272"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&gt; 215</w:t>
            </w:r>
          </w:p>
        </w:tc>
      </w:tr>
      <w:tr w:rsidR="001B39D0" w:rsidRPr="008F28F2" w14:paraId="2DC2926B" w14:textId="77777777" w:rsidTr="00794846">
        <w:trPr>
          <w:trHeight w:val="309"/>
        </w:trPr>
        <w:tc>
          <w:tcPr>
            <w:tcW w:w="0" w:type="auto"/>
            <w:tcBorders>
              <w:top w:val="single" w:sz="8" w:space="0" w:color="FFFFFF"/>
              <w:left w:val="single" w:sz="8" w:space="0" w:color="FFFFFF"/>
              <w:bottom w:val="single" w:sz="8" w:space="0" w:color="000000"/>
              <w:right w:val="single" w:sz="8" w:space="0" w:color="FFFFFF"/>
            </w:tcBorders>
            <w:shd w:val="clear" w:color="auto" w:fill="auto"/>
            <w:tcMar>
              <w:top w:w="15" w:type="dxa"/>
              <w:left w:w="108" w:type="dxa"/>
              <w:bottom w:w="0" w:type="dxa"/>
              <w:right w:w="108" w:type="dxa"/>
            </w:tcMar>
            <w:vAlign w:val="center"/>
            <w:hideMark/>
          </w:tcPr>
          <w:p w14:paraId="1B4C0A62"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1</w:t>
            </w:r>
          </w:p>
        </w:tc>
        <w:tc>
          <w:tcPr>
            <w:tcW w:w="0" w:type="auto"/>
            <w:tcBorders>
              <w:top w:val="single" w:sz="8" w:space="0" w:color="FFFFFF"/>
              <w:left w:val="single" w:sz="8" w:space="0" w:color="FFFFFF"/>
              <w:bottom w:val="single" w:sz="8" w:space="0" w:color="000000"/>
              <w:right w:val="single" w:sz="8" w:space="0" w:color="FFFFFF"/>
            </w:tcBorders>
            <w:shd w:val="clear" w:color="auto" w:fill="auto"/>
            <w:tcMar>
              <w:top w:w="15" w:type="dxa"/>
              <w:left w:w="108" w:type="dxa"/>
              <w:bottom w:w="0" w:type="dxa"/>
              <w:right w:w="108" w:type="dxa"/>
            </w:tcMar>
            <w:vAlign w:val="center"/>
            <w:hideMark/>
          </w:tcPr>
          <w:p w14:paraId="4F370D2B"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(49 ± 3) ∙ 10</w:t>
            </w:r>
          </w:p>
        </w:tc>
        <w:tc>
          <w:tcPr>
            <w:tcW w:w="0" w:type="auto"/>
            <w:tcBorders>
              <w:top w:val="single" w:sz="8" w:space="0" w:color="FFFFFF"/>
              <w:left w:val="single" w:sz="8" w:space="0" w:color="FFFFFF"/>
              <w:bottom w:val="single" w:sz="8" w:space="0" w:color="000000"/>
              <w:right w:val="single" w:sz="8" w:space="0" w:color="FFFFFF"/>
            </w:tcBorders>
            <w:shd w:val="clear" w:color="auto" w:fill="auto"/>
            <w:tcMar>
              <w:top w:w="15" w:type="dxa"/>
              <w:left w:w="108" w:type="dxa"/>
              <w:bottom w:w="0" w:type="dxa"/>
              <w:right w:w="108" w:type="dxa"/>
            </w:tcMar>
            <w:vAlign w:val="center"/>
            <w:hideMark/>
          </w:tcPr>
          <w:p w14:paraId="0E0113F9"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n.d.</w:t>
            </w:r>
          </w:p>
        </w:tc>
        <w:tc>
          <w:tcPr>
            <w:tcW w:w="0" w:type="auto"/>
            <w:tcBorders>
              <w:top w:val="single" w:sz="8" w:space="0" w:color="FFFFFF"/>
              <w:left w:val="single" w:sz="8" w:space="0" w:color="FFFFFF"/>
              <w:bottom w:val="single" w:sz="8" w:space="0" w:color="000000"/>
              <w:right w:val="single" w:sz="8" w:space="0" w:color="FFFFFF"/>
            </w:tcBorders>
            <w:shd w:val="clear" w:color="auto" w:fill="auto"/>
            <w:tcMar>
              <w:top w:w="15" w:type="dxa"/>
              <w:left w:w="108" w:type="dxa"/>
              <w:bottom w:w="0" w:type="dxa"/>
              <w:right w:w="108" w:type="dxa"/>
            </w:tcMar>
            <w:vAlign w:val="center"/>
            <w:hideMark/>
          </w:tcPr>
          <w:p w14:paraId="5A67F9C4"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n.d.</w:t>
            </w:r>
          </w:p>
        </w:tc>
        <w:tc>
          <w:tcPr>
            <w:tcW w:w="0" w:type="auto"/>
            <w:tcBorders>
              <w:top w:val="single" w:sz="8" w:space="0" w:color="FFFFFF"/>
              <w:left w:val="single" w:sz="8" w:space="0" w:color="FFFFFF"/>
              <w:bottom w:val="single" w:sz="8" w:space="0" w:color="000000"/>
              <w:right w:val="single" w:sz="8" w:space="0" w:color="FFFFFF"/>
            </w:tcBorders>
            <w:shd w:val="clear" w:color="auto" w:fill="auto"/>
            <w:tcMar>
              <w:top w:w="15" w:type="dxa"/>
              <w:left w:w="108" w:type="dxa"/>
              <w:bottom w:w="0" w:type="dxa"/>
              <w:right w:w="108" w:type="dxa"/>
            </w:tcMar>
            <w:vAlign w:val="center"/>
            <w:hideMark/>
          </w:tcPr>
          <w:p w14:paraId="61E5CAE3"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&gt; 215</w:t>
            </w:r>
          </w:p>
        </w:tc>
        <w:tc>
          <w:tcPr>
            <w:tcW w:w="0" w:type="auto"/>
            <w:tcBorders>
              <w:top w:val="single" w:sz="8" w:space="0" w:color="FFFFFF"/>
              <w:left w:val="single" w:sz="8" w:space="0" w:color="FFFFFF"/>
              <w:bottom w:val="single" w:sz="8" w:space="0" w:color="000000"/>
              <w:right w:val="single" w:sz="8" w:space="0" w:color="FFFFFF"/>
            </w:tcBorders>
            <w:shd w:val="clear" w:color="auto" w:fill="auto"/>
            <w:tcMar>
              <w:top w:w="15" w:type="dxa"/>
              <w:left w:w="108" w:type="dxa"/>
              <w:bottom w:w="0" w:type="dxa"/>
              <w:right w:w="108" w:type="dxa"/>
            </w:tcMar>
            <w:vAlign w:val="center"/>
            <w:hideMark/>
          </w:tcPr>
          <w:p w14:paraId="47A55BE1" w14:textId="77777777" w:rsidR="001B39D0" w:rsidRPr="008F28F2" w:rsidRDefault="001B39D0" w:rsidP="001B39D0">
            <w:pPr>
              <w:keepNext/>
              <w:pBdr>
                <w:top w:val="nil"/>
                <w:left w:val="nil"/>
                <w:bottom w:val="nil"/>
                <w:right w:val="nil"/>
                <w:between w:val="nil"/>
              </w:pBdr>
              <w:spacing w:before="240" w:after="60"/>
              <w:contextualSpacing/>
              <w:rPr>
                <w:rFonts w:ascii="Arial" w:hAnsi="Arial" w:cs="Arial"/>
                <w:color w:val="000000"/>
                <w:sz w:val="20"/>
                <w:lang w:val="it-IT"/>
              </w:rPr>
            </w:pPr>
            <w:r w:rsidRPr="008F28F2">
              <w:rPr>
                <w:rFonts w:ascii="Arial" w:hAnsi="Arial" w:cs="Arial"/>
                <w:color w:val="000000"/>
                <w:sz w:val="20"/>
              </w:rPr>
              <w:t>&gt; 215</w:t>
            </w:r>
          </w:p>
        </w:tc>
      </w:tr>
    </w:tbl>
    <w:p w14:paraId="1C77D7E2" w14:textId="2B28D73A" w:rsidR="007E64AA" w:rsidRPr="008F28F2" w:rsidRDefault="007E64AA" w:rsidP="001B39D0">
      <w:pPr>
        <w:keepNext/>
        <w:pBdr>
          <w:top w:val="nil"/>
          <w:left w:val="nil"/>
          <w:bottom w:val="nil"/>
          <w:right w:val="nil"/>
          <w:between w:val="nil"/>
        </w:pBdr>
        <w:spacing w:before="240" w:after="60"/>
        <w:contextualSpacing/>
        <w:rPr>
          <w:rFonts w:ascii="Arial" w:hAnsi="Arial" w:cs="Arial"/>
          <w:color w:val="000000"/>
          <w:sz w:val="20"/>
        </w:rPr>
      </w:pPr>
    </w:p>
    <w:p w14:paraId="58D5895C" w14:textId="77777777" w:rsidR="007E64AA" w:rsidRPr="008F28F2" w:rsidRDefault="007E64AA">
      <w:pPr>
        <w:rPr>
          <w:rFonts w:ascii="Arial" w:hAnsi="Arial" w:cs="Arial"/>
          <w:color w:val="000000"/>
          <w:sz w:val="20"/>
        </w:rPr>
      </w:pPr>
      <w:r w:rsidRPr="008F28F2">
        <w:rPr>
          <w:rFonts w:ascii="Arial" w:hAnsi="Arial" w:cs="Arial"/>
          <w:color w:val="000000"/>
          <w:sz w:val="20"/>
        </w:rPr>
        <w:br w:type="page"/>
      </w:r>
    </w:p>
    <w:p w14:paraId="31B3511B" w14:textId="3BDA0FE1" w:rsidR="0052086E" w:rsidRPr="008F28F2" w:rsidRDefault="0052086E" w:rsidP="00F50C12">
      <w:pPr>
        <w:jc w:val="both"/>
        <w:rPr>
          <w:rFonts w:ascii="Arial" w:hAnsi="Arial" w:cs="Arial"/>
          <w:color w:val="000000"/>
          <w:sz w:val="20"/>
        </w:rPr>
      </w:pPr>
      <w:r w:rsidRPr="008F28F2">
        <w:rPr>
          <w:rFonts w:ascii="Arial" w:hAnsi="Arial" w:cs="Arial"/>
          <w:b/>
          <w:bCs/>
          <w:color w:val="000000"/>
          <w:sz w:val="20"/>
        </w:rPr>
        <w:lastRenderedPageBreak/>
        <w:t>Table S4</w:t>
      </w:r>
      <w:r w:rsidRPr="008F28F2">
        <w:rPr>
          <w:rFonts w:ascii="Arial" w:hAnsi="Arial" w:cs="Arial"/>
          <w:color w:val="000000"/>
          <w:sz w:val="20"/>
        </w:rPr>
        <w:t xml:space="preserve">. </w:t>
      </w:r>
      <w:r w:rsidR="007E64AA" w:rsidRPr="008F28F2">
        <w:rPr>
          <w:rFonts w:ascii="Arial" w:hAnsi="Arial" w:cs="Arial"/>
          <w:b/>
          <w:bCs/>
          <w:color w:val="000000"/>
          <w:sz w:val="20"/>
        </w:rPr>
        <w:t>Summary of the final SAA outcome for PD47 and HC22 samples</w:t>
      </w:r>
      <w:r w:rsidR="007E64AA" w:rsidRPr="008F28F2">
        <w:rPr>
          <w:rFonts w:ascii="Arial" w:hAnsi="Arial" w:cs="Arial"/>
          <w:color w:val="000000"/>
          <w:sz w:val="20"/>
        </w:rPr>
        <w:t>. F</w:t>
      </w:r>
      <w:r w:rsidR="007E64AA" w:rsidRPr="008F28F2">
        <w:rPr>
          <w:rFonts w:ascii="Arial" w:hAnsi="Arial" w:cs="Arial"/>
          <w:color w:val="000000"/>
          <w:sz w:val="20"/>
          <w:vertAlign w:val="subscript"/>
        </w:rPr>
        <w:t>max</w:t>
      </w:r>
      <w:r w:rsidR="007E64AA" w:rsidRPr="008F28F2">
        <w:rPr>
          <w:rFonts w:ascii="Arial" w:hAnsi="Arial" w:cs="Arial"/>
          <w:color w:val="000000"/>
          <w:sz w:val="20"/>
        </w:rPr>
        <w:t xml:space="preserve"> values for each replicate and F</w:t>
      </w:r>
      <w:r w:rsidRPr="008F28F2">
        <w:rPr>
          <w:rFonts w:ascii="Arial" w:hAnsi="Arial" w:cs="Arial"/>
          <w:color w:val="000000"/>
          <w:sz w:val="20"/>
        </w:rPr>
        <w:t xml:space="preserve">inal SAA outcome for PD47 and HC22 </w:t>
      </w:r>
      <w:r w:rsidR="007E64AA" w:rsidRPr="008F28F2">
        <w:rPr>
          <w:rFonts w:ascii="Arial" w:hAnsi="Arial" w:cs="Arial"/>
          <w:color w:val="000000"/>
          <w:sz w:val="20"/>
        </w:rPr>
        <w:t xml:space="preserve">neat CSF </w:t>
      </w:r>
      <w:r w:rsidRPr="008F28F2">
        <w:rPr>
          <w:rFonts w:ascii="Arial" w:hAnsi="Arial" w:cs="Arial"/>
          <w:color w:val="000000"/>
          <w:sz w:val="20"/>
        </w:rPr>
        <w:t>samples</w:t>
      </w:r>
      <w:r w:rsidR="007E64AA" w:rsidRPr="008F28F2">
        <w:rPr>
          <w:rFonts w:ascii="Arial" w:hAnsi="Arial" w:cs="Arial"/>
          <w:color w:val="000000"/>
          <w:sz w:val="20"/>
        </w:rPr>
        <w:t xml:space="preserve"> (</w:t>
      </w:r>
      <w:r w:rsidR="007E64AA" w:rsidRPr="008F28F2">
        <w:rPr>
          <w:rFonts w:ascii="Arial" w:hAnsi="Arial" w:cs="Arial"/>
          <w:color w:val="000000"/>
          <w:sz w:val="20"/>
          <w:lang w:val="en-GB"/>
        </w:rPr>
        <w:t>1x physiological concentration) and the same samples additioned with, 0.006 mg/mL (2x physiological concentration) and 0.024 mg/mL (5x physiological concentration) HDL or LDL; 0 mg/mL (1x), 0.004 mg/mL (2X) and 0.016 mg/mL (5x) TTR; 0 mg/mL (1x), 0.04 mg/mL (2x) and 0.16 mg/mL (5x) HSA</w:t>
      </w:r>
      <w:r w:rsidRPr="008F28F2">
        <w:rPr>
          <w:rFonts w:ascii="Arial" w:hAnsi="Arial" w:cs="Arial"/>
          <w:color w:val="000000"/>
          <w:sz w:val="20"/>
        </w:rPr>
        <w:t xml:space="preserve">. The outcome was categorized as: positive (+) when 3/3 replicates were determined positive by the probabilistic algorithm, inconclusive (?) when 2/3 replicates were determined positive by the probabilistic algorithm, and negative (-) when just 1/3 or 0/3 replicates were determined positive by the probabilistic algorithm. </w:t>
      </w:r>
    </w:p>
    <w:p w14:paraId="30841FA0" w14:textId="473B3D5E" w:rsidR="0052086E" w:rsidRPr="008F28F2" w:rsidRDefault="0052086E" w:rsidP="001B39D0">
      <w:pPr>
        <w:keepNext/>
        <w:pBdr>
          <w:top w:val="nil"/>
          <w:left w:val="nil"/>
          <w:bottom w:val="nil"/>
          <w:right w:val="nil"/>
          <w:between w:val="nil"/>
        </w:pBdr>
        <w:spacing w:before="240" w:after="60"/>
        <w:contextualSpacing/>
        <w:rPr>
          <w:rFonts w:ascii="Arial" w:hAnsi="Arial" w:cs="Arial"/>
          <w:color w:val="000000"/>
          <w:sz w:val="20"/>
        </w:rPr>
      </w:pPr>
    </w:p>
    <w:tbl>
      <w:tblPr>
        <w:tblW w:w="5000" w:type="pct"/>
        <w:tblCellMar>
          <w:left w:w="0" w:type="dxa"/>
          <w:right w:w="0" w:type="dxa"/>
        </w:tblCellMar>
        <w:tblLook w:val="04A0" w:firstRow="1" w:lastRow="0" w:firstColumn="1" w:lastColumn="0" w:noHBand="0" w:noVBand="1"/>
      </w:tblPr>
      <w:tblGrid>
        <w:gridCol w:w="2904"/>
        <w:gridCol w:w="1436"/>
        <w:gridCol w:w="1436"/>
        <w:gridCol w:w="1437"/>
        <w:gridCol w:w="1407"/>
      </w:tblGrid>
      <w:tr w:rsidR="0052086E" w:rsidRPr="008F28F2" w14:paraId="47B8B97C" w14:textId="77777777" w:rsidTr="00F50C12">
        <w:trPr>
          <w:trHeight w:val="158"/>
        </w:trPr>
        <w:tc>
          <w:tcPr>
            <w:tcW w:w="1085" w:type="pct"/>
            <w:tcBorders>
              <w:top w:val="single" w:sz="6" w:space="0" w:color="000000"/>
              <w:left w:val="single" w:sz="8" w:space="0" w:color="000000"/>
              <w:bottom w:val="single" w:sz="6" w:space="0" w:color="000000"/>
              <w:right w:val="nil"/>
            </w:tcBorders>
            <w:shd w:val="clear" w:color="auto" w:fill="auto"/>
            <w:tcMar>
              <w:top w:w="13" w:type="dxa"/>
              <w:left w:w="21" w:type="dxa"/>
              <w:bottom w:w="0" w:type="dxa"/>
              <w:right w:w="21" w:type="dxa"/>
            </w:tcMar>
            <w:hideMark/>
          </w:tcPr>
          <w:p w14:paraId="788FEC04" w14:textId="77777777" w:rsidR="0052086E" w:rsidRPr="008F28F2" w:rsidRDefault="0052086E" w:rsidP="0052086E">
            <w:pPr>
              <w:rPr>
                <w:rFonts w:ascii="Arial" w:hAnsi="Arial" w:cs="Arial"/>
                <w:color w:val="000000"/>
                <w:sz w:val="20"/>
                <w:lang w:val="it-IT"/>
              </w:rPr>
            </w:pPr>
            <w:r w:rsidRPr="008F28F2">
              <w:rPr>
                <w:rFonts w:ascii="Arial" w:hAnsi="Arial" w:cs="Arial"/>
                <w:b/>
                <w:bCs/>
                <w:color w:val="000000"/>
                <w:sz w:val="20"/>
                <w:lang w:val="it-IT"/>
              </w:rPr>
              <w:t>Sample</w:t>
            </w:r>
          </w:p>
        </w:tc>
        <w:tc>
          <w:tcPr>
            <w:tcW w:w="983" w:type="pct"/>
            <w:tcBorders>
              <w:top w:val="single" w:sz="6" w:space="0" w:color="000000"/>
              <w:left w:val="nil"/>
              <w:bottom w:val="single" w:sz="6" w:space="0" w:color="000000"/>
              <w:right w:val="nil"/>
            </w:tcBorders>
            <w:shd w:val="clear" w:color="auto" w:fill="auto"/>
            <w:tcMar>
              <w:top w:w="13" w:type="dxa"/>
              <w:left w:w="21" w:type="dxa"/>
              <w:bottom w:w="0" w:type="dxa"/>
              <w:right w:w="21" w:type="dxa"/>
            </w:tcMar>
            <w:hideMark/>
          </w:tcPr>
          <w:p w14:paraId="445E5BBA" w14:textId="77777777" w:rsidR="0052086E" w:rsidRPr="008F28F2" w:rsidRDefault="0052086E" w:rsidP="00F50C12">
            <w:pPr>
              <w:jc w:val="center"/>
              <w:rPr>
                <w:rFonts w:ascii="Arial" w:hAnsi="Arial" w:cs="Arial"/>
                <w:color w:val="000000"/>
                <w:sz w:val="20"/>
                <w:lang w:val="it-IT"/>
              </w:rPr>
            </w:pPr>
            <w:r w:rsidRPr="008F28F2">
              <w:rPr>
                <w:rFonts w:ascii="Arial" w:hAnsi="Arial" w:cs="Arial"/>
                <w:b/>
                <w:bCs/>
                <w:color w:val="000000"/>
                <w:sz w:val="20"/>
                <w:lang w:val="it-IT"/>
              </w:rPr>
              <w:t>F</w:t>
            </w:r>
            <w:r w:rsidRPr="008F28F2">
              <w:rPr>
                <w:rFonts w:ascii="Arial" w:hAnsi="Arial" w:cs="Arial"/>
                <w:b/>
                <w:bCs/>
                <w:color w:val="000000"/>
                <w:sz w:val="20"/>
                <w:vertAlign w:val="subscript"/>
                <w:lang w:val="it-IT"/>
              </w:rPr>
              <w:t>max</w:t>
            </w:r>
            <w:r w:rsidRPr="008F28F2">
              <w:rPr>
                <w:rFonts w:ascii="Arial" w:hAnsi="Arial" w:cs="Arial"/>
                <w:b/>
                <w:bCs/>
                <w:color w:val="000000"/>
                <w:sz w:val="20"/>
                <w:lang w:val="it-IT"/>
              </w:rPr>
              <w:t>1 (a.u)</w:t>
            </w:r>
          </w:p>
        </w:tc>
        <w:tc>
          <w:tcPr>
            <w:tcW w:w="983" w:type="pct"/>
            <w:tcBorders>
              <w:top w:val="single" w:sz="6" w:space="0" w:color="000000"/>
              <w:left w:val="nil"/>
              <w:bottom w:val="single" w:sz="6" w:space="0" w:color="000000"/>
              <w:right w:val="nil"/>
            </w:tcBorders>
            <w:shd w:val="clear" w:color="auto" w:fill="auto"/>
            <w:tcMar>
              <w:top w:w="13" w:type="dxa"/>
              <w:left w:w="21" w:type="dxa"/>
              <w:bottom w:w="0" w:type="dxa"/>
              <w:right w:w="21" w:type="dxa"/>
            </w:tcMar>
            <w:hideMark/>
          </w:tcPr>
          <w:p w14:paraId="72F1B53A" w14:textId="77777777" w:rsidR="0052086E" w:rsidRPr="008F28F2" w:rsidRDefault="0052086E" w:rsidP="00F50C12">
            <w:pPr>
              <w:jc w:val="center"/>
              <w:rPr>
                <w:rFonts w:ascii="Arial" w:hAnsi="Arial" w:cs="Arial"/>
                <w:color w:val="000000"/>
                <w:sz w:val="20"/>
                <w:lang w:val="it-IT"/>
              </w:rPr>
            </w:pPr>
            <w:r w:rsidRPr="008F28F2">
              <w:rPr>
                <w:rFonts w:ascii="Arial" w:hAnsi="Arial" w:cs="Arial"/>
                <w:b/>
                <w:bCs/>
                <w:color w:val="000000"/>
                <w:sz w:val="20"/>
                <w:lang w:val="it-IT"/>
              </w:rPr>
              <w:t>F</w:t>
            </w:r>
            <w:r w:rsidRPr="008F28F2">
              <w:rPr>
                <w:rFonts w:ascii="Arial" w:hAnsi="Arial" w:cs="Arial"/>
                <w:b/>
                <w:bCs/>
                <w:color w:val="000000"/>
                <w:sz w:val="20"/>
                <w:vertAlign w:val="subscript"/>
                <w:lang w:val="it-IT"/>
              </w:rPr>
              <w:t>max</w:t>
            </w:r>
            <w:r w:rsidRPr="008F28F2">
              <w:rPr>
                <w:rFonts w:ascii="Arial" w:hAnsi="Arial" w:cs="Arial"/>
                <w:b/>
                <w:bCs/>
                <w:color w:val="000000"/>
                <w:sz w:val="20"/>
                <w:lang w:val="it-IT"/>
              </w:rPr>
              <w:t>2 (a.u)</w:t>
            </w:r>
          </w:p>
        </w:tc>
        <w:tc>
          <w:tcPr>
            <w:tcW w:w="983" w:type="pct"/>
            <w:tcBorders>
              <w:top w:val="single" w:sz="6" w:space="0" w:color="000000"/>
              <w:left w:val="nil"/>
              <w:bottom w:val="single" w:sz="6" w:space="0" w:color="000000"/>
              <w:right w:val="nil"/>
            </w:tcBorders>
            <w:shd w:val="clear" w:color="auto" w:fill="auto"/>
            <w:tcMar>
              <w:top w:w="13" w:type="dxa"/>
              <w:left w:w="21" w:type="dxa"/>
              <w:bottom w:w="0" w:type="dxa"/>
              <w:right w:w="21" w:type="dxa"/>
            </w:tcMar>
            <w:hideMark/>
          </w:tcPr>
          <w:p w14:paraId="3DC256ED" w14:textId="77777777" w:rsidR="0052086E" w:rsidRPr="008F28F2" w:rsidRDefault="0052086E" w:rsidP="00F50C12">
            <w:pPr>
              <w:jc w:val="center"/>
              <w:rPr>
                <w:rFonts w:ascii="Arial" w:hAnsi="Arial" w:cs="Arial"/>
                <w:color w:val="000000"/>
                <w:sz w:val="20"/>
                <w:lang w:val="it-IT"/>
              </w:rPr>
            </w:pPr>
            <w:r w:rsidRPr="008F28F2">
              <w:rPr>
                <w:rFonts w:ascii="Arial" w:hAnsi="Arial" w:cs="Arial"/>
                <w:b/>
                <w:bCs/>
                <w:color w:val="000000"/>
                <w:sz w:val="20"/>
                <w:lang w:val="it-IT"/>
              </w:rPr>
              <w:t>F</w:t>
            </w:r>
            <w:r w:rsidRPr="008F28F2">
              <w:rPr>
                <w:rFonts w:ascii="Arial" w:hAnsi="Arial" w:cs="Arial"/>
                <w:b/>
                <w:bCs/>
                <w:color w:val="000000"/>
                <w:sz w:val="20"/>
                <w:vertAlign w:val="subscript"/>
                <w:lang w:val="it-IT"/>
              </w:rPr>
              <w:t>max</w:t>
            </w:r>
            <w:r w:rsidRPr="008F28F2">
              <w:rPr>
                <w:rFonts w:ascii="Arial" w:hAnsi="Arial" w:cs="Arial"/>
                <w:b/>
                <w:bCs/>
                <w:color w:val="000000"/>
                <w:sz w:val="20"/>
                <w:lang w:val="it-IT"/>
              </w:rPr>
              <w:t>3 (a.u)</w:t>
            </w:r>
          </w:p>
        </w:tc>
        <w:tc>
          <w:tcPr>
            <w:tcW w:w="967" w:type="pct"/>
            <w:tcBorders>
              <w:top w:val="single" w:sz="6" w:space="0" w:color="000000"/>
              <w:left w:val="nil"/>
              <w:bottom w:val="single" w:sz="6" w:space="0" w:color="000000"/>
              <w:right w:val="single" w:sz="8" w:space="0" w:color="000000"/>
            </w:tcBorders>
            <w:shd w:val="clear" w:color="auto" w:fill="auto"/>
            <w:tcMar>
              <w:top w:w="13" w:type="dxa"/>
              <w:left w:w="21" w:type="dxa"/>
              <w:bottom w:w="0" w:type="dxa"/>
              <w:right w:w="21" w:type="dxa"/>
            </w:tcMar>
            <w:hideMark/>
          </w:tcPr>
          <w:p w14:paraId="638D8874" w14:textId="77777777" w:rsidR="0052086E" w:rsidRPr="008F28F2" w:rsidRDefault="0052086E" w:rsidP="00F50C12">
            <w:pPr>
              <w:jc w:val="center"/>
              <w:rPr>
                <w:rFonts w:ascii="Arial" w:hAnsi="Arial" w:cs="Arial"/>
                <w:color w:val="000000"/>
                <w:sz w:val="20"/>
                <w:lang w:val="it-IT"/>
              </w:rPr>
            </w:pPr>
            <w:r w:rsidRPr="008F28F2">
              <w:rPr>
                <w:rFonts w:ascii="Arial" w:hAnsi="Arial" w:cs="Arial"/>
                <w:b/>
                <w:bCs/>
                <w:color w:val="000000"/>
                <w:sz w:val="20"/>
                <w:lang w:val="it-IT"/>
              </w:rPr>
              <w:t>(+/?/-)</w:t>
            </w:r>
          </w:p>
        </w:tc>
      </w:tr>
      <w:tr w:rsidR="0052086E" w:rsidRPr="008F28F2" w14:paraId="63C16829" w14:textId="77777777" w:rsidTr="00F50C12">
        <w:trPr>
          <w:trHeight w:val="158"/>
        </w:trPr>
        <w:tc>
          <w:tcPr>
            <w:tcW w:w="1085" w:type="pct"/>
            <w:tcBorders>
              <w:top w:val="single" w:sz="6" w:space="0" w:color="000000"/>
              <w:left w:val="single" w:sz="8" w:space="0" w:color="000000"/>
              <w:bottom w:val="nil"/>
              <w:right w:val="nil"/>
            </w:tcBorders>
            <w:shd w:val="clear" w:color="auto" w:fill="auto"/>
            <w:tcMar>
              <w:top w:w="13" w:type="dxa"/>
              <w:left w:w="21" w:type="dxa"/>
              <w:bottom w:w="0" w:type="dxa"/>
              <w:right w:w="21" w:type="dxa"/>
            </w:tcMar>
            <w:vAlign w:val="center"/>
            <w:hideMark/>
          </w:tcPr>
          <w:p w14:paraId="14B0A0BE"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 xml:space="preserve">PD47 </w:t>
            </w:r>
            <w:proofErr w:type="spellStart"/>
            <w:r w:rsidRPr="008F28F2">
              <w:rPr>
                <w:rFonts w:ascii="Arial" w:hAnsi="Arial" w:cs="Arial"/>
                <w:color w:val="000000"/>
                <w:sz w:val="20"/>
                <w:lang w:val="it-IT"/>
              </w:rPr>
              <w:t>neat</w:t>
            </w:r>
            <w:proofErr w:type="spellEnd"/>
          </w:p>
        </w:tc>
        <w:tc>
          <w:tcPr>
            <w:tcW w:w="983" w:type="pct"/>
            <w:tcBorders>
              <w:top w:val="single" w:sz="6" w:space="0" w:color="000000"/>
              <w:left w:val="nil"/>
              <w:bottom w:val="nil"/>
              <w:right w:val="nil"/>
            </w:tcBorders>
            <w:shd w:val="clear" w:color="auto" w:fill="F8696B"/>
            <w:tcMar>
              <w:top w:w="13" w:type="dxa"/>
              <w:left w:w="21" w:type="dxa"/>
              <w:bottom w:w="0" w:type="dxa"/>
              <w:right w:w="21" w:type="dxa"/>
            </w:tcMar>
            <w:vAlign w:val="center"/>
            <w:hideMark/>
          </w:tcPr>
          <w:p w14:paraId="57135291"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51797</w:t>
            </w:r>
          </w:p>
        </w:tc>
        <w:tc>
          <w:tcPr>
            <w:tcW w:w="983" w:type="pct"/>
            <w:tcBorders>
              <w:top w:val="single" w:sz="6" w:space="0" w:color="000000"/>
              <w:left w:val="nil"/>
              <w:bottom w:val="nil"/>
              <w:right w:val="nil"/>
            </w:tcBorders>
            <w:shd w:val="clear" w:color="auto" w:fill="F8696B"/>
            <w:tcMar>
              <w:top w:w="13" w:type="dxa"/>
              <w:left w:w="21" w:type="dxa"/>
              <w:bottom w:w="0" w:type="dxa"/>
              <w:right w:w="21" w:type="dxa"/>
            </w:tcMar>
            <w:vAlign w:val="center"/>
            <w:hideMark/>
          </w:tcPr>
          <w:p w14:paraId="1B5371B3"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75341</w:t>
            </w:r>
          </w:p>
        </w:tc>
        <w:tc>
          <w:tcPr>
            <w:tcW w:w="983" w:type="pct"/>
            <w:tcBorders>
              <w:top w:val="single" w:sz="6" w:space="0" w:color="000000"/>
              <w:left w:val="nil"/>
              <w:bottom w:val="nil"/>
              <w:right w:val="nil"/>
            </w:tcBorders>
            <w:shd w:val="clear" w:color="auto" w:fill="FA9698"/>
            <w:tcMar>
              <w:top w:w="13" w:type="dxa"/>
              <w:left w:w="21" w:type="dxa"/>
              <w:bottom w:w="0" w:type="dxa"/>
              <w:right w:w="21" w:type="dxa"/>
            </w:tcMar>
            <w:vAlign w:val="center"/>
            <w:hideMark/>
          </w:tcPr>
          <w:p w14:paraId="6B3D9E84"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37890</w:t>
            </w:r>
          </w:p>
        </w:tc>
        <w:tc>
          <w:tcPr>
            <w:tcW w:w="967" w:type="pct"/>
            <w:tcBorders>
              <w:top w:val="single" w:sz="6" w:space="0" w:color="000000"/>
              <w:left w:val="nil"/>
              <w:bottom w:val="nil"/>
              <w:right w:val="single" w:sz="8" w:space="0" w:color="000000"/>
            </w:tcBorders>
            <w:shd w:val="clear" w:color="auto" w:fill="auto"/>
            <w:tcMar>
              <w:top w:w="13" w:type="dxa"/>
              <w:left w:w="21" w:type="dxa"/>
              <w:bottom w:w="0" w:type="dxa"/>
              <w:right w:w="21" w:type="dxa"/>
            </w:tcMar>
            <w:vAlign w:val="center"/>
            <w:hideMark/>
          </w:tcPr>
          <w:p w14:paraId="35F71A86"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100EC8A5"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0DC5D2CD"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PD47 2x HDL</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7934B725"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59834</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7662FAE1"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73296</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4E3F6E11"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63038</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726E6467"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590B22EF"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223413EC"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PD47 5x HDL</w:t>
            </w:r>
          </w:p>
        </w:tc>
        <w:tc>
          <w:tcPr>
            <w:tcW w:w="983" w:type="pct"/>
            <w:tcBorders>
              <w:top w:val="nil"/>
              <w:left w:val="nil"/>
              <w:bottom w:val="nil"/>
              <w:right w:val="nil"/>
            </w:tcBorders>
            <w:shd w:val="clear" w:color="auto" w:fill="8BACD7"/>
            <w:tcMar>
              <w:top w:w="13" w:type="dxa"/>
              <w:left w:w="21" w:type="dxa"/>
              <w:bottom w:w="0" w:type="dxa"/>
              <w:right w:w="21" w:type="dxa"/>
            </w:tcMar>
            <w:vAlign w:val="center"/>
            <w:hideMark/>
          </w:tcPr>
          <w:p w14:paraId="42ECFE21"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3148</w:t>
            </w:r>
          </w:p>
        </w:tc>
        <w:tc>
          <w:tcPr>
            <w:tcW w:w="983" w:type="pct"/>
            <w:tcBorders>
              <w:top w:val="nil"/>
              <w:left w:val="nil"/>
              <w:bottom w:val="nil"/>
              <w:right w:val="nil"/>
            </w:tcBorders>
            <w:shd w:val="clear" w:color="auto" w:fill="FA989B"/>
            <w:tcMar>
              <w:top w:w="13" w:type="dxa"/>
              <w:left w:w="21" w:type="dxa"/>
              <w:bottom w:w="0" w:type="dxa"/>
              <w:right w:w="21" w:type="dxa"/>
            </w:tcMar>
            <w:vAlign w:val="center"/>
            <w:hideMark/>
          </w:tcPr>
          <w:p w14:paraId="18DE1713"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37277</w:t>
            </w:r>
          </w:p>
        </w:tc>
        <w:tc>
          <w:tcPr>
            <w:tcW w:w="983" w:type="pct"/>
            <w:tcBorders>
              <w:top w:val="nil"/>
              <w:left w:val="nil"/>
              <w:bottom w:val="nil"/>
              <w:right w:val="nil"/>
            </w:tcBorders>
            <w:shd w:val="clear" w:color="auto" w:fill="F9797B"/>
            <w:tcMar>
              <w:top w:w="13" w:type="dxa"/>
              <w:left w:w="21" w:type="dxa"/>
              <w:bottom w:w="0" w:type="dxa"/>
              <w:right w:w="21" w:type="dxa"/>
            </w:tcMar>
            <w:vAlign w:val="center"/>
            <w:hideMark/>
          </w:tcPr>
          <w:p w14:paraId="1B27FAA3"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45754</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67C704AC"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5258D278"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1B480C9C"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PD47 2x LDL</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361871B9"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61690</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62CF90C2"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66693</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4FF1586A"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58508</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78D9B099"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252A1372"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348F2D38"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PD47 5x LDL</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73C69F32"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59274</w:t>
            </w:r>
          </w:p>
        </w:tc>
        <w:tc>
          <w:tcPr>
            <w:tcW w:w="983" w:type="pct"/>
            <w:tcBorders>
              <w:top w:val="nil"/>
              <w:left w:val="nil"/>
              <w:bottom w:val="nil"/>
              <w:right w:val="nil"/>
            </w:tcBorders>
            <w:shd w:val="clear" w:color="auto" w:fill="FCEBEE"/>
            <w:tcMar>
              <w:top w:w="13" w:type="dxa"/>
              <w:left w:w="21" w:type="dxa"/>
              <w:bottom w:w="0" w:type="dxa"/>
              <w:right w:w="21" w:type="dxa"/>
            </w:tcMar>
            <w:vAlign w:val="center"/>
            <w:hideMark/>
          </w:tcPr>
          <w:p w14:paraId="25D649E9"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14758</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28DE3627"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55548</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6FD04D15"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7ABA4679"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5A38B6C8"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PD47 2x TTR</w:t>
            </w:r>
          </w:p>
        </w:tc>
        <w:tc>
          <w:tcPr>
            <w:tcW w:w="983" w:type="pct"/>
            <w:tcBorders>
              <w:top w:val="nil"/>
              <w:left w:val="nil"/>
              <w:bottom w:val="nil"/>
              <w:right w:val="nil"/>
            </w:tcBorders>
            <w:shd w:val="clear" w:color="auto" w:fill="F9888B"/>
            <w:tcMar>
              <w:top w:w="13" w:type="dxa"/>
              <w:left w:w="21" w:type="dxa"/>
              <w:bottom w:w="0" w:type="dxa"/>
              <w:right w:w="21" w:type="dxa"/>
            </w:tcMar>
            <w:vAlign w:val="center"/>
            <w:hideMark/>
          </w:tcPr>
          <w:p w14:paraId="4CC9039A"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41581</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569C08D4"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56848</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3B0B9DB5"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54429</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47AE09C9"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3E84FC03"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572E83B8"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PD47 5x TTR</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2E801C1C"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50889</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03C33817"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56382</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734B7CA1"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71270</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31F9281F"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1D18C2ED"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0EC4D543"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PD47 2x HSA</w:t>
            </w:r>
          </w:p>
        </w:tc>
        <w:tc>
          <w:tcPr>
            <w:tcW w:w="983" w:type="pct"/>
            <w:tcBorders>
              <w:top w:val="nil"/>
              <w:left w:val="nil"/>
              <w:bottom w:val="nil"/>
              <w:right w:val="nil"/>
            </w:tcBorders>
            <w:shd w:val="clear" w:color="auto" w:fill="F97C7E"/>
            <w:tcMar>
              <w:top w:w="13" w:type="dxa"/>
              <w:left w:w="21" w:type="dxa"/>
              <w:bottom w:w="0" w:type="dxa"/>
              <w:right w:w="21" w:type="dxa"/>
            </w:tcMar>
            <w:vAlign w:val="center"/>
            <w:hideMark/>
          </w:tcPr>
          <w:p w14:paraId="30361A79"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45101</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26A2511A"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79406</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3C0E0E50"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53426</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0247F1ED"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466E6D7C"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59FACFEC"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PD47 5x HSA</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060768B4"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54536</w:t>
            </w:r>
          </w:p>
        </w:tc>
        <w:tc>
          <w:tcPr>
            <w:tcW w:w="983" w:type="pct"/>
            <w:tcBorders>
              <w:top w:val="nil"/>
              <w:left w:val="nil"/>
              <w:bottom w:val="nil"/>
              <w:right w:val="nil"/>
            </w:tcBorders>
            <w:shd w:val="clear" w:color="auto" w:fill="F98082"/>
            <w:tcMar>
              <w:top w:w="13" w:type="dxa"/>
              <w:left w:w="21" w:type="dxa"/>
              <w:bottom w:w="0" w:type="dxa"/>
              <w:right w:w="21" w:type="dxa"/>
            </w:tcMar>
            <w:vAlign w:val="center"/>
            <w:hideMark/>
          </w:tcPr>
          <w:p w14:paraId="65487E4E"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43938</w:t>
            </w:r>
          </w:p>
        </w:tc>
        <w:tc>
          <w:tcPr>
            <w:tcW w:w="983" w:type="pct"/>
            <w:tcBorders>
              <w:top w:val="nil"/>
              <w:left w:val="nil"/>
              <w:bottom w:val="nil"/>
              <w:right w:val="nil"/>
            </w:tcBorders>
            <w:shd w:val="clear" w:color="auto" w:fill="F8696B"/>
            <w:tcMar>
              <w:top w:w="13" w:type="dxa"/>
              <w:left w:w="21" w:type="dxa"/>
              <w:bottom w:w="0" w:type="dxa"/>
              <w:right w:w="21" w:type="dxa"/>
            </w:tcMar>
            <w:vAlign w:val="center"/>
            <w:hideMark/>
          </w:tcPr>
          <w:p w14:paraId="29226A07"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55022</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284A5367"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681BD90C"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156B0A70"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 xml:space="preserve">HC22 </w:t>
            </w:r>
            <w:proofErr w:type="spellStart"/>
            <w:r w:rsidRPr="008F28F2">
              <w:rPr>
                <w:rFonts w:ascii="Arial" w:hAnsi="Arial" w:cs="Arial"/>
                <w:color w:val="000000"/>
                <w:sz w:val="20"/>
                <w:lang w:val="it-IT"/>
              </w:rPr>
              <w:t>neat</w:t>
            </w:r>
            <w:proofErr w:type="spellEnd"/>
          </w:p>
        </w:tc>
        <w:tc>
          <w:tcPr>
            <w:tcW w:w="983" w:type="pct"/>
            <w:tcBorders>
              <w:top w:val="nil"/>
              <w:left w:val="nil"/>
              <w:bottom w:val="nil"/>
              <w:right w:val="nil"/>
            </w:tcBorders>
            <w:shd w:val="clear" w:color="auto" w:fill="F1F4FB"/>
            <w:tcMar>
              <w:top w:w="13" w:type="dxa"/>
              <w:left w:w="21" w:type="dxa"/>
              <w:bottom w:w="0" w:type="dxa"/>
              <w:right w:w="21" w:type="dxa"/>
            </w:tcMar>
            <w:vAlign w:val="center"/>
            <w:hideMark/>
          </w:tcPr>
          <w:p w14:paraId="467C1CBD"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9345</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22676564"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126</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73A961ED"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129</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441EAE91"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1762AD1B"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0F62A28A"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HC22 2x HDL</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5602414D"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126</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2F901784"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128</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45E2F60C"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134</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2F06150F"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4E013E4A"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3F979151"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HC22 5x HDL</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34AEA638"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130</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2B2B8B5C"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134</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408E1A2B"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137</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268EC3FB"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3370E666"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20BF6903"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HC22 2x LDL</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6A2C608B"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133</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4380A723"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136</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3998C01C"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134</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340EB635"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59CA4607"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0D43940D"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HC22 5x LDL</w:t>
            </w:r>
          </w:p>
        </w:tc>
        <w:tc>
          <w:tcPr>
            <w:tcW w:w="983" w:type="pct"/>
            <w:tcBorders>
              <w:top w:val="nil"/>
              <w:left w:val="nil"/>
              <w:bottom w:val="nil"/>
              <w:right w:val="nil"/>
            </w:tcBorders>
            <w:shd w:val="clear" w:color="auto" w:fill="C3D4EB"/>
            <w:tcMar>
              <w:top w:w="13" w:type="dxa"/>
              <w:left w:w="21" w:type="dxa"/>
              <w:bottom w:w="0" w:type="dxa"/>
              <w:right w:w="21" w:type="dxa"/>
            </w:tcMar>
            <w:vAlign w:val="center"/>
            <w:hideMark/>
          </w:tcPr>
          <w:p w14:paraId="749364A7"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6566</w:t>
            </w:r>
          </w:p>
        </w:tc>
        <w:tc>
          <w:tcPr>
            <w:tcW w:w="983" w:type="pct"/>
            <w:tcBorders>
              <w:top w:val="nil"/>
              <w:left w:val="nil"/>
              <w:bottom w:val="nil"/>
              <w:right w:val="nil"/>
            </w:tcBorders>
            <w:shd w:val="clear" w:color="auto" w:fill="5E8CC7"/>
            <w:tcMar>
              <w:top w:w="13" w:type="dxa"/>
              <w:left w:w="21" w:type="dxa"/>
              <w:bottom w:w="0" w:type="dxa"/>
              <w:right w:w="21" w:type="dxa"/>
            </w:tcMar>
            <w:vAlign w:val="center"/>
            <w:hideMark/>
          </w:tcPr>
          <w:p w14:paraId="558941C5"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369</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0DACFA03"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158</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3FFFF798"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495B682C"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3FED6325"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HC22 2x TTR</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11014BCD"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125</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79C5A447"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129</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2E3C2976"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138</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550F5C79"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6CC015D4"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52B82E22"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HC22 5x TTR</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7ECEB97F"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129</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5BAF3399"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145</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6B5B552A"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145</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29DF0B45"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4EA8628A" w14:textId="77777777" w:rsidTr="00F50C12">
        <w:trPr>
          <w:trHeight w:val="158"/>
        </w:trPr>
        <w:tc>
          <w:tcPr>
            <w:tcW w:w="1085" w:type="pct"/>
            <w:tcBorders>
              <w:top w:val="nil"/>
              <w:left w:val="single" w:sz="8" w:space="0" w:color="000000"/>
              <w:bottom w:val="nil"/>
              <w:right w:val="nil"/>
            </w:tcBorders>
            <w:shd w:val="clear" w:color="auto" w:fill="auto"/>
            <w:tcMar>
              <w:top w:w="13" w:type="dxa"/>
              <w:left w:w="21" w:type="dxa"/>
              <w:bottom w:w="0" w:type="dxa"/>
              <w:right w:w="21" w:type="dxa"/>
            </w:tcMar>
            <w:vAlign w:val="center"/>
            <w:hideMark/>
          </w:tcPr>
          <w:p w14:paraId="201255F6"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HC22 2x HSA</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7A78803A"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133</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7BDC244F"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134</w:t>
            </w:r>
          </w:p>
        </w:tc>
        <w:tc>
          <w:tcPr>
            <w:tcW w:w="983" w:type="pct"/>
            <w:tcBorders>
              <w:top w:val="nil"/>
              <w:left w:val="nil"/>
              <w:bottom w:val="nil"/>
              <w:right w:val="nil"/>
            </w:tcBorders>
            <w:shd w:val="clear" w:color="auto" w:fill="5A8AC6"/>
            <w:tcMar>
              <w:top w:w="13" w:type="dxa"/>
              <w:left w:w="21" w:type="dxa"/>
              <w:bottom w:w="0" w:type="dxa"/>
              <w:right w:w="21" w:type="dxa"/>
            </w:tcMar>
            <w:vAlign w:val="center"/>
            <w:hideMark/>
          </w:tcPr>
          <w:p w14:paraId="4769D2A0"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142</w:t>
            </w:r>
          </w:p>
        </w:tc>
        <w:tc>
          <w:tcPr>
            <w:tcW w:w="967" w:type="pct"/>
            <w:tcBorders>
              <w:top w:val="nil"/>
              <w:left w:val="nil"/>
              <w:bottom w:val="nil"/>
              <w:right w:val="single" w:sz="8" w:space="0" w:color="000000"/>
            </w:tcBorders>
            <w:shd w:val="clear" w:color="auto" w:fill="auto"/>
            <w:tcMar>
              <w:top w:w="13" w:type="dxa"/>
              <w:left w:w="21" w:type="dxa"/>
              <w:bottom w:w="0" w:type="dxa"/>
              <w:right w:w="21" w:type="dxa"/>
            </w:tcMar>
            <w:vAlign w:val="center"/>
            <w:hideMark/>
          </w:tcPr>
          <w:p w14:paraId="41C21B91"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4EABFDDE" w14:textId="77777777" w:rsidTr="00F50C12">
        <w:trPr>
          <w:trHeight w:val="158"/>
        </w:trPr>
        <w:tc>
          <w:tcPr>
            <w:tcW w:w="1085" w:type="pct"/>
            <w:tcBorders>
              <w:top w:val="nil"/>
              <w:left w:val="single" w:sz="8" w:space="0" w:color="000000"/>
              <w:bottom w:val="single" w:sz="6" w:space="0" w:color="000000"/>
              <w:right w:val="nil"/>
            </w:tcBorders>
            <w:shd w:val="clear" w:color="auto" w:fill="auto"/>
            <w:tcMar>
              <w:top w:w="13" w:type="dxa"/>
              <w:left w:w="21" w:type="dxa"/>
              <w:bottom w:w="0" w:type="dxa"/>
              <w:right w:w="21" w:type="dxa"/>
            </w:tcMar>
            <w:vAlign w:val="center"/>
            <w:hideMark/>
          </w:tcPr>
          <w:p w14:paraId="2CD9324F"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HC22 5x HSA</w:t>
            </w:r>
          </w:p>
        </w:tc>
        <w:tc>
          <w:tcPr>
            <w:tcW w:w="983" w:type="pct"/>
            <w:tcBorders>
              <w:top w:val="nil"/>
              <w:left w:val="nil"/>
              <w:bottom w:val="single" w:sz="6" w:space="0" w:color="000000"/>
              <w:right w:val="nil"/>
            </w:tcBorders>
            <w:shd w:val="clear" w:color="auto" w:fill="5A8AC6"/>
            <w:tcMar>
              <w:top w:w="13" w:type="dxa"/>
              <w:left w:w="21" w:type="dxa"/>
              <w:bottom w:w="0" w:type="dxa"/>
              <w:right w:w="21" w:type="dxa"/>
            </w:tcMar>
            <w:vAlign w:val="center"/>
            <w:hideMark/>
          </w:tcPr>
          <w:p w14:paraId="236BC2F0"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134</w:t>
            </w:r>
          </w:p>
        </w:tc>
        <w:tc>
          <w:tcPr>
            <w:tcW w:w="983" w:type="pct"/>
            <w:tcBorders>
              <w:top w:val="nil"/>
              <w:left w:val="nil"/>
              <w:bottom w:val="single" w:sz="6" w:space="0" w:color="000000"/>
              <w:right w:val="nil"/>
            </w:tcBorders>
            <w:shd w:val="clear" w:color="auto" w:fill="5A8AC6"/>
            <w:tcMar>
              <w:top w:w="13" w:type="dxa"/>
              <w:left w:w="21" w:type="dxa"/>
              <w:bottom w:w="0" w:type="dxa"/>
              <w:right w:w="21" w:type="dxa"/>
            </w:tcMar>
            <w:vAlign w:val="center"/>
            <w:hideMark/>
          </w:tcPr>
          <w:p w14:paraId="78223A8A"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137</w:t>
            </w:r>
          </w:p>
        </w:tc>
        <w:tc>
          <w:tcPr>
            <w:tcW w:w="983" w:type="pct"/>
            <w:tcBorders>
              <w:top w:val="nil"/>
              <w:left w:val="nil"/>
              <w:bottom w:val="single" w:sz="6" w:space="0" w:color="000000"/>
              <w:right w:val="nil"/>
            </w:tcBorders>
            <w:shd w:val="clear" w:color="auto" w:fill="5A8AC6"/>
            <w:tcMar>
              <w:top w:w="13" w:type="dxa"/>
              <w:left w:w="21" w:type="dxa"/>
              <w:bottom w:w="0" w:type="dxa"/>
              <w:right w:w="21" w:type="dxa"/>
            </w:tcMar>
            <w:vAlign w:val="center"/>
            <w:hideMark/>
          </w:tcPr>
          <w:p w14:paraId="542CB9AA"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141</w:t>
            </w:r>
          </w:p>
        </w:tc>
        <w:tc>
          <w:tcPr>
            <w:tcW w:w="967" w:type="pct"/>
            <w:tcBorders>
              <w:top w:val="nil"/>
              <w:left w:val="nil"/>
              <w:bottom w:val="single" w:sz="6" w:space="0" w:color="000000"/>
              <w:right w:val="single" w:sz="8" w:space="0" w:color="000000"/>
            </w:tcBorders>
            <w:shd w:val="clear" w:color="auto" w:fill="auto"/>
            <w:tcMar>
              <w:top w:w="13" w:type="dxa"/>
              <w:left w:w="21" w:type="dxa"/>
              <w:bottom w:w="0" w:type="dxa"/>
              <w:right w:w="21" w:type="dxa"/>
            </w:tcMar>
            <w:vAlign w:val="center"/>
            <w:hideMark/>
          </w:tcPr>
          <w:p w14:paraId="52DBA093" w14:textId="77777777" w:rsidR="0052086E" w:rsidRPr="008F28F2" w:rsidRDefault="0052086E" w:rsidP="00F50C12">
            <w:pPr>
              <w:jc w:val="center"/>
              <w:rPr>
                <w:rFonts w:ascii="Arial" w:hAnsi="Arial" w:cs="Arial"/>
                <w:color w:val="000000"/>
                <w:sz w:val="20"/>
                <w:lang w:val="it-IT"/>
              </w:rPr>
            </w:pPr>
            <w:r w:rsidRPr="008F28F2">
              <w:rPr>
                <w:rFonts w:ascii="Arial" w:hAnsi="Arial" w:cs="Arial"/>
                <w:color w:val="000000"/>
                <w:sz w:val="20"/>
                <w:lang w:val="it-IT"/>
              </w:rPr>
              <w:t>-</w:t>
            </w:r>
          </w:p>
        </w:tc>
      </w:tr>
      <w:tr w:rsidR="0052086E" w:rsidRPr="008F28F2" w14:paraId="0631C06E" w14:textId="77777777" w:rsidTr="00F50C12">
        <w:trPr>
          <w:trHeight w:val="198"/>
        </w:trPr>
        <w:tc>
          <w:tcPr>
            <w:tcW w:w="1085" w:type="pct"/>
            <w:tcBorders>
              <w:top w:val="single" w:sz="6" w:space="0" w:color="000000"/>
              <w:left w:val="nil"/>
              <w:bottom w:val="nil"/>
              <w:right w:val="nil"/>
            </w:tcBorders>
            <w:shd w:val="clear" w:color="auto" w:fill="auto"/>
            <w:tcMar>
              <w:top w:w="13" w:type="dxa"/>
              <w:left w:w="21" w:type="dxa"/>
              <w:bottom w:w="0" w:type="dxa"/>
              <w:right w:w="21" w:type="dxa"/>
            </w:tcMar>
            <w:vAlign w:val="center"/>
            <w:hideMark/>
          </w:tcPr>
          <w:p w14:paraId="37371F04" w14:textId="0BA4EFA1" w:rsidR="0052086E" w:rsidRPr="008F28F2" w:rsidRDefault="0052086E" w:rsidP="0052086E">
            <w:pPr>
              <w:rPr>
                <w:rFonts w:ascii="Arial" w:hAnsi="Arial" w:cs="Arial"/>
                <w:color w:val="000000"/>
                <w:sz w:val="20"/>
                <w:lang w:val="it-IT"/>
              </w:rPr>
            </w:pPr>
            <w:r w:rsidRPr="008F28F2">
              <w:rPr>
                <w:rFonts w:ascii="Arial" w:hAnsi="Arial" w:cs="Arial"/>
                <w:noProof/>
                <w:color w:val="000000"/>
                <w:sz w:val="20"/>
              </w:rPr>
              <w:drawing>
                <wp:inline distT="0" distB="0" distL="0" distR="0" wp14:anchorId="5189AD42" wp14:editId="29C8988A">
                  <wp:extent cx="1818001" cy="108040"/>
                  <wp:effectExtent l="0" t="0" r="0" b="6350"/>
                  <wp:docPr id="32" name="Immagine 31">
                    <a:extLst xmlns:a="http://schemas.openxmlformats.org/drawingml/2006/main">
                      <a:ext uri="{FF2B5EF4-FFF2-40B4-BE49-F238E27FC236}">
                        <a16:creationId xmlns:a16="http://schemas.microsoft.com/office/drawing/2014/main" id="{DD1E9CA3-B49F-4D69-95B6-42A209E9EF5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magine 31">
                            <a:extLst>
                              <a:ext uri="{FF2B5EF4-FFF2-40B4-BE49-F238E27FC236}">
                                <a16:creationId xmlns:a16="http://schemas.microsoft.com/office/drawing/2014/main" id="{DD1E9CA3-B49F-4D69-95B6-42A209E9EF56}"/>
                              </a:ext>
                            </a:extLst>
                          </pic:cNvPr>
                          <pic:cNvPicPr>
                            <a:picLocks/>
                          </pic:cNvPicPr>
                        </pic:nvPicPr>
                        <pic:blipFill>
                          <a:blip r:embed="rId22"/>
                          <a:stretch>
                            <a:fillRect/>
                          </a:stretch>
                        </pic:blipFill>
                        <pic:spPr>
                          <a:xfrm>
                            <a:off x="0" y="0"/>
                            <a:ext cx="1818001" cy="108040"/>
                          </a:xfrm>
                          <a:prstGeom prst="rect">
                            <a:avLst/>
                          </a:prstGeom>
                        </pic:spPr>
                      </pic:pic>
                    </a:graphicData>
                  </a:graphic>
                </wp:inline>
              </w:drawing>
            </w:r>
          </w:p>
        </w:tc>
        <w:tc>
          <w:tcPr>
            <w:tcW w:w="983" w:type="pct"/>
            <w:tcBorders>
              <w:top w:val="single" w:sz="6" w:space="0" w:color="000000"/>
              <w:left w:val="nil"/>
              <w:bottom w:val="nil"/>
              <w:right w:val="nil"/>
            </w:tcBorders>
            <w:shd w:val="clear" w:color="auto" w:fill="auto"/>
            <w:tcMar>
              <w:top w:w="13" w:type="dxa"/>
              <w:left w:w="21" w:type="dxa"/>
              <w:bottom w:w="0" w:type="dxa"/>
              <w:right w:w="21" w:type="dxa"/>
            </w:tcMar>
            <w:vAlign w:val="center"/>
            <w:hideMark/>
          </w:tcPr>
          <w:p w14:paraId="58ADAF79" w14:textId="77777777" w:rsidR="0052086E" w:rsidRPr="008F28F2" w:rsidRDefault="0052086E" w:rsidP="0052086E">
            <w:pPr>
              <w:rPr>
                <w:rFonts w:ascii="Arial" w:hAnsi="Arial" w:cs="Arial"/>
                <w:color w:val="000000"/>
                <w:sz w:val="20"/>
                <w:lang w:val="it-IT"/>
              </w:rPr>
            </w:pPr>
          </w:p>
        </w:tc>
        <w:tc>
          <w:tcPr>
            <w:tcW w:w="983" w:type="pct"/>
            <w:tcBorders>
              <w:top w:val="single" w:sz="6" w:space="0" w:color="000000"/>
              <w:left w:val="nil"/>
              <w:bottom w:val="nil"/>
              <w:right w:val="nil"/>
            </w:tcBorders>
            <w:shd w:val="clear" w:color="auto" w:fill="auto"/>
            <w:tcMar>
              <w:top w:w="13" w:type="dxa"/>
              <w:left w:w="21" w:type="dxa"/>
              <w:bottom w:w="0" w:type="dxa"/>
              <w:right w:w="21" w:type="dxa"/>
            </w:tcMar>
            <w:vAlign w:val="center"/>
            <w:hideMark/>
          </w:tcPr>
          <w:p w14:paraId="1A3198B0" w14:textId="77777777" w:rsidR="0052086E" w:rsidRPr="008F28F2" w:rsidRDefault="0052086E" w:rsidP="0052086E">
            <w:pPr>
              <w:rPr>
                <w:rFonts w:ascii="Arial" w:hAnsi="Arial" w:cs="Arial"/>
                <w:color w:val="000000"/>
                <w:sz w:val="20"/>
                <w:lang w:val="it-IT"/>
              </w:rPr>
            </w:pPr>
          </w:p>
        </w:tc>
        <w:tc>
          <w:tcPr>
            <w:tcW w:w="983" w:type="pct"/>
            <w:tcBorders>
              <w:top w:val="single" w:sz="6" w:space="0" w:color="000000"/>
              <w:left w:val="nil"/>
              <w:bottom w:val="nil"/>
              <w:right w:val="nil"/>
            </w:tcBorders>
            <w:shd w:val="clear" w:color="auto" w:fill="auto"/>
            <w:tcMar>
              <w:top w:w="13" w:type="dxa"/>
              <w:left w:w="21" w:type="dxa"/>
              <w:bottom w:w="0" w:type="dxa"/>
              <w:right w:w="21" w:type="dxa"/>
            </w:tcMar>
            <w:vAlign w:val="center"/>
            <w:hideMark/>
          </w:tcPr>
          <w:p w14:paraId="7BBB68B5" w14:textId="77777777" w:rsidR="0052086E" w:rsidRPr="008F28F2" w:rsidRDefault="0052086E" w:rsidP="0052086E">
            <w:pPr>
              <w:rPr>
                <w:rFonts w:ascii="Arial" w:hAnsi="Arial" w:cs="Arial"/>
                <w:color w:val="000000"/>
                <w:sz w:val="20"/>
                <w:lang w:val="it-IT"/>
              </w:rPr>
            </w:pPr>
          </w:p>
        </w:tc>
        <w:tc>
          <w:tcPr>
            <w:tcW w:w="967" w:type="pct"/>
            <w:tcBorders>
              <w:top w:val="single" w:sz="6" w:space="0" w:color="000000"/>
              <w:left w:val="nil"/>
              <w:bottom w:val="nil"/>
              <w:right w:val="nil"/>
            </w:tcBorders>
            <w:shd w:val="clear" w:color="auto" w:fill="auto"/>
            <w:tcMar>
              <w:top w:w="13" w:type="dxa"/>
              <w:left w:w="21" w:type="dxa"/>
              <w:bottom w:w="0" w:type="dxa"/>
              <w:right w:w="21" w:type="dxa"/>
            </w:tcMar>
            <w:vAlign w:val="center"/>
            <w:hideMark/>
          </w:tcPr>
          <w:p w14:paraId="5FACE09D" w14:textId="77777777" w:rsidR="0052086E" w:rsidRPr="008F28F2" w:rsidRDefault="0052086E" w:rsidP="0052086E">
            <w:pPr>
              <w:rPr>
                <w:rFonts w:ascii="Arial" w:hAnsi="Arial" w:cs="Arial"/>
                <w:color w:val="000000"/>
                <w:sz w:val="20"/>
                <w:lang w:val="it-IT"/>
              </w:rPr>
            </w:pPr>
          </w:p>
        </w:tc>
      </w:tr>
      <w:tr w:rsidR="0052086E" w:rsidRPr="008F28F2" w14:paraId="68EA72F0" w14:textId="77777777" w:rsidTr="00F50C12">
        <w:trPr>
          <w:trHeight w:val="198"/>
        </w:trPr>
        <w:tc>
          <w:tcPr>
            <w:tcW w:w="1085" w:type="pct"/>
            <w:tcBorders>
              <w:top w:val="nil"/>
              <w:left w:val="nil"/>
              <w:bottom w:val="nil"/>
              <w:right w:val="nil"/>
            </w:tcBorders>
            <w:shd w:val="clear" w:color="auto" w:fill="auto"/>
            <w:tcMar>
              <w:top w:w="13" w:type="dxa"/>
              <w:left w:w="21" w:type="dxa"/>
              <w:bottom w:w="0" w:type="dxa"/>
              <w:right w:w="21" w:type="dxa"/>
            </w:tcMar>
            <w:vAlign w:val="center"/>
            <w:hideMark/>
          </w:tcPr>
          <w:p w14:paraId="3DAFE3D3" w14:textId="77777777"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125 a.u.</w:t>
            </w:r>
          </w:p>
        </w:tc>
        <w:tc>
          <w:tcPr>
            <w:tcW w:w="983" w:type="pct"/>
            <w:tcBorders>
              <w:top w:val="nil"/>
              <w:left w:val="nil"/>
              <w:bottom w:val="nil"/>
              <w:right w:val="nil"/>
            </w:tcBorders>
            <w:shd w:val="clear" w:color="auto" w:fill="auto"/>
            <w:tcMar>
              <w:top w:w="13" w:type="dxa"/>
              <w:left w:w="21" w:type="dxa"/>
              <w:bottom w:w="0" w:type="dxa"/>
              <w:right w:w="21" w:type="dxa"/>
            </w:tcMar>
            <w:vAlign w:val="center"/>
            <w:hideMark/>
          </w:tcPr>
          <w:p w14:paraId="1FC3E168" w14:textId="7D72B1DD" w:rsidR="0052086E" w:rsidRPr="008F28F2" w:rsidRDefault="0052086E" w:rsidP="0052086E">
            <w:pPr>
              <w:rPr>
                <w:rFonts w:ascii="Arial" w:hAnsi="Arial" w:cs="Arial"/>
                <w:color w:val="000000"/>
                <w:sz w:val="20"/>
                <w:lang w:val="it-IT"/>
              </w:rPr>
            </w:pPr>
            <w:r w:rsidRPr="008F28F2">
              <w:rPr>
                <w:rFonts w:ascii="Arial" w:hAnsi="Arial" w:cs="Arial"/>
                <w:color w:val="000000"/>
                <w:sz w:val="20"/>
                <w:lang w:val="it-IT"/>
              </w:rPr>
              <w:t>8000 a.u.</w:t>
            </w:r>
          </w:p>
        </w:tc>
        <w:tc>
          <w:tcPr>
            <w:tcW w:w="983" w:type="pct"/>
            <w:tcBorders>
              <w:top w:val="nil"/>
              <w:left w:val="nil"/>
              <w:bottom w:val="nil"/>
              <w:right w:val="nil"/>
            </w:tcBorders>
            <w:shd w:val="clear" w:color="auto" w:fill="auto"/>
            <w:tcMar>
              <w:top w:w="13" w:type="dxa"/>
              <w:left w:w="21" w:type="dxa"/>
              <w:bottom w:w="0" w:type="dxa"/>
              <w:right w:w="21" w:type="dxa"/>
            </w:tcMar>
            <w:vAlign w:val="center"/>
            <w:hideMark/>
          </w:tcPr>
          <w:p w14:paraId="38AB1EC2" w14:textId="77777777" w:rsidR="0052086E" w:rsidRPr="008F28F2" w:rsidRDefault="0052086E" w:rsidP="0052086E">
            <w:pPr>
              <w:rPr>
                <w:rFonts w:ascii="Arial" w:hAnsi="Arial" w:cs="Arial"/>
                <w:color w:val="000000"/>
                <w:sz w:val="20"/>
                <w:lang w:val="it-IT"/>
              </w:rPr>
            </w:pPr>
          </w:p>
        </w:tc>
        <w:tc>
          <w:tcPr>
            <w:tcW w:w="1950" w:type="pct"/>
            <w:gridSpan w:val="2"/>
            <w:tcBorders>
              <w:top w:val="nil"/>
              <w:left w:val="nil"/>
              <w:bottom w:val="nil"/>
              <w:right w:val="nil"/>
            </w:tcBorders>
            <w:shd w:val="clear" w:color="auto" w:fill="auto"/>
            <w:tcMar>
              <w:top w:w="13" w:type="dxa"/>
              <w:left w:w="21" w:type="dxa"/>
              <w:bottom w:w="0" w:type="dxa"/>
              <w:right w:w="21" w:type="dxa"/>
            </w:tcMar>
            <w:vAlign w:val="center"/>
            <w:hideMark/>
          </w:tcPr>
          <w:p w14:paraId="17C7D95D" w14:textId="341E705C" w:rsidR="0052086E" w:rsidRPr="008F28F2" w:rsidRDefault="0052086E" w:rsidP="00F50C12">
            <w:pPr>
              <w:keepNext/>
              <w:rPr>
                <w:rFonts w:ascii="Arial" w:hAnsi="Arial" w:cs="Arial"/>
                <w:color w:val="000000"/>
                <w:sz w:val="20"/>
                <w:lang w:val="it-IT"/>
              </w:rPr>
            </w:pPr>
          </w:p>
        </w:tc>
      </w:tr>
    </w:tbl>
    <w:p w14:paraId="3CA1B7BE" w14:textId="77777777" w:rsidR="001B39D0" w:rsidRPr="008F28F2" w:rsidRDefault="001B39D0" w:rsidP="001B39D0">
      <w:pPr>
        <w:rPr>
          <w:rFonts w:ascii="Arial" w:hAnsi="Arial" w:cs="Arial"/>
          <w:color w:val="000000"/>
          <w:szCs w:val="24"/>
        </w:rPr>
      </w:pPr>
      <w:r w:rsidRPr="008F28F2">
        <w:rPr>
          <w:rFonts w:ascii="Arial" w:hAnsi="Arial" w:cs="Arial"/>
          <w:color w:val="000000"/>
          <w:sz w:val="20"/>
        </w:rPr>
        <w:br w:type="page"/>
      </w:r>
      <w:r w:rsidRPr="008F28F2">
        <w:rPr>
          <w:rFonts w:ascii="Arial" w:hAnsi="Arial" w:cs="Arial"/>
          <w:b/>
          <w:szCs w:val="24"/>
        </w:rPr>
        <w:lastRenderedPageBreak/>
        <w:t>SI References</w:t>
      </w:r>
    </w:p>
    <w:p w14:paraId="2312C82C" w14:textId="77777777" w:rsidR="001B39D0" w:rsidRPr="008F28F2" w:rsidRDefault="001B39D0" w:rsidP="001B39D0">
      <w:pPr>
        <w:rPr>
          <w:rFonts w:ascii="Arial" w:hAnsi="Arial" w:cs="Arial"/>
          <w:b/>
          <w:sz w:val="20"/>
        </w:rPr>
      </w:pPr>
    </w:p>
    <w:p w14:paraId="16D30387" w14:textId="77777777" w:rsidR="008D3877" w:rsidRPr="008F28F2" w:rsidRDefault="001B39D0" w:rsidP="008D3877">
      <w:pPr>
        <w:pStyle w:val="Bibliografia"/>
        <w:rPr>
          <w:rFonts w:ascii="Arial" w:hAnsi="Arial" w:cs="Arial"/>
          <w:sz w:val="20"/>
        </w:rPr>
      </w:pPr>
      <w:r w:rsidRPr="008F28F2">
        <w:rPr>
          <w:rFonts w:ascii="Arial" w:hAnsi="Arial" w:cs="Arial"/>
          <w:b/>
          <w:sz w:val="20"/>
        </w:rPr>
        <w:fldChar w:fldCharType="begin"/>
      </w:r>
      <w:r w:rsidR="008D3877" w:rsidRPr="008F28F2">
        <w:rPr>
          <w:rFonts w:ascii="Arial" w:hAnsi="Arial" w:cs="Arial"/>
          <w:b/>
          <w:sz w:val="20"/>
        </w:rPr>
        <w:instrText xml:space="preserve"> ADDIN ZOTERO_BIBL {"uncited":[],"omitted":[],"custom":[]} CSL_BIBLIOGRAPHY </w:instrText>
      </w:r>
      <w:r w:rsidRPr="008F28F2">
        <w:rPr>
          <w:rFonts w:ascii="Arial" w:hAnsi="Arial" w:cs="Arial"/>
          <w:b/>
          <w:sz w:val="20"/>
        </w:rPr>
        <w:fldChar w:fldCharType="separate"/>
      </w:r>
      <w:r w:rsidR="008D3877" w:rsidRPr="008F28F2">
        <w:rPr>
          <w:rFonts w:ascii="Arial" w:hAnsi="Arial" w:cs="Arial"/>
          <w:sz w:val="20"/>
        </w:rPr>
        <w:t xml:space="preserve">1. </w:t>
      </w:r>
      <w:r w:rsidR="008D3877" w:rsidRPr="008F28F2">
        <w:rPr>
          <w:rFonts w:ascii="Arial" w:hAnsi="Arial" w:cs="Arial"/>
          <w:sz w:val="20"/>
        </w:rPr>
        <w:tab/>
        <w:t xml:space="preserve">J. G. Cunniffe, S. Whitby-Strevens, M. H. Wilcox, Effect of pH changes in cerebrospinal fluid specimens on bacterial survival and antigen test results. </w:t>
      </w:r>
      <w:r w:rsidR="008D3877" w:rsidRPr="008F28F2">
        <w:rPr>
          <w:rFonts w:ascii="Arial" w:hAnsi="Arial" w:cs="Arial"/>
          <w:i/>
          <w:iCs/>
          <w:sz w:val="20"/>
        </w:rPr>
        <w:t>J Clin Pathol</w:t>
      </w:r>
      <w:r w:rsidR="008D3877" w:rsidRPr="008F28F2">
        <w:rPr>
          <w:rFonts w:ascii="Arial" w:hAnsi="Arial" w:cs="Arial"/>
          <w:sz w:val="20"/>
        </w:rPr>
        <w:t xml:space="preserve"> </w:t>
      </w:r>
      <w:r w:rsidR="008D3877" w:rsidRPr="008F28F2">
        <w:rPr>
          <w:rFonts w:ascii="Arial" w:hAnsi="Arial" w:cs="Arial"/>
          <w:b/>
          <w:bCs/>
          <w:sz w:val="20"/>
        </w:rPr>
        <w:t>49</w:t>
      </w:r>
      <w:r w:rsidR="008D3877" w:rsidRPr="008F28F2">
        <w:rPr>
          <w:rFonts w:ascii="Arial" w:hAnsi="Arial" w:cs="Arial"/>
          <w:sz w:val="20"/>
        </w:rPr>
        <w:t>, 249–253 (1996).</w:t>
      </w:r>
    </w:p>
    <w:p w14:paraId="383B1C86" w14:textId="77777777" w:rsidR="008D3877" w:rsidRPr="008F28F2" w:rsidRDefault="008D3877" w:rsidP="008D3877">
      <w:pPr>
        <w:pStyle w:val="Bibliografia"/>
        <w:rPr>
          <w:rFonts w:ascii="Arial" w:hAnsi="Arial" w:cs="Arial"/>
          <w:sz w:val="20"/>
        </w:rPr>
      </w:pPr>
      <w:r w:rsidRPr="008F28F2">
        <w:rPr>
          <w:rFonts w:ascii="Arial" w:hAnsi="Arial" w:cs="Arial"/>
          <w:sz w:val="20"/>
        </w:rPr>
        <w:t xml:space="preserve">2. </w:t>
      </w:r>
      <w:r w:rsidRPr="008F28F2">
        <w:rPr>
          <w:rFonts w:ascii="Arial" w:hAnsi="Arial" w:cs="Arial"/>
          <w:sz w:val="20"/>
        </w:rPr>
        <w:tab/>
        <w:t xml:space="preserve">A. Fura, T. W. Harper, H. Zhang, L. Fung, W. C. Shyu, Shift in pH of biological fluids during storage and processing: effect on bioanalysis. </w:t>
      </w:r>
      <w:r w:rsidRPr="008F28F2">
        <w:rPr>
          <w:rFonts w:ascii="Arial" w:hAnsi="Arial" w:cs="Arial"/>
          <w:i/>
          <w:iCs/>
          <w:sz w:val="20"/>
        </w:rPr>
        <w:t>Journal of Pharmaceutical and Biomedical Analysis</w:t>
      </w:r>
      <w:r w:rsidRPr="008F28F2">
        <w:rPr>
          <w:rFonts w:ascii="Arial" w:hAnsi="Arial" w:cs="Arial"/>
          <w:sz w:val="20"/>
        </w:rPr>
        <w:t xml:space="preserve"> </w:t>
      </w:r>
      <w:r w:rsidRPr="008F28F2">
        <w:rPr>
          <w:rFonts w:ascii="Arial" w:hAnsi="Arial" w:cs="Arial"/>
          <w:b/>
          <w:bCs/>
          <w:sz w:val="20"/>
        </w:rPr>
        <w:t>32</w:t>
      </w:r>
      <w:r w:rsidRPr="008F28F2">
        <w:rPr>
          <w:rFonts w:ascii="Arial" w:hAnsi="Arial" w:cs="Arial"/>
          <w:sz w:val="20"/>
        </w:rPr>
        <w:t>, 513–522 (2003).</w:t>
      </w:r>
    </w:p>
    <w:p w14:paraId="4EC20949" w14:textId="77777777" w:rsidR="008D3877" w:rsidRPr="008F28F2" w:rsidRDefault="008D3877" w:rsidP="008D3877">
      <w:pPr>
        <w:pStyle w:val="Bibliografia"/>
        <w:rPr>
          <w:rFonts w:ascii="Arial" w:hAnsi="Arial" w:cs="Arial"/>
          <w:sz w:val="20"/>
        </w:rPr>
      </w:pPr>
      <w:r w:rsidRPr="008F28F2">
        <w:rPr>
          <w:rFonts w:ascii="Arial" w:hAnsi="Arial" w:cs="Arial"/>
          <w:sz w:val="20"/>
        </w:rPr>
        <w:t xml:space="preserve">3. </w:t>
      </w:r>
      <w:r w:rsidRPr="008F28F2">
        <w:rPr>
          <w:rFonts w:ascii="Arial" w:hAnsi="Arial" w:cs="Arial"/>
          <w:sz w:val="20"/>
        </w:rPr>
        <w:tab/>
        <w:t xml:space="preserve">V. N. Uversky, J. Li, A. L. Fink, Evidence for a Partially Folded Intermediate in α-Synuclein Fibril Formation *. </w:t>
      </w:r>
      <w:r w:rsidRPr="008F28F2">
        <w:rPr>
          <w:rFonts w:ascii="Arial" w:hAnsi="Arial" w:cs="Arial"/>
          <w:i/>
          <w:iCs/>
          <w:sz w:val="20"/>
        </w:rPr>
        <w:t>Journal of Biological Chemistry</w:t>
      </w:r>
      <w:r w:rsidRPr="008F28F2">
        <w:rPr>
          <w:rFonts w:ascii="Arial" w:hAnsi="Arial" w:cs="Arial"/>
          <w:sz w:val="20"/>
        </w:rPr>
        <w:t xml:space="preserve"> </w:t>
      </w:r>
      <w:r w:rsidRPr="008F28F2">
        <w:rPr>
          <w:rFonts w:ascii="Arial" w:hAnsi="Arial" w:cs="Arial"/>
          <w:b/>
          <w:bCs/>
          <w:sz w:val="20"/>
        </w:rPr>
        <w:t>276</w:t>
      </w:r>
      <w:r w:rsidRPr="008F28F2">
        <w:rPr>
          <w:rFonts w:ascii="Arial" w:hAnsi="Arial" w:cs="Arial"/>
          <w:sz w:val="20"/>
        </w:rPr>
        <w:t>, 10737–10744 (2001).</w:t>
      </w:r>
    </w:p>
    <w:p w14:paraId="04EB0FBD" w14:textId="77777777" w:rsidR="008D3877" w:rsidRPr="008F28F2" w:rsidRDefault="008D3877" w:rsidP="008D3877">
      <w:pPr>
        <w:pStyle w:val="Bibliografia"/>
        <w:rPr>
          <w:rFonts w:ascii="Arial" w:hAnsi="Arial" w:cs="Arial"/>
          <w:sz w:val="20"/>
        </w:rPr>
      </w:pPr>
      <w:r w:rsidRPr="008F28F2">
        <w:rPr>
          <w:rFonts w:ascii="Arial" w:hAnsi="Arial" w:cs="Arial"/>
          <w:sz w:val="20"/>
        </w:rPr>
        <w:t xml:space="preserve">4. </w:t>
      </w:r>
      <w:r w:rsidRPr="008F28F2">
        <w:rPr>
          <w:rFonts w:ascii="Arial" w:hAnsi="Arial" w:cs="Arial"/>
          <w:sz w:val="20"/>
        </w:rPr>
        <w:tab/>
        <w:t xml:space="preserve">V. E. Shevchik, G. Condemine, J. Robert-Baudouy, Characterization of DsbC, a periplasmic protein of Erwinia chrysanthemi and Escherichia coli with disulfide isomerase activity. </w:t>
      </w:r>
      <w:r w:rsidRPr="008F28F2">
        <w:rPr>
          <w:rFonts w:ascii="Arial" w:hAnsi="Arial" w:cs="Arial"/>
          <w:i/>
          <w:iCs/>
          <w:sz w:val="20"/>
        </w:rPr>
        <w:t>The EMBO Journal</w:t>
      </w:r>
      <w:r w:rsidRPr="008F28F2">
        <w:rPr>
          <w:rFonts w:ascii="Arial" w:hAnsi="Arial" w:cs="Arial"/>
          <w:sz w:val="20"/>
        </w:rPr>
        <w:t xml:space="preserve"> </w:t>
      </w:r>
      <w:r w:rsidRPr="008F28F2">
        <w:rPr>
          <w:rFonts w:ascii="Arial" w:hAnsi="Arial" w:cs="Arial"/>
          <w:b/>
          <w:bCs/>
          <w:sz w:val="20"/>
        </w:rPr>
        <w:t>13</w:t>
      </w:r>
      <w:r w:rsidRPr="008F28F2">
        <w:rPr>
          <w:rFonts w:ascii="Arial" w:hAnsi="Arial" w:cs="Arial"/>
          <w:sz w:val="20"/>
        </w:rPr>
        <w:t>, 2007–2012 (1994).</w:t>
      </w:r>
    </w:p>
    <w:p w14:paraId="48C76D72" w14:textId="77777777" w:rsidR="008D3877" w:rsidRPr="008F28F2" w:rsidRDefault="008D3877" w:rsidP="008D3877">
      <w:pPr>
        <w:pStyle w:val="Bibliografia"/>
        <w:rPr>
          <w:rFonts w:ascii="Arial" w:hAnsi="Arial" w:cs="Arial"/>
          <w:sz w:val="20"/>
        </w:rPr>
      </w:pPr>
      <w:r w:rsidRPr="008F28F2">
        <w:rPr>
          <w:rFonts w:ascii="Arial" w:hAnsi="Arial" w:cs="Arial"/>
          <w:sz w:val="20"/>
        </w:rPr>
        <w:t xml:space="preserve">5. </w:t>
      </w:r>
      <w:r w:rsidRPr="008F28F2">
        <w:rPr>
          <w:rFonts w:ascii="Arial" w:hAnsi="Arial" w:cs="Arial"/>
          <w:sz w:val="20"/>
        </w:rPr>
        <w:tab/>
        <w:t xml:space="preserve">C. Huang, G. Ren, H. Zhou, C. Wang, A new method for purification of recombinant human α-synuclein in Escherichia coli. </w:t>
      </w:r>
      <w:r w:rsidRPr="008F28F2">
        <w:rPr>
          <w:rFonts w:ascii="Arial" w:hAnsi="Arial" w:cs="Arial"/>
          <w:i/>
          <w:iCs/>
          <w:sz w:val="20"/>
        </w:rPr>
        <w:t>Protein Expression and Purification</w:t>
      </w:r>
      <w:r w:rsidRPr="008F28F2">
        <w:rPr>
          <w:rFonts w:ascii="Arial" w:hAnsi="Arial" w:cs="Arial"/>
          <w:sz w:val="20"/>
        </w:rPr>
        <w:t xml:space="preserve"> </w:t>
      </w:r>
      <w:r w:rsidRPr="008F28F2">
        <w:rPr>
          <w:rFonts w:ascii="Arial" w:hAnsi="Arial" w:cs="Arial"/>
          <w:b/>
          <w:bCs/>
          <w:sz w:val="20"/>
        </w:rPr>
        <w:t>42</w:t>
      </w:r>
      <w:r w:rsidRPr="008F28F2">
        <w:rPr>
          <w:rFonts w:ascii="Arial" w:hAnsi="Arial" w:cs="Arial"/>
          <w:sz w:val="20"/>
        </w:rPr>
        <w:t>, 173–177 (2005).</w:t>
      </w:r>
    </w:p>
    <w:p w14:paraId="25BE9990" w14:textId="77777777" w:rsidR="008D3877" w:rsidRPr="008F28F2" w:rsidRDefault="008D3877" w:rsidP="008D3877">
      <w:pPr>
        <w:pStyle w:val="Bibliografia"/>
        <w:rPr>
          <w:rFonts w:ascii="Arial" w:hAnsi="Arial" w:cs="Arial"/>
          <w:sz w:val="20"/>
        </w:rPr>
      </w:pPr>
      <w:r w:rsidRPr="008F28F2">
        <w:rPr>
          <w:rFonts w:ascii="Arial" w:hAnsi="Arial" w:cs="Arial"/>
          <w:sz w:val="20"/>
        </w:rPr>
        <w:t xml:space="preserve">6. </w:t>
      </w:r>
      <w:r w:rsidRPr="008F28F2">
        <w:rPr>
          <w:rFonts w:ascii="Arial" w:hAnsi="Arial" w:cs="Arial"/>
          <w:sz w:val="20"/>
        </w:rPr>
        <w:tab/>
        <w:t xml:space="preserve">G. Bellomo, </w:t>
      </w:r>
      <w:r w:rsidRPr="008F28F2">
        <w:rPr>
          <w:rFonts w:ascii="Arial" w:hAnsi="Arial" w:cs="Arial"/>
          <w:i/>
          <w:iCs/>
          <w:sz w:val="20"/>
        </w:rPr>
        <w:t>et al.</w:t>
      </w:r>
      <w:r w:rsidRPr="008F28F2">
        <w:rPr>
          <w:rFonts w:ascii="Arial" w:hAnsi="Arial" w:cs="Arial"/>
          <w:sz w:val="20"/>
        </w:rPr>
        <w:t xml:space="preserve">, Dissecting the Interactions between Human Serum Albumin and α-Synuclein: New Insights on the Factors Influencing α-Synuclein Aggregation in Biological Fluids. </w:t>
      </w:r>
      <w:r w:rsidRPr="008F28F2">
        <w:rPr>
          <w:rFonts w:ascii="Arial" w:hAnsi="Arial" w:cs="Arial"/>
          <w:i/>
          <w:iCs/>
          <w:sz w:val="20"/>
        </w:rPr>
        <w:t>J Phys Chem B</w:t>
      </w:r>
      <w:r w:rsidRPr="008F28F2">
        <w:rPr>
          <w:rFonts w:ascii="Arial" w:hAnsi="Arial" w:cs="Arial"/>
          <w:sz w:val="20"/>
        </w:rPr>
        <w:t xml:space="preserve"> </w:t>
      </w:r>
      <w:r w:rsidRPr="008F28F2">
        <w:rPr>
          <w:rFonts w:ascii="Arial" w:hAnsi="Arial" w:cs="Arial"/>
          <w:b/>
          <w:bCs/>
          <w:sz w:val="20"/>
        </w:rPr>
        <w:t>123</w:t>
      </w:r>
      <w:r w:rsidRPr="008F28F2">
        <w:rPr>
          <w:rFonts w:ascii="Arial" w:hAnsi="Arial" w:cs="Arial"/>
          <w:sz w:val="20"/>
        </w:rPr>
        <w:t>, 4380–4386 (2019).</w:t>
      </w:r>
    </w:p>
    <w:p w14:paraId="1C15F96A" w14:textId="77777777" w:rsidR="008D3877" w:rsidRPr="008F28F2" w:rsidRDefault="008D3877" w:rsidP="008D3877">
      <w:pPr>
        <w:pStyle w:val="Bibliografia"/>
        <w:rPr>
          <w:rFonts w:ascii="Arial" w:hAnsi="Arial" w:cs="Arial"/>
          <w:sz w:val="20"/>
        </w:rPr>
      </w:pPr>
      <w:r w:rsidRPr="008F28F2">
        <w:rPr>
          <w:rFonts w:ascii="Arial" w:hAnsi="Arial" w:cs="Arial"/>
          <w:sz w:val="20"/>
        </w:rPr>
        <w:t xml:space="preserve">7. </w:t>
      </w:r>
      <w:r w:rsidRPr="008F28F2">
        <w:rPr>
          <w:rFonts w:ascii="Arial" w:hAnsi="Arial" w:cs="Arial"/>
          <w:sz w:val="20"/>
        </w:rPr>
        <w:tab/>
        <w:t xml:space="preserve">K. M. Pate, R. M. Murphy, Cerebrospinal Fluid Proteins as Regulators of Beta-amyloid Aggregation and Toxicity. </w:t>
      </w:r>
      <w:r w:rsidRPr="008F28F2">
        <w:rPr>
          <w:rFonts w:ascii="Arial" w:hAnsi="Arial" w:cs="Arial"/>
          <w:i/>
          <w:iCs/>
          <w:sz w:val="20"/>
        </w:rPr>
        <w:t>Isr J Chem</w:t>
      </w:r>
      <w:r w:rsidRPr="008F28F2">
        <w:rPr>
          <w:rFonts w:ascii="Arial" w:hAnsi="Arial" w:cs="Arial"/>
          <w:sz w:val="20"/>
        </w:rPr>
        <w:t xml:space="preserve"> </w:t>
      </w:r>
      <w:r w:rsidRPr="008F28F2">
        <w:rPr>
          <w:rFonts w:ascii="Arial" w:hAnsi="Arial" w:cs="Arial"/>
          <w:b/>
          <w:bCs/>
          <w:sz w:val="20"/>
        </w:rPr>
        <w:t>57</w:t>
      </w:r>
      <w:r w:rsidRPr="008F28F2">
        <w:rPr>
          <w:rFonts w:ascii="Arial" w:hAnsi="Arial" w:cs="Arial"/>
          <w:sz w:val="20"/>
        </w:rPr>
        <w:t>, 602–612 (2017).</w:t>
      </w:r>
    </w:p>
    <w:p w14:paraId="120E11A8" w14:textId="77777777" w:rsidR="008D3877" w:rsidRPr="008F28F2" w:rsidRDefault="008D3877" w:rsidP="008D3877">
      <w:pPr>
        <w:pStyle w:val="Bibliografia"/>
        <w:rPr>
          <w:rFonts w:ascii="Arial" w:hAnsi="Arial" w:cs="Arial"/>
          <w:sz w:val="20"/>
        </w:rPr>
      </w:pPr>
      <w:r w:rsidRPr="008F28F2">
        <w:rPr>
          <w:rFonts w:ascii="Arial" w:hAnsi="Arial" w:cs="Arial"/>
          <w:sz w:val="20"/>
        </w:rPr>
        <w:t xml:space="preserve">8. </w:t>
      </w:r>
      <w:r w:rsidRPr="008F28F2">
        <w:rPr>
          <w:rFonts w:ascii="Arial" w:hAnsi="Arial" w:cs="Arial"/>
          <w:sz w:val="20"/>
        </w:rPr>
        <w:tab/>
        <w:t xml:space="preserve">E. R. Padayachee, </w:t>
      </w:r>
      <w:r w:rsidRPr="008F28F2">
        <w:rPr>
          <w:rFonts w:ascii="Arial" w:hAnsi="Arial" w:cs="Arial"/>
          <w:i/>
          <w:iCs/>
          <w:sz w:val="20"/>
        </w:rPr>
        <w:t>et al.</w:t>
      </w:r>
      <w:r w:rsidRPr="008F28F2">
        <w:rPr>
          <w:rFonts w:ascii="Arial" w:hAnsi="Arial" w:cs="Arial"/>
          <w:sz w:val="20"/>
        </w:rPr>
        <w:t xml:space="preserve">, Cerebrospinal fluid-induced retardation of amyloid β aggregation correlates with Alzheimer’s disease and the APOE ε4 allele. </w:t>
      </w:r>
      <w:r w:rsidRPr="008F28F2">
        <w:rPr>
          <w:rFonts w:ascii="Arial" w:hAnsi="Arial" w:cs="Arial"/>
          <w:i/>
          <w:iCs/>
          <w:sz w:val="20"/>
        </w:rPr>
        <w:t>Brain Res</w:t>
      </w:r>
      <w:r w:rsidRPr="008F28F2">
        <w:rPr>
          <w:rFonts w:ascii="Arial" w:hAnsi="Arial" w:cs="Arial"/>
          <w:sz w:val="20"/>
        </w:rPr>
        <w:t xml:space="preserve"> </w:t>
      </w:r>
      <w:r w:rsidRPr="008F28F2">
        <w:rPr>
          <w:rFonts w:ascii="Arial" w:hAnsi="Arial" w:cs="Arial"/>
          <w:b/>
          <w:bCs/>
          <w:sz w:val="20"/>
        </w:rPr>
        <w:t>1651</w:t>
      </w:r>
      <w:r w:rsidRPr="008F28F2">
        <w:rPr>
          <w:rFonts w:ascii="Arial" w:hAnsi="Arial" w:cs="Arial"/>
          <w:sz w:val="20"/>
        </w:rPr>
        <w:t>, 11–16 (2016).</w:t>
      </w:r>
    </w:p>
    <w:p w14:paraId="40C80BB6" w14:textId="77777777" w:rsidR="008D3877" w:rsidRPr="008F28F2" w:rsidRDefault="008D3877" w:rsidP="008D3877">
      <w:pPr>
        <w:pStyle w:val="Bibliografia"/>
        <w:rPr>
          <w:rFonts w:ascii="Arial" w:hAnsi="Arial" w:cs="Arial"/>
          <w:sz w:val="20"/>
        </w:rPr>
      </w:pPr>
      <w:r w:rsidRPr="008F28F2">
        <w:rPr>
          <w:rFonts w:ascii="Arial" w:hAnsi="Arial" w:cs="Arial"/>
          <w:sz w:val="20"/>
        </w:rPr>
        <w:t xml:space="preserve">9. </w:t>
      </w:r>
      <w:r w:rsidRPr="008F28F2">
        <w:rPr>
          <w:rFonts w:ascii="Arial" w:hAnsi="Arial" w:cs="Arial"/>
          <w:sz w:val="20"/>
        </w:rPr>
        <w:tab/>
        <w:t xml:space="preserve">M. Shahnawaz, </w:t>
      </w:r>
      <w:r w:rsidRPr="008F28F2">
        <w:rPr>
          <w:rFonts w:ascii="Arial" w:hAnsi="Arial" w:cs="Arial"/>
          <w:i/>
          <w:iCs/>
          <w:sz w:val="20"/>
        </w:rPr>
        <w:t>et al.</w:t>
      </w:r>
      <w:r w:rsidRPr="008F28F2">
        <w:rPr>
          <w:rFonts w:ascii="Arial" w:hAnsi="Arial" w:cs="Arial"/>
          <w:sz w:val="20"/>
        </w:rPr>
        <w:t xml:space="preserve">, Development of a Biochemical Diagnosis of Parkinson Disease by Detection of α-Synuclein Misfolded Aggregates in Cerebrospinal Fluid. </w:t>
      </w:r>
      <w:r w:rsidRPr="008F28F2">
        <w:rPr>
          <w:rFonts w:ascii="Arial" w:hAnsi="Arial" w:cs="Arial"/>
          <w:i/>
          <w:iCs/>
          <w:sz w:val="20"/>
        </w:rPr>
        <w:t>JAMA Neurology</w:t>
      </w:r>
      <w:r w:rsidRPr="008F28F2">
        <w:rPr>
          <w:rFonts w:ascii="Arial" w:hAnsi="Arial" w:cs="Arial"/>
          <w:sz w:val="20"/>
        </w:rPr>
        <w:t xml:space="preserve"> </w:t>
      </w:r>
      <w:r w:rsidRPr="008F28F2">
        <w:rPr>
          <w:rFonts w:ascii="Arial" w:hAnsi="Arial" w:cs="Arial"/>
          <w:b/>
          <w:bCs/>
          <w:sz w:val="20"/>
        </w:rPr>
        <w:t>74</w:t>
      </w:r>
      <w:r w:rsidRPr="008F28F2">
        <w:rPr>
          <w:rFonts w:ascii="Arial" w:hAnsi="Arial" w:cs="Arial"/>
          <w:sz w:val="20"/>
        </w:rPr>
        <w:t>, 163 (2017).</w:t>
      </w:r>
    </w:p>
    <w:p w14:paraId="55760900" w14:textId="77777777" w:rsidR="008D3877" w:rsidRPr="008F28F2" w:rsidRDefault="008D3877" w:rsidP="008D3877">
      <w:pPr>
        <w:pStyle w:val="Bibliografia"/>
        <w:rPr>
          <w:rFonts w:ascii="Arial" w:hAnsi="Arial" w:cs="Arial"/>
          <w:sz w:val="20"/>
        </w:rPr>
      </w:pPr>
      <w:r w:rsidRPr="008F28F2">
        <w:rPr>
          <w:rFonts w:ascii="Arial" w:hAnsi="Arial" w:cs="Arial"/>
          <w:sz w:val="20"/>
        </w:rPr>
        <w:t xml:space="preserve">10. </w:t>
      </w:r>
      <w:r w:rsidRPr="008F28F2">
        <w:rPr>
          <w:rFonts w:ascii="Arial" w:hAnsi="Arial" w:cs="Arial"/>
          <w:sz w:val="20"/>
        </w:rPr>
        <w:tab/>
        <w:t xml:space="preserve">L. Concha-Marambio, M. Shahnawaz, C. Soto, Detection of Misfolded α-Synuclein Aggregates in Cerebrospinal Fluid by the Protein Misfolding Cyclic Amplification Platform. </w:t>
      </w:r>
      <w:r w:rsidRPr="008F28F2">
        <w:rPr>
          <w:rFonts w:ascii="Arial" w:hAnsi="Arial" w:cs="Arial"/>
          <w:i/>
          <w:iCs/>
          <w:sz w:val="20"/>
        </w:rPr>
        <w:t>Methods in molecular biology (Clifton, N.J.)</w:t>
      </w:r>
      <w:r w:rsidRPr="008F28F2">
        <w:rPr>
          <w:rFonts w:ascii="Arial" w:hAnsi="Arial" w:cs="Arial"/>
          <w:sz w:val="20"/>
        </w:rPr>
        <w:t xml:space="preserve"> </w:t>
      </w:r>
      <w:r w:rsidRPr="008F28F2">
        <w:rPr>
          <w:rFonts w:ascii="Arial" w:hAnsi="Arial" w:cs="Arial"/>
          <w:b/>
          <w:bCs/>
          <w:sz w:val="20"/>
        </w:rPr>
        <w:t>1948</w:t>
      </w:r>
      <w:r w:rsidRPr="008F28F2">
        <w:rPr>
          <w:rFonts w:ascii="Arial" w:hAnsi="Arial" w:cs="Arial"/>
          <w:sz w:val="20"/>
        </w:rPr>
        <w:t>, 35–44 (2019).</w:t>
      </w:r>
    </w:p>
    <w:p w14:paraId="2C443492" w14:textId="77777777" w:rsidR="008D3877" w:rsidRPr="008F28F2" w:rsidRDefault="008D3877" w:rsidP="008D3877">
      <w:pPr>
        <w:pStyle w:val="Bibliografia"/>
        <w:rPr>
          <w:rFonts w:ascii="Arial" w:hAnsi="Arial" w:cs="Arial"/>
          <w:sz w:val="20"/>
        </w:rPr>
      </w:pPr>
      <w:r w:rsidRPr="008F28F2">
        <w:rPr>
          <w:rFonts w:ascii="Arial" w:hAnsi="Arial" w:cs="Arial"/>
          <w:sz w:val="20"/>
        </w:rPr>
        <w:t xml:space="preserve">11. </w:t>
      </w:r>
      <w:r w:rsidRPr="008F28F2">
        <w:rPr>
          <w:rFonts w:ascii="Arial" w:hAnsi="Arial" w:cs="Arial"/>
          <w:sz w:val="20"/>
        </w:rPr>
        <w:tab/>
        <w:t xml:space="preserve">J. Adler, H. A. Scheidt, K. Lemmnitzer, M. Krueger, D. Huster, N-terminal lipid conjugation of amyloid β(1–40) leads to the formation of highly ordered N-terminally extended fibrils. </w:t>
      </w:r>
      <w:r w:rsidRPr="008F28F2">
        <w:rPr>
          <w:rFonts w:ascii="Arial" w:hAnsi="Arial" w:cs="Arial"/>
          <w:i/>
          <w:iCs/>
          <w:sz w:val="20"/>
        </w:rPr>
        <w:t>Phys. Chem. Chem. Phys.</w:t>
      </w:r>
      <w:r w:rsidRPr="008F28F2">
        <w:rPr>
          <w:rFonts w:ascii="Arial" w:hAnsi="Arial" w:cs="Arial"/>
          <w:sz w:val="20"/>
        </w:rPr>
        <w:t xml:space="preserve"> </w:t>
      </w:r>
      <w:r w:rsidRPr="008F28F2">
        <w:rPr>
          <w:rFonts w:ascii="Arial" w:hAnsi="Arial" w:cs="Arial"/>
          <w:b/>
          <w:bCs/>
          <w:sz w:val="20"/>
        </w:rPr>
        <w:t>19</w:t>
      </w:r>
      <w:r w:rsidRPr="008F28F2">
        <w:rPr>
          <w:rFonts w:ascii="Arial" w:hAnsi="Arial" w:cs="Arial"/>
          <w:sz w:val="20"/>
        </w:rPr>
        <w:t>, 1839–1846 (2017).</w:t>
      </w:r>
    </w:p>
    <w:p w14:paraId="4FA18A46" w14:textId="77777777" w:rsidR="008D3877" w:rsidRPr="008F28F2" w:rsidRDefault="008D3877" w:rsidP="008D3877">
      <w:pPr>
        <w:pStyle w:val="Bibliografia"/>
        <w:rPr>
          <w:rFonts w:ascii="Arial" w:hAnsi="Arial" w:cs="Arial"/>
          <w:sz w:val="20"/>
        </w:rPr>
      </w:pPr>
      <w:r w:rsidRPr="008F28F2">
        <w:rPr>
          <w:rFonts w:ascii="Arial" w:hAnsi="Arial" w:cs="Arial"/>
          <w:sz w:val="20"/>
        </w:rPr>
        <w:t xml:space="preserve">12. </w:t>
      </w:r>
      <w:r w:rsidRPr="008F28F2">
        <w:rPr>
          <w:rFonts w:ascii="Arial" w:hAnsi="Arial" w:cs="Arial"/>
          <w:sz w:val="20"/>
        </w:rPr>
        <w:tab/>
        <w:t xml:space="preserve">R. G. Morris, J. L. Evenden, B. J. Sahakian, T. W. Robbins, “Computer-aided assessment of dementia: Comparative studies of neuropsychological deficits in Alzheimer-type dementia and Parkinson’s disease” in </w:t>
      </w:r>
      <w:r w:rsidRPr="008F28F2">
        <w:rPr>
          <w:rFonts w:ascii="Arial" w:hAnsi="Arial" w:cs="Arial"/>
          <w:i/>
          <w:iCs/>
          <w:sz w:val="20"/>
        </w:rPr>
        <w:t>Cognitive Neurochemistry</w:t>
      </w:r>
      <w:r w:rsidRPr="008F28F2">
        <w:rPr>
          <w:rFonts w:ascii="Arial" w:hAnsi="Arial" w:cs="Arial"/>
          <w:sz w:val="20"/>
        </w:rPr>
        <w:t>, (Oxford University Press, 1987), pp. 21–36.</w:t>
      </w:r>
    </w:p>
    <w:p w14:paraId="034272FB" w14:textId="77777777" w:rsidR="008D3877" w:rsidRPr="008F28F2" w:rsidRDefault="008D3877" w:rsidP="008D3877">
      <w:pPr>
        <w:pStyle w:val="Bibliografia"/>
        <w:rPr>
          <w:rFonts w:ascii="Arial" w:hAnsi="Arial" w:cs="Arial"/>
          <w:sz w:val="20"/>
        </w:rPr>
      </w:pPr>
      <w:r w:rsidRPr="008F28F2">
        <w:rPr>
          <w:rFonts w:ascii="Arial" w:hAnsi="Arial" w:cs="Arial"/>
          <w:sz w:val="20"/>
        </w:rPr>
        <w:t xml:space="preserve">13. </w:t>
      </w:r>
      <w:r w:rsidRPr="008F28F2">
        <w:rPr>
          <w:rFonts w:ascii="Arial" w:hAnsi="Arial" w:cs="Arial"/>
          <w:sz w:val="20"/>
        </w:rPr>
        <w:tab/>
        <w:t xml:space="preserve">Y. Ishihama, </w:t>
      </w:r>
      <w:r w:rsidRPr="008F28F2">
        <w:rPr>
          <w:rFonts w:ascii="Arial" w:hAnsi="Arial" w:cs="Arial"/>
          <w:i/>
          <w:iCs/>
          <w:sz w:val="20"/>
        </w:rPr>
        <w:t>et al.</w:t>
      </w:r>
      <w:r w:rsidRPr="008F28F2">
        <w:rPr>
          <w:rFonts w:ascii="Arial" w:hAnsi="Arial" w:cs="Arial"/>
          <w:sz w:val="20"/>
        </w:rPr>
        <w:t xml:space="preserve">, Exponentially modified protein abundance index (emPAI) for estimation of absolute protein amount in proteomics by the number of sequenced peptides per protein. </w:t>
      </w:r>
      <w:r w:rsidRPr="008F28F2">
        <w:rPr>
          <w:rFonts w:ascii="Arial" w:hAnsi="Arial" w:cs="Arial"/>
          <w:i/>
          <w:iCs/>
          <w:sz w:val="20"/>
        </w:rPr>
        <w:t>Mol Cell Proteomics</w:t>
      </w:r>
      <w:r w:rsidRPr="008F28F2">
        <w:rPr>
          <w:rFonts w:ascii="Arial" w:hAnsi="Arial" w:cs="Arial"/>
          <w:sz w:val="20"/>
        </w:rPr>
        <w:t xml:space="preserve"> </w:t>
      </w:r>
      <w:r w:rsidRPr="008F28F2">
        <w:rPr>
          <w:rFonts w:ascii="Arial" w:hAnsi="Arial" w:cs="Arial"/>
          <w:b/>
          <w:bCs/>
          <w:sz w:val="20"/>
        </w:rPr>
        <w:t>4</w:t>
      </w:r>
      <w:r w:rsidRPr="008F28F2">
        <w:rPr>
          <w:rFonts w:ascii="Arial" w:hAnsi="Arial" w:cs="Arial"/>
          <w:sz w:val="20"/>
        </w:rPr>
        <w:t>, 1265–1272 (2005).</w:t>
      </w:r>
    </w:p>
    <w:p w14:paraId="10C22F57" w14:textId="3AF65C7A" w:rsidR="007843C9" w:rsidRPr="002676DE" w:rsidRDefault="008D3877" w:rsidP="008D3877">
      <w:pPr>
        <w:pStyle w:val="Bibliografia"/>
        <w:rPr>
          <w:rFonts w:ascii="Arial" w:hAnsi="Arial" w:cs="Arial"/>
          <w:sz w:val="20"/>
        </w:rPr>
      </w:pPr>
      <w:r w:rsidRPr="008F28F2">
        <w:rPr>
          <w:rFonts w:ascii="Arial" w:hAnsi="Arial" w:cs="Arial"/>
          <w:sz w:val="20"/>
        </w:rPr>
        <w:t xml:space="preserve">14. </w:t>
      </w:r>
      <w:r w:rsidRPr="008F28F2">
        <w:rPr>
          <w:rFonts w:ascii="Arial" w:hAnsi="Arial" w:cs="Arial"/>
          <w:sz w:val="20"/>
        </w:rPr>
        <w:tab/>
        <w:t xml:space="preserve">K. Shinoda, M. Tomita, Y. Ishihama, emPAI Calc--for the estimation of protein abundance from large-scale identification data by liquid chromatography-tandem mass spectrometry. </w:t>
      </w:r>
      <w:r w:rsidRPr="008F28F2">
        <w:rPr>
          <w:rFonts w:ascii="Arial" w:hAnsi="Arial" w:cs="Arial"/>
          <w:i/>
          <w:iCs/>
          <w:sz w:val="20"/>
        </w:rPr>
        <w:t>Bioinformatics</w:t>
      </w:r>
      <w:r w:rsidRPr="008F28F2">
        <w:rPr>
          <w:rFonts w:ascii="Arial" w:hAnsi="Arial" w:cs="Arial"/>
          <w:sz w:val="20"/>
        </w:rPr>
        <w:t xml:space="preserve"> </w:t>
      </w:r>
      <w:r w:rsidRPr="008F28F2">
        <w:rPr>
          <w:rFonts w:ascii="Arial" w:hAnsi="Arial" w:cs="Arial"/>
          <w:b/>
          <w:bCs/>
          <w:sz w:val="20"/>
        </w:rPr>
        <w:t>26</w:t>
      </w:r>
      <w:r w:rsidRPr="008F28F2">
        <w:rPr>
          <w:rFonts w:ascii="Arial" w:hAnsi="Arial" w:cs="Arial"/>
          <w:sz w:val="20"/>
        </w:rPr>
        <w:t>, 576–577 (2010).</w:t>
      </w:r>
      <w:r w:rsidR="001B39D0" w:rsidRPr="008F28F2">
        <w:rPr>
          <w:rFonts w:ascii="Arial" w:hAnsi="Arial" w:cs="Arial"/>
          <w:b/>
          <w:sz w:val="20"/>
        </w:rPr>
        <w:fldChar w:fldCharType="end"/>
      </w:r>
      <w:bookmarkEnd w:id="1"/>
    </w:p>
    <w:sectPr w:rsidR="007843C9" w:rsidRPr="002676DE" w:rsidSect="00F125EE">
      <w:headerReference w:type="default" r:id="rId23"/>
      <w:footerReference w:type="default" r:id="rId24"/>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B7FC9" w14:textId="77777777" w:rsidR="00D06A01" w:rsidRDefault="00D06A01">
      <w:r>
        <w:separator/>
      </w:r>
    </w:p>
  </w:endnote>
  <w:endnote w:type="continuationSeparator" w:id="0">
    <w:p w14:paraId="7D28E21B" w14:textId="77777777" w:rsidR="00D06A01" w:rsidRDefault="00D06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6907" w14:textId="636CDF8D" w:rsidR="00F125EE" w:rsidRDefault="00114193">
    <w:pPr>
      <w:pStyle w:val="Pidipagina"/>
      <w:jc w:val="right"/>
    </w:pPr>
    <w:r>
      <w:fldChar w:fldCharType="begin"/>
    </w:r>
    <w:r>
      <w:instrText xml:space="preserve"> PAGE   \* MERGEFORMAT </w:instrText>
    </w:r>
    <w:r>
      <w:fldChar w:fldCharType="separate"/>
    </w:r>
    <w:r w:rsidR="005609E9">
      <w:rPr>
        <w:noProof/>
      </w:rPr>
      <w:t>1</w:t>
    </w:r>
    <w:r>
      <w:fldChar w:fldCharType="end"/>
    </w:r>
  </w:p>
  <w:p w14:paraId="180EEFF6" w14:textId="77777777" w:rsidR="00F125EE" w:rsidRDefault="00F125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5EDFC" w14:textId="77777777" w:rsidR="00D06A01" w:rsidRDefault="00D06A01">
      <w:r>
        <w:separator/>
      </w:r>
    </w:p>
  </w:footnote>
  <w:footnote w:type="continuationSeparator" w:id="0">
    <w:p w14:paraId="3763E176" w14:textId="77777777" w:rsidR="00D06A01" w:rsidRDefault="00D06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40DC9" w14:textId="77777777" w:rsidR="003A2FD8" w:rsidRPr="005001AC" w:rsidRDefault="003A2FD8" w:rsidP="005001AC">
    <w:pPr>
      <w:jc w:val="right"/>
      <w:rPr>
        <w:sz w:val="20"/>
      </w:rPr>
    </w:pPr>
  </w:p>
  <w:p w14:paraId="0091C365"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Numeroelenco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Numeroelenco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Numeroelenco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Puntoelenc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Puntoelenc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Puntoelenc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Puntoelenco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038751">
    <w:abstractNumId w:val="9"/>
  </w:num>
  <w:num w:numId="2" w16cid:durableId="645858944">
    <w:abstractNumId w:val="7"/>
  </w:num>
  <w:num w:numId="3" w16cid:durableId="1288781396">
    <w:abstractNumId w:val="6"/>
  </w:num>
  <w:num w:numId="4" w16cid:durableId="1521048002">
    <w:abstractNumId w:val="5"/>
  </w:num>
  <w:num w:numId="5" w16cid:durableId="956568530">
    <w:abstractNumId w:val="4"/>
  </w:num>
  <w:num w:numId="6" w16cid:durableId="1749496689">
    <w:abstractNumId w:val="8"/>
  </w:num>
  <w:num w:numId="7" w16cid:durableId="322511699">
    <w:abstractNumId w:val="3"/>
  </w:num>
  <w:num w:numId="8" w16cid:durableId="2113937500">
    <w:abstractNumId w:val="2"/>
  </w:num>
  <w:num w:numId="9" w16cid:durableId="1421683988">
    <w:abstractNumId w:val="1"/>
  </w:num>
  <w:num w:numId="10" w16cid:durableId="372462020">
    <w:abstractNumId w:val="0"/>
  </w:num>
  <w:num w:numId="11" w16cid:durableId="393703461">
    <w:abstractNumId w:val="10"/>
  </w:num>
  <w:num w:numId="12" w16cid:durableId="1699043790">
    <w:abstractNumId w:val="12"/>
  </w:num>
  <w:num w:numId="13" w16cid:durableId="1876848568">
    <w:abstractNumId w:val="13"/>
  </w:num>
  <w:num w:numId="14" w16cid:durableId="17966327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trackRevisions/>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4B2"/>
    <w:rsid w:val="00010DBE"/>
    <w:rsid w:val="00015F74"/>
    <w:rsid w:val="00017C53"/>
    <w:rsid w:val="00030840"/>
    <w:rsid w:val="00040C52"/>
    <w:rsid w:val="000648E5"/>
    <w:rsid w:val="00065EBD"/>
    <w:rsid w:val="000746D6"/>
    <w:rsid w:val="00083B44"/>
    <w:rsid w:val="000850DC"/>
    <w:rsid w:val="000A41E4"/>
    <w:rsid w:val="000A7924"/>
    <w:rsid w:val="000C2771"/>
    <w:rsid w:val="000C5F36"/>
    <w:rsid w:val="000C6966"/>
    <w:rsid w:val="000F0DCE"/>
    <w:rsid w:val="00112C5B"/>
    <w:rsid w:val="00114193"/>
    <w:rsid w:val="00115A38"/>
    <w:rsid w:val="0011687B"/>
    <w:rsid w:val="00124F82"/>
    <w:rsid w:val="001619F3"/>
    <w:rsid w:val="0016337A"/>
    <w:rsid w:val="00164269"/>
    <w:rsid w:val="00185BE9"/>
    <w:rsid w:val="001A1BDE"/>
    <w:rsid w:val="001B39D0"/>
    <w:rsid w:val="001C0520"/>
    <w:rsid w:val="001C0975"/>
    <w:rsid w:val="001C15B4"/>
    <w:rsid w:val="001E29D0"/>
    <w:rsid w:val="001F0876"/>
    <w:rsid w:val="001F167C"/>
    <w:rsid w:val="001F56A2"/>
    <w:rsid w:val="001F5E91"/>
    <w:rsid w:val="002077B9"/>
    <w:rsid w:val="00234809"/>
    <w:rsid w:val="00240B86"/>
    <w:rsid w:val="00243785"/>
    <w:rsid w:val="002474BC"/>
    <w:rsid w:val="00262D72"/>
    <w:rsid w:val="002676DE"/>
    <w:rsid w:val="00294854"/>
    <w:rsid w:val="00294FBB"/>
    <w:rsid w:val="002C030F"/>
    <w:rsid w:val="002C667A"/>
    <w:rsid w:val="002D07F9"/>
    <w:rsid w:val="002D55F8"/>
    <w:rsid w:val="002E384F"/>
    <w:rsid w:val="00301DFE"/>
    <w:rsid w:val="00322A3A"/>
    <w:rsid w:val="00325D90"/>
    <w:rsid w:val="00331D75"/>
    <w:rsid w:val="00332BFB"/>
    <w:rsid w:val="00355362"/>
    <w:rsid w:val="00363E44"/>
    <w:rsid w:val="00387114"/>
    <w:rsid w:val="00391387"/>
    <w:rsid w:val="00395E86"/>
    <w:rsid w:val="00396E16"/>
    <w:rsid w:val="00397983"/>
    <w:rsid w:val="003A2FD8"/>
    <w:rsid w:val="003A3996"/>
    <w:rsid w:val="003B40E6"/>
    <w:rsid w:val="003C20F7"/>
    <w:rsid w:val="003C466F"/>
    <w:rsid w:val="003F6E14"/>
    <w:rsid w:val="00405336"/>
    <w:rsid w:val="00405FE8"/>
    <w:rsid w:val="00442AFC"/>
    <w:rsid w:val="004571D5"/>
    <w:rsid w:val="00461D81"/>
    <w:rsid w:val="0046356B"/>
    <w:rsid w:val="00477182"/>
    <w:rsid w:val="004779CB"/>
    <w:rsid w:val="004A159F"/>
    <w:rsid w:val="004A70DB"/>
    <w:rsid w:val="004B2F21"/>
    <w:rsid w:val="004E42D8"/>
    <w:rsid w:val="004E7BA2"/>
    <w:rsid w:val="004F77CA"/>
    <w:rsid w:val="004F7EDF"/>
    <w:rsid w:val="005001AC"/>
    <w:rsid w:val="0050566E"/>
    <w:rsid w:val="0052086E"/>
    <w:rsid w:val="00527D71"/>
    <w:rsid w:val="005607DD"/>
    <w:rsid w:val="005609E9"/>
    <w:rsid w:val="00587FF6"/>
    <w:rsid w:val="005A558C"/>
    <w:rsid w:val="005C52D5"/>
    <w:rsid w:val="005C680F"/>
    <w:rsid w:val="005D06C2"/>
    <w:rsid w:val="005D088E"/>
    <w:rsid w:val="005E0B62"/>
    <w:rsid w:val="005E28F8"/>
    <w:rsid w:val="005E6513"/>
    <w:rsid w:val="006069C6"/>
    <w:rsid w:val="00611A19"/>
    <w:rsid w:val="006140DF"/>
    <w:rsid w:val="00651114"/>
    <w:rsid w:val="0065772A"/>
    <w:rsid w:val="00670299"/>
    <w:rsid w:val="00680EA1"/>
    <w:rsid w:val="00690668"/>
    <w:rsid w:val="00691985"/>
    <w:rsid w:val="006A1B64"/>
    <w:rsid w:val="006B54E4"/>
    <w:rsid w:val="006C34CC"/>
    <w:rsid w:val="006D169A"/>
    <w:rsid w:val="006E3E68"/>
    <w:rsid w:val="006F4C3A"/>
    <w:rsid w:val="007108F5"/>
    <w:rsid w:val="00713E5B"/>
    <w:rsid w:val="0073021A"/>
    <w:rsid w:val="007402FC"/>
    <w:rsid w:val="00740CAE"/>
    <w:rsid w:val="007411A1"/>
    <w:rsid w:val="00763345"/>
    <w:rsid w:val="007823F5"/>
    <w:rsid w:val="007843C9"/>
    <w:rsid w:val="00797F24"/>
    <w:rsid w:val="007B5946"/>
    <w:rsid w:val="007D5C62"/>
    <w:rsid w:val="007E64AA"/>
    <w:rsid w:val="007E765C"/>
    <w:rsid w:val="007F5297"/>
    <w:rsid w:val="00807D35"/>
    <w:rsid w:val="00811F12"/>
    <w:rsid w:val="00820484"/>
    <w:rsid w:val="00824DF3"/>
    <w:rsid w:val="00840BB2"/>
    <w:rsid w:val="00863539"/>
    <w:rsid w:val="008835FB"/>
    <w:rsid w:val="00885C9B"/>
    <w:rsid w:val="008C069B"/>
    <w:rsid w:val="008D3877"/>
    <w:rsid w:val="008D5D2A"/>
    <w:rsid w:val="008D7A56"/>
    <w:rsid w:val="008F28F2"/>
    <w:rsid w:val="00914B63"/>
    <w:rsid w:val="009258B8"/>
    <w:rsid w:val="009354F3"/>
    <w:rsid w:val="00943C3C"/>
    <w:rsid w:val="009446BA"/>
    <w:rsid w:val="009447DC"/>
    <w:rsid w:val="009519CF"/>
    <w:rsid w:val="00961BA5"/>
    <w:rsid w:val="009743A9"/>
    <w:rsid w:val="009813AF"/>
    <w:rsid w:val="00982AD4"/>
    <w:rsid w:val="009A5287"/>
    <w:rsid w:val="009A670E"/>
    <w:rsid w:val="009B2AC5"/>
    <w:rsid w:val="009B7984"/>
    <w:rsid w:val="009F4BED"/>
    <w:rsid w:val="009F7D93"/>
    <w:rsid w:val="00A3403B"/>
    <w:rsid w:val="00A356F3"/>
    <w:rsid w:val="00A51A12"/>
    <w:rsid w:val="00A627D4"/>
    <w:rsid w:val="00A70D3D"/>
    <w:rsid w:val="00A72B81"/>
    <w:rsid w:val="00A74DA2"/>
    <w:rsid w:val="00A80D4F"/>
    <w:rsid w:val="00A85F23"/>
    <w:rsid w:val="00AC15B4"/>
    <w:rsid w:val="00AC6CEB"/>
    <w:rsid w:val="00AD3787"/>
    <w:rsid w:val="00AD499C"/>
    <w:rsid w:val="00AE5A70"/>
    <w:rsid w:val="00B003EE"/>
    <w:rsid w:val="00B038F4"/>
    <w:rsid w:val="00B062AE"/>
    <w:rsid w:val="00B12055"/>
    <w:rsid w:val="00B15008"/>
    <w:rsid w:val="00B16F99"/>
    <w:rsid w:val="00B36869"/>
    <w:rsid w:val="00B42F9C"/>
    <w:rsid w:val="00B43B31"/>
    <w:rsid w:val="00B4577D"/>
    <w:rsid w:val="00B47CFA"/>
    <w:rsid w:val="00B52A42"/>
    <w:rsid w:val="00B57F00"/>
    <w:rsid w:val="00B77B2A"/>
    <w:rsid w:val="00B82C22"/>
    <w:rsid w:val="00B8723B"/>
    <w:rsid w:val="00B93DBA"/>
    <w:rsid w:val="00B9440A"/>
    <w:rsid w:val="00BB2D2A"/>
    <w:rsid w:val="00BC0536"/>
    <w:rsid w:val="00BD4207"/>
    <w:rsid w:val="00BD58CF"/>
    <w:rsid w:val="00BE7A0D"/>
    <w:rsid w:val="00C046DC"/>
    <w:rsid w:val="00C04CC1"/>
    <w:rsid w:val="00C364C5"/>
    <w:rsid w:val="00C47714"/>
    <w:rsid w:val="00C50C6D"/>
    <w:rsid w:val="00C600D9"/>
    <w:rsid w:val="00C65D58"/>
    <w:rsid w:val="00C81A7E"/>
    <w:rsid w:val="00C85C06"/>
    <w:rsid w:val="00C967D1"/>
    <w:rsid w:val="00CA238A"/>
    <w:rsid w:val="00CC1384"/>
    <w:rsid w:val="00CD3720"/>
    <w:rsid w:val="00CF0200"/>
    <w:rsid w:val="00CF16C9"/>
    <w:rsid w:val="00CF1848"/>
    <w:rsid w:val="00CF5C2F"/>
    <w:rsid w:val="00D04BCF"/>
    <w:rsid w:val="00D06A01"/>
    <w:rsid w:val="00D143D9"/>
    <w:rsid w:val="00D269AB"/>
    <w:rsid w:val="00D346C2"/>
    <w:rsid w:val="00D62EDB"/>
    <w:rsid w:val="00D71B61"/>
    <w:rsid w:val="00DA22DA"/>
    <w:rsid w:val="00DA59EA"/>
    <w:rsid w:val="00DB0B1D"/>
    <w:rsid w:val="00DB6222"/>
    <w:rsid w:val="00DC51F5"/>
    <w:rsid w:val="00DC623A"/>
    <w:rsid w:val="00DD421A"/>
    <w:rsid w:val="00E257C8"/>
    <w:rsid w:val="00E37047"/>
    <w:rsid w:val="00E54552"/>
    <w:rsid w:val="00E60D0F"/>
    <w:rsid w:val="00E8028A"/>
    <w:rsid w:val="00E82AE7"/>
    <w:rsid w:val="00E906A1"/>
    <w:rsid w:val="00E9773B"/>
    <w:rsid w:val="00EA596B"/>
    <w:rsid w:val="00EC13A3"/>
    <w:rsid w:val="00EC7C85"/>
    <w:rsid w:val="00EE544A"/>
    <w:rsid w:val="00F04CD9"/>
    <w:rsid w:val="00F125EE"/>
    <w:rsid w:val="00F12E98"/>
    <w:rsid w:val="00F22029"/>
    <w:rsid w:val="00F24B61"/>
    <w:rsid w:val="00F25DEF"/>
    <w:rsid w:val="00F35E16"/>
    <w:rsid w:val="00F41F89"/>
    <w:rsid w:val="00F50C12"/>
    <w:rsid w:val="00F514EC"/>
    <w:rsid w:val="00F60CD4"/>
    <w:rsid w:val="00F630EA"/>
    <w:rsid w:val="00F7007E"/>
    <w:rsid w:val="00F70200"/>
    <w:rsid w:val="00F73193"/>
    <w:rsid w:val="00F74F95"/>
    <w:rsid w:val="00F80705"/>
    <w:rsid w:val="00F8291A"/>
    <w:rsid w:val="00FA1481"/>
    <w:rsid w:val="00FB1CBC"/>
    <w:rsid w:val="00FB454A"/>
    <w:rsid w:val="00FC7689"/>
    <w:rsid w:val="00FD3D27"/>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7D1EA8"/>
  <w14:defaultImageDpi w14:val="32767"/>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F50C12"/>
    <w:rPr>
      <w:sz w:val="24"/>
    </w:rPr>
  </w:style>
  <w:style w:type="paragraph" w:styleId="Titolo1">
    <w:name w:val="heading 1"/>
    <w:basedOn w:val="Normale"/>
    <w:next w:val="Normale"/>
    <w:link w:val="Titolo1Carattere"/>
    <w:semiHidden/>
    <w:qFormat/>
    <w:rsid w:val="00B43B31"/>
    <w:pPr>
      <w:keepNext/>
      <w:spacing w:before="240" w:after="60"/>
      <w:outlineLvl w:val="0"/>
    </w:pPr>
    <w:rPr>
      <w:b/>
      <w:bCs/>
      <w:kern w:val="32"/>
      <w:szCs w:val="24"/>
    </w:rPr>
  </w:style>
  <w:style w:type="paragraph" w:styleId="Titolo2">
    <w:name w:val="heading 2"/>
    <w:basedOn w:val="Normale"/>
    <w:next w:val="Normale"/>
    <w:link w:val="Titolo2Carattere"/>
    <w:semiHidden/>
    <w:qFormat/>
    <w:rsid w:val="007411A1"/>
    <w:pPr>
      <w:keepNext/>
      <w:spacing w:before="240" w:after="60"/>
      <w:outlineLvl w:val="1"/>
    </w:pPr>
    <w:rPr>
      <w:rFonts w:ascii="Cambria" w:hAnsi="Cambria"/>
      <w:b/>
      <w:bCs/>
      <w:i/>
      <w:iCs/>
      <w:sz w:val="28"/>
      <w:szCs w:val="28"/>
    </w:rPr>
  </w:style>
  <w:style w:type="paragraph" w:styleId="Titolo3">
    <w:name w:val="heading 3"/>
    <w:basedOn w:val="Normale"/>
    <w:next w:val="Normale"/>
    <w:semiHidden/>
    <w:qFormat/>
    <w:rsid w:val="00C600D9"/>
    <w:pPr>
      <w:keepNext/>
      <w:spacing w:line="480" w:lineRule="auto"/>
      <w:outlineLvl w:val="2"/>
    </w:pPr>
    <w:rPr>
      <w:rFonts w:ascii="Times" w:eastAsia="Times" w:hAnsi="Times"/>
      <w:b/>
    </w:rPr>
  </w:style>
  <w:style w:type="paragraph" w:styleId="Titolo4">
    <w:name w:val="heading 4"/>
    <w:basedOn w:val="Normale"/>
    <w:next w:val="Normale"/>
    <w:semiHidden/>
    <w:qFormat/>
    <w:rsid w:val="00C600D9"/>
    <w:pPr>
      <w:keepNext/>
      <w:spacing w:line="480" w:lineRule="auto"/>
      <w:outlineLvl w:val="3"/>
    </w:pPr>
    <w:rPr>
      <w:rFonts w:ascii="Times" w:hAnsi="Times"/>
      <w:b/>
      <w:color w:val="0000FF"/>
      <w:sz w:val="44"/>
    </w:rPr>
  </w:style>
  <w:style w:type="paragraph" w:styleId="Titolo5">
    <w:name w:val="heading 5"/>
    <w:basedOn w:val="Normale"/>
    <w:next w:val="Normale"/>
    <w:link w:val="Titolo5Carattere"/>
    <w:semiHidden/>
    <w:qFormat/>
    <w:rsid w:val="007411A1"/>
    <w:pPr>
      <w:spacing w:before="240" w:after="60"/>
      <w:outlineLvl w:val="4"/>
    </w:pPr>
    <w:rPr>
      <w:rFonts w:ascii="Calibri" w:hAnsi="Calibri"/>
      <w:b/>
      <w:bCs/>
      <w:i/>
      <w:iCs/>
      <w:sz w:val="26"/>
      <w:szCs w:val="26"/>
    </w:rPr>
  </w:style>
  <w:style w:type="paragraph" w:styleId="Titolo6">
    <w:name w:val="heading 6"/>
    <w:basedOn w:val="Normale"/>
    <w:next w:val="Normale"/>
    <w:link w:val="Titolo6Carattere"/>
    <w:semiHidden/>
    <w:qFormat/>
    <w:rsid w:val="007411A1"/>
    <w:pPr>
      <w:spacing w:before="240" w:after="60"/>
      <w:outlineLvl w:val="5"/>
    </w:pPr>
    <w:rPr>
      <w:rFonts w:ascii="Calibri" w:hAnsi="Calibri"/>
      <w:b/>
      <w:bCs/>
      <w:sz w:val="22"/>
      <w:szCs w:val="22"/>
    </w:rPr>
  </w:style>
  <w:style w:type="paragraph" w:styleId="Titolo7">
    <w:name w:val="heading 7"/>
    <w:basedOn w:val="Normale"/>
    <w:next w:val="Normale"/>
    <w:link w:val="Titolo7Carattere"/>
    <w:semiHidden/>
    <w:qFormat/>
    <w:rsid w:val="007411A1"/>
    <w:pPr>
      <w:spacing w:before="240" w:after="60"/>
      <w:outlineLvl w:val="6"/>
    </w:pPr>
    <w:rPr>
      <w:rFonts w:ascii="Calibri" w:hAnsi="Calibri"/>
      <w:szCs w:val="24"/>
    </w:rPr>
  </w:style>
  <w:style w:type="paragraph" w:styleId="Titolo8">
    <w:name w:val="heading 8"/>
    <w:basedOn w:val="Normale"/>
    <w:next w:val="Normale"/>
    <w:link w:val="Titolo8Carattere"/>
    <w:semiHidden/>
    <w:qFormat/>
    <w:rsid w:val="007411A1"/>
    <w:pPr>
      <w:spacing w:before="240" w:after="60"/>
      <w:outlineLvl w:val="7"/>
    </w:pPr>
    <w:rPr>
      <w:rFonts w:ascii="Calibri" w:hAnsi="Calibri"/>
      <w:i/>
      <w:iCs/>
      <w:szCs w:val="24"/>
    </w:rPr>
  </w:style>
  <w:style w:type="paragraph" w:styleId="Titolo9">
    <w:name w:val="heading 9"/>
    <w:basedOn w:val="Normale"/>
    <w:next w:val="Normale"/>
    <w:link w:val="Titolo9Carattere"/>
    <w:semiHidden/>
    <w:qFormat/>
    <w:rsid w:val="007411A1"/>
    <w:pPr>
      <w:spacing w:before="240" w:after="60"/>
      <w:outlineLvl w:val="8"/>
    </w:pPr>
    <w:rPr>
      <w:rFonts w:ascii="Cambria" w:hAnsi="Cambria"/>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semiHidden/>
    <w:rsid w:val="00477182"/>
  </w:style>
  <w:style w:type="character" w:customStyle="1" w:styleId="Titolo1Carattere">
    <w:name w:val="Titolo 1 Carattere"/>
    <w:basedOn w:val="Carpredefinitoparagrafo"/>
    <w:link w:val="Titolo1"/>
    <w:semiHidden/>
    <w:rsid w:val="00FF04E3"/>
    <w:rPr>
      <w:b/>
      <w:bCs/>
      <w:kern w:val="32"/>
      <w:sz w:val="24"/>
      <w:szCs w:val="24"/>
    </w:rPr>
  </w:style>
  <w:style w:type="character" w:customStyle="1" w:styleId="Titolo2Carattere">
    <w:name w:val="Titolo 2 Carattere"/>
    <w:basedOn w:val="Carpredefinitoparagrafo"/>
    <w:link w:val="Titolo2"/>
    <w:semiHidden/>
    <w:rsid w:val="00FF04E3"/>
    <w:rPr>
      <w:rFonts w:ascii="Cambria" w:hAnsi="Cambria"/>
      <w:b/>
      <w:bCs/>
      <w:i/>
      <w:iCs/>
      <w:sz w:val="28"/>
      <w:szCs w:val="28"/>
    </w:rPr>
  </w:style>
  <w:style w:type="character" w:customStyle="1" w:styleId="Titolo5Carattere">
    <w:name w:val="Titolo 5 Carattere"/>
    <w:basedOn w:val="Carpredefinitoparagrafo"/>
    <w:link w:val="Titolo5"/>
    <w:semiHidden/>
    <w:rsid w:val="00FF04E3"/>
    <w:rPr>
      <w:rFonts w:ascii="Calibri" w:hAnsi="Calibri"/>
      <w:b/>
      <w:bCs/>
      <w:i/>
      <w:iCs/>
      <w:sz w:val="26"/>
      <w:szCs w:val="26"/>
    </w:rPr>
  </w:style>
  <w:style w:type="character" w:customStyle="1" w:styleId="Titolo6Carattere">
    <w:name w:val="Titolo 6 Carattere"/>
    <w:basedOn w:val="Carpredefinitoparagrafo"/>
    <w:link w:val="Titolo6"/>
    <w:semiHidden/>
    <w:rsid w:val="00FF04E3"/>
    <w:rPr>
      <w:rFonts w:ascii="Calibri" w:hAnsi="Calibri"/>
      <w:b/>
      <w:bCs/>
      <w:sz w:val="22"/>
      <w:szCs w:val="22"/>
    </w:rPr>
  </w:style>
  <w:style w:type="character" w:customStyle="1" w:styleId="Titolo7Carattere">
    <w:name w:val="Titolo 7 Carattere"/>
    <w:basedOn w:val="Carpredefinitoparagrafo"/>
    <w:link w:val="Titolo7"/>
    <w:semiHidden/>
    <w:rsid w:val="00FF04E3"/>
    <w:rPr>
      <w:rFonts w:ascii="Calibri" w:hAnsi="Calibri"/>
      <w:sz w:val="24"/>
      <w:szCs w:val="24"/>
    </w:rPr>
  </w:style>
  <w:style w:type="character" w:customStyle="1" w:styleId="Titolo8Carattere">
    <w:name w:val="Titolo 8 Carattere"/>
    <w:basedOn w:val="Carpredefinitoparagrafo"/>
    <w:link w:val="Titolo8"/>
    <w:semiHidden/>
    <w:rsid w:val="00FF04E3"/>
    <w:rPr>
      <w:rFonts w:ascii="Calibri" w:hAnsi="Calibri"/>
      <w:i/>
      <w:iCs/>
      <w:sz w:val="24"/>
      <w:szCs w:val="24"/>
    </w:rPr>
  </w:style>
  <w:style w:type="character" w:customStyle="1" w:styleId="Titolo9Carattere">
    <w:name w:val="Titolo 9 Carattere"/>
    <w:basedOn w:val="Carpredefinitoparagrafo"/>
    <w:link w:val="Titolo9"/>
    <w:semiHidden/>
    <w:rsid w:val="00FF04E3"/>
    <w:rPr>
      <w:rFonts w:ascii="Cambria" w:hAnsi="Cambria"/>
      <w:sz w:val="22"/>
      <w:szCs w:val="22"/>
    </w:rPr>
  </w:style>
  <w:style w:type="paragraph" w:customStyle="1" w:styleId="SMHeading">
    <w:name w:val="SM Heading"/>
    <w:basedOn w:val="Titolo1"/>
    <w:qFormat/>
    <w:rsid w:val="00F74F95"/>
  </w:style>
  <w:style w:type="paragraph" w:customStyle="1" w:styleId="SMSubheading">
    <w:name w:val="SM Subheading"/>
    <w:basedOn w:val="Normale"/>
    <w:qFormat/>
    <w:rsid w:val="00B9440A"/>
    <w:rPr>
      <w:u w:val="words"/>
    </w:rPr>
  </w:style>
  <w:style w:type="paragraph" w:customStyle="1" w:styleId="SMText">
    <w:name w:val="SM Text"/>
    <w:basedOn w:val="Normale"/>
    <w:qFormat/>
    <w:rsid w:val="00B9440A"/>
    <w:pPr>
      <w:ind w:firstLine="480"/>
    </w:pPr>
  </w:style>
  <w:style w:type="paragraph" w:customStyle="1" w:styleId="SMcaption">
    <w:name w:val="SM caption"/>
    <w:basedOn w:val="SMText"/>
    <w:qFormat/>
    <w:rsid w:val="00B9440A"/>
    <w:pPr>
      <w:ind w:firstLine="0"/>
    </w:pPr>
  </w:style>
  <w:style w:type="paragraph" w:styleId="Testofumetto">
    <w:name w:val="Balloon Text"/>
    <w:basedOn w:val="Normale"/>
    <w:link w:val="TestofumettoCarattere"/>
    <w:semiHidden/>
    <w:rsid w:val="00405336"/>
    <w:rPr>
      <w:rFonts w:ascii="Tahoma" w:hAnsi="Tahoma" w:cs="Tahoma"/>
      <w:sz w:val="16"/>
      <w:szCs w:val="16"/>
    </w:rPr>
  </w:style>
  <w:style w:type="character" w:customStyle="1" w:styleId="TestofumettoCarattere">
    <w:name w:val="Testo fumetto Carattere"/>
    <w:basedOn w:val="Carpredefinitoparagrafo"/>
    <w:link w:val="Testofumetto"/>
    <w:semiHidden/>
    <w:rsid w:val="00FF04E3"/>
    <w:rPr>
      <w:rFonts w:ascii="Tahoma" w:hAnsi="Tahoma" w:cs="Tahoma"/>
      <w:sz w:val="16"/>
      <w:szCs w:val="16"/>
    </w:rPr>
  </w:style>
  <w:style w:type="paragraph" w:styleId="Bibliografia">
    <w:name w:val="Bibliography"/>
    <w:basedOn w:val="Normale"/>
    <w:next w:val="Normale"/>
    <w:uiPriority w:val="37"/>
    <w:semiHidden/>
    <w:rsid w:val="00405336"/>
    <w:pPr>
      <w:tabs>
        <w:tab w:val="left" w:pos="504"/>
      </w:tabs>
      <w:spacing w:after="240"/>
      <w:ind w:left="504" w:hanging="504"/>
    </w:pPr>
  </w:style>
  <w:style w:type="paragraph" w:styleId="Testodelblocco">
    <w:name w:val="Block Text"/>
    <w:basedOn w:val="Normale"/>
    <w:semiHidden/>
    <w:rsid w:val="00405336"/>
    <w:pPr>
      <w:spacing w:after="120"/>
      <w:ind w:left="1440" w:right="1440"/>
    </w:pPr>
  </w:style>
  <w:style w:type="paragraph" w:styleId="Corpotesto">
    <w:name w:val="Body Text"/>
    <w:basedOn w:val="Normale"/>
    <w:link w:val="CorpotestoCarattere"/>
    <w:semiHidden/>
    <w:rsid w:val="00405336"/>
    <w:pPr>
      <w:spacing w:after="120"/>
    </w:pPr>
  </w:style>
  <w:style w:type="character" w:customStyle="1" w:styleId="CorpotestoCarattere">
    <w:name w:val="Corpo testo Carattere"/>
    <w:basedOn w:val="Carpredefinitoparagrafo"/>
    <w:link w:val="Corpotesto"/>
    <w:semiHidden/>
    <w:rsid w:val="00FF04E3"/>
    <w:rPr>
      <w:sz w:val="24"/>
    </w:rPr>
  </w:style>
  <w:style w:type="paragraph" w:styleId="Corpodeltesto2">
    <w:name w:val="Body Text 2"/>
    <w:basedOn w:val="Normale"/>
    <w:link w:val="Corpodeltesto2Carattere"/>
    <w:semiHidden/>
    <w:rsid w:val="00405336"/>
    <w:pPr>
      <w:spacing w:after="120" w:line="480" w:lineRule="auto"/>
    </w:pPr>
  </w:style>
  <w:style w:type="character" w:customStyle="1" w:styleId="Corpodeltesto2Carattere">
    <w:name w:val="Corpo del testo 2 Carattere"/>
    <w:basedOn w:val="Carpredefinitoparagrafo"/>
    <w:link w:val="Corpodeltesto2"/>
    <w:semiHidden/>
    <w:rsid w:val="00FF04E3"/>
    <w:rPr>
      <w:sz w:val="24"/>
    </w:rPr>
  </w:style>
  <w:style w:type="paragraph" w:styleId="Corpodeltesto3">
    <w:name w:val="Body Text 3"/>
    <w:basedOn w:val="Normale"/>
    <w:link w:val="Corpodeltesto3Carattere"/>
    <w:semiHidden/>
    <w:rsid w:val="00405336"/>
    <w:pPr>
      <w:spacing w:after="120"/>
    </w:pPr>
    <w:rPr>
      <w:sz w:val="16"/>
      <w:szCs w:val="16"/>
    </w:rPr>
  </w:style>
  <w:style w:type="character" w:customStyle="1" w:styleId="Corpodeltesto3Carattere">
    <w:name w:val="Corpo del testo 3 Carattere"/>
    <w:basedOn w:val="Carpredefinitoparagrafo"/>
    <w:link w:val="Corpodeltesto3"/>
    <w:semiHidden/>
    <w:rsid w:val="00FF04E3"/>
    <w:rPr>
      <w:sz w:val="16"/>
      <w:szCs w:val="16"/>
    </w:rPr>
  </w:style>
  <w:style w:type="paragraph" w:styleId="Primorientrocorpodeltesto">
    <w:name w:val="Body Text First Indent"/>
    <w:basedOn w:val="Corpotesto"/>
    <w:link w:val="PrimorientrocorpodeltestoCarattere"/>
    <w:semiHidden/>
    <w:rsid w:val="00405336"/>
    <w:pPr>
      <w:ind w:firstLine="210"/>
    </w:pPr>
  </w:style>
  <w:style w:type="character" w:customStyle="1" w:styleId="PrimorientrocorpodeltestoCarattere">
    <w:name w:val="Primo rientro corpo del testo Carattere"/>
    <w:basedOn w:val="CorpotestoCarattere"/>
    <w:link w:val="Primorientrocorpodeltesto"/>
    <w:semiHidden/>
    <w:rsid w:val="00FF04E3"/>
    <w:rPr>
      <w:sz w:val="24"/>
    </w:rPr>
  </w:style>
  <w:style w:type="paragraph" w:styleId="Rientrocorpodeltesto">
    <w:name w:val="Body Text Indent"/>
    <w:basedOn w:val="Normale"/>
    <w:link w:val="RientrocorpodeltestoCarattere"/>
    <w:semiHidden/>
    <w:rsid w:val="00405336"/>
    <w:pPr>
      <w:spacing w:after="120"/>
      <w:ind w:left="360"/>
    </w:pPr>
  </w:style>
  <w:style w:type="character" w:customStyle="1" w:styleId="RientrocorpodeltestoCarattere">
    <w:name w:val="Rientro corpo del testo Carattere"/>
    <w:basedOn w:val="Carpredefinitoparagrafo"/>
    <w:link w:val="Rientrocorpodeltesto"/>
    <w:semiHidden/>
    <w:rsid w:val="00FF04E3"/>
    <w:rPr>
      <w:sz w:val="24"/>
    </w:rPr>
  </w:style>
  <w:style w:type="paragraph" w:styleId="Primorientrocorpodeltesto2">
    <w:name w:val="Body Text First Indent 2"/>
    <w:basedOn w:val="Rientrocorpodeltesto"/>
    <w:link w:val="Primorientrocorpodeltesto2Carattere"/>
    <w:semiHidden/>
    <w:rsid w:val="00405336"/>
    <w:pPr>
      <w:ind w:firstLine="210"/>
    </w:pPr>
  </w:style>
  <w:style w:type="character" w:customStyle="1" w:styleId="Primorientrocorpodeltesto2Carattere">
    <w:name w:val="Primo rientro corpo del testo 2 Carattere"/>
    <w:basedOn w:val="RientrocorpodeltestoCarattere"/>
    <w:link w:val="Primorientrocorpodeltesto2"/>
    <w:semiHidden/>
    <w:rsid w:val="00FF04E3"/>
    <w:rPr>
      <w:sz w:val="24"/>
    </w:rPr>
  </w:style>
  <w:style w:type="paragraph" w:styleId="Rientrocorpodeltesto2">
    <w:name w:val="Body Text Indent 2"/>
    <w:basedOn w:val="Normale"/>
    <w:link w:val="Rientrocorpodeltesto2Carattere"/>
    <w:semiHidden/>
    <w:rsid w:val="00405336"/>
    <w:pPr>
      <w:spacing w:after="120" w:line="480" w:lineRule="auto"/>
      <w:ind w:left="360"/>
    </w:pPr>
  </w:style>
  <w:style w:type="character" w:customStyle="1" w:styleId="Rientrocorpodeltesto2Carattere">
    <w:name w:val="Rientro corpo del testo 2 Carattere"/>
    <w:basedOn w:val="Carpredefinitoparagrafo"/>
    <w:link w:val="Rientrocorpodeltesto2"/>
    <w:semiHidden/>
    <w:rsid w:val="00FF04E3"/>
    <w:rPr>
      <w:sz w:val="24"/>
    </w:rPr>
  </w:style>
  <w:style w:type="paragraph" w:styleId="Rientrocorpodeltesto3">
    <w:name w:val="Body Text Indent 3"/>
    <w:basedOn w:val="Normale"/>
    <w:link w:val="Rientrocorpodeltesto3Carattere"/>
    <w:semiHidden/>
    <w:rsid w:val="00405336"/>
    <w:pPr>
      <w:spacing w:after="120"/>
      <w:ind w:left="360"/>
    </w:pPr>
    <w:rPr>
      <w:sz w:val="16"/>
      <w:szCs w:val="16"/>
    </w:rPr>
  </w:style>
  <w:style w:type="character" w:customStyle="1" w:styleId="Rientrocorpodeltesto3Carattere">
    <w:name w:val="Rientro corpo del testo 3 Carattere"/>
    <w:basedOn w:val="Carpredefinitoparagrafo"/>
    <w:link w:val="Rientrocorpodeltesto3"/>
    <w:semiHidden/>
    <w:rsid w:val="00FF04E3"/>
    <w:rPr>
      <w:sz w:val="16"/>
      <w:szCs w:val="16"/>
    </w:rPr>
  </w:style>
  <w:style w:type="paragraph" w:styleId="Didascalia">
    <w:name w:val="caption"/>
    <w:basedOn w:val="Normale"/>
    <w:next w:val="Normale"/>
    <w:semiHidden/>
    <w:qFormat/>
    <w:rsid w:val="00405336"/>
    <w:rPr>
      <w:b/>
      <w:bCs/>
      <w:sz w:val="20"/>
    </w:rPr>
  </w:style>
  <w:style w:type="paragraph" w:styleId="Formuladichiusura">
    <w:name w:val="Closing"/>
    <w:basedOn w:val="Normale"/>
    <w:link w:val="FormuladichiusuraCarattere"/>
    <w:semiHidden/>
    <w:rsid w:val="00405336"/>
    <w:pPr>
      <w:ind w:left="4320"/>
    </w:pPr>
  </w:style>
  <w:style w:type="character" w:customStyle="1" w:styleId="FormuladichiusuraCarattere">
    <w:name w:val="Formula di chiusura Carattere"/>
    <w:basedOn w:val="Carpredefinitoparagrafo"/>
    <w:link w:val="Formuladichiusura"/>
    <w:semiHidden/>
    <w:rsid w:val="00FF04E3"/>
    <w:rPr>
      <w:sz w:val="24"/>
    </w:rPr>
  </w:style>
  <w:style w:type="paragraph" w:styleId="Testocommento">
    <w:name w:val="annotation text"/>
    <w:basedOn w:val="Normale"/>
    <w:link w:val="TestocommentoCarattere"/>
    <w:semiHidden/>
    <w:rsid w:val="00405336"/>
    <w:rPr>
      <w:sz w:val="20"/>
    </w:rPr>
  </w:style>
  <w:style w:type="character" w:customStyle="1" w:styleId="TestocommentoCarattere">
    <w:name w:val="Testo commento Carattere"/>
    <w:basedOn w:val="Carpredefinitoparagrafo"/>
    <w:link w:val="Testocommento"/>
    <w:semiHidden/>
    <w:rsid w:val="00FF04E3"/>
  </w:style>
  <w:style w:type="paragraph" w:styleId="Soggettocommento">
    <w:name w:val="annotation subject"/>
    <w:basedOn w:val="Testocommento"/>
    <w:next w:val="Testocommento"/>
    <w:link w:val="SoggettocommentoCarattere"/>
    <w:semiHidden/>
    <w:rsid w:val="00405336"/>
    <w:rPr>
      <w:b/>
      <w:bCs/>
    </w:rPr>
  </w:style>
  <w:style w:type="character" w:customStyle="1" w:styleId="SoggettocommentoCarattere">
    <w:name w:val="Soggetto commento Carattere"/>
    <w:basedOn w:val="TestocommentoCarattere"/>
    <w:link w:val="Soggettocommento"/>
    <w:semiHidden/>
    <w:rsid w:val="00FF04E3"/>
    <w:rPr>
      <w:b/>
      <w:bCs/>
    </w:rPr>
  </w:style>
  <w:style w:type="paragraph" w:styleId="Data">
    <w:name w:val="Date"/>
    <w:basedOn w:val="Normale"/>
    <w:next w:val="Normale"/>
    <w:link w:val="DataCarattere"/>
    <w:semiHidden/>
    <w:rsid w:val="00405336"/>
  </w:style>
  <w:style w:type="character" w:customStyle="1" w:styleId="DataCarattere">
    <w:name w:val="Data Carattere"/>
    <w:basedOn w:val="Carpredefinitoparagrafo"/>
    <w:link w:val="Data"/>
    <w:semiHidden/>
    <w:rsid w:val="00FF04E3"/>
    <w:rPr>
      <w:sz w:val="24"/>
    </w:rPr>
  </w:style>
  <w:style w:type="paragraph" w:styleId="Mappadocumento">
    <w:name w:val="Document Map"/>
    <w:basedOn w:val="Normale"/>
    <w:link w:val="MappadocumentoCarattere"/>
    <w:semiHidden/>
    <w:rsid w:val="00405336"/>
    <w:rPr>
      <w:rFonts w:ascii="Tahoma" w:hAnsi="Tahoma" w:cs="Tahoma"/>
      <w:sz w:val="16"/>
      <w:szCs w:val="16"/>
    </w:rPr>
  </w:style>
  <w:style w:type="character" w:customStyle="1" w:styleId="MappadocumentoCarattere">
    <w:name w:val="Mappa documento Carattere"/>
    <w:basedOn w:val="Carpredefinitoparagrafo"/>
    <w:link w:val="Mappadocumento"/>
    <w:semiHidden/>
    <w:rsid w:val="00FF04E3"/>
    <w:rPr>
      <w:rFonts w:ascii="Tahoma" w:hAnsi="Tahoma" w:cs="Tahoma"/>
      <w:sz w:val="16"/>
      <w:szCs w:val="16"/>
    </w:rPr>
  </w:style>
  <w:style w:type="paragraph" w:styleId="Firmadipostaelettronica">
    <w:name w:val="E-mail Signature"/>
    <w:basedOn w:val="Normale"/>
    <w:link w:val="FirmadipostaelettronicaCarattere"/>
    <w:semiHidden/>
    <w:rsid w:val="00405336"/>
  </w:style>
  <w:style w:type="character" w:customStyle="1" w:styleId="FirmadipostaelettronicaCarattere">
    <w:name w:val="Firma di posta elettronica Carattere"/>
    <w:basedOn w:val="Carpredefinitoparagrafo"/>
    <w:link w:val="Firmadipostaelettronica"/>
    <w:semiHidden/>
    <w:rsid w:val="00FF04E3"/>
    <w:rPr>
      <w:sz w:val="24"/>
    </w:rPr>
  </w:style>
  <w:style w:type="paragraph" w:styleId="Testonotadichiusura">
    <w:name w:val="endnote text"/>
    <w:basedOn w:val="Normale"/>
    <w:link w:val="TestonotadichiusuraCarattere"/>
    <w:semiHidden/>
    <w:rsid w:val="00405336"/>
    <w:rPr>
      <w:sz w:val="20"/>
    </w:rPr>
  </w:style>
  <w:style w:type="character" w:customStyle="1" w:styleId="TestonotadichiusuraCarattere">
    <w:name w:val="Testo nota di chiusura Carattere"/>
    <w:basedOn w:val="Carpredefinitoparagrafo"/>
    <w:link w:val="Testonotadichiusura"/>
    <w:semiHidden/>
    <w:rsid w:val="00FF04E3"/>
  </w:style>
  <w:style w:type="paragraph" w:styleId="Indirizzodestinatario">
    <w:name w:val="envelope address"/>
    <w:basedOn w:val="Normale"/>
    <w:semiHidden/>
    <w:rsid w:val="00405336"/>
    <w:pPr>
      <w:framePr w:w="7920" w:h="1980" w:hRule="exact" w:hSpace="180" w:wrap="auto" w:hAnchor="page" w:xAlign="center" w:yAlign="bottom"/>
      <w:ind w:left="2880"/>
    </w:pPr>
    <w:rPr>
      <w:rFonts w:ascii="Cambria" w:hAnsi="Cambria"/>
      <w:szCs w:val="24"/>
    </w:rPr>
  </w:style>
  <w:style w:type="paragraph" w:styleId="Indirizzomittente">
    <w:name w:val="envelope return"/>
    <w:basedOn w:val="Normale"/>
    <w:semiHidden/>
    <w:rsid w:val="00405336"/>
    <w:rPr>
      <w:rFonts w:ascii="Cambria" w:hAnsi="Cambria"/>
      <w:sz w:val="20"/>
    </w:rPr>
  </w:style>
  <w:style w:type="paragraph" w:styleId="Pidipagina">
    <w:name w:val="footer"/>
    <w:basedOn w:val="Normale"/>
    <w:link w:val="PidipaginaCarattere"/>
    <w:semiHidden/>
    <w:rsid w:val="00405336"/>
    <w:pPr>
      <w:tabs>
        <w:tab w:val="center" w:pos="4680"/>
        <w:tab w:val="right" w:pos="9360"/>
      </w:tabs>
    </w:pPr>
  </w:style>
  <w:style w:type="character" w:customStyle="1" w:styleId="PidipaginaCarattere">
    <w:name w:val="Piè di pagina Carattere"/>
    <w:basedOn w:val="Carpredefinitoparagrafo"/>
    <w:link w:val="Pidipagina"/>
    <w:semiHidden/>
    <w:rsid w:val="00FF04E3"/>
    <w:rPr>
      <w:sz w:val="24"/>
    </w:rPr>
  </w:style>
  <w:style w:type="paragraph" w:styleId="Testonotaapidipagina">
    <w:name w:val="footnote text"/>
    <w:basedOn w:val="Normale"/>
    <w:link w:val="TestonotaapidipaginaCarattere"/>
    <w:semiHidden/>
    <w:rsid w:val="00405336"/>
    <w:rPr>
      <w:sz w:val="20"/>
    </w:rPr>
  </w:style>
  <w:style w:type="character" w:customStyle="1" w:styleId="TestonotaapidipaginaCarattere">
    <w:name w:val="Testo nota a piè di pagina Carattere"/>
    <w:basedOn w:val="Carpredefinitoparagrafo"/>
    <w:link w:val="Testonotaapidipagina"/>
    <w:semiHidden/>
    <w:rsid w:val="00FF04E3"/>
  </w:style>
  <w:style w:type="paragraph" w:styleId="Intestazione">
    <w:name w:val="header"/>
    <w:basedOn w:val="Normale"/>
    <w:link w:val="IntestazioneCarattere"/>
    <w:semiHidden/>
    <w:rsid w:val="00405336"/>
    <w:pPr>
      <w:tabs>
        <w:tab w:val="center" w:pos="4680"/>
        <w:tab w:val="right" w:pos="9360"/>
      </w:tabs>
    </w:pPr>
  </w:style>
  <w:style w:type="character" w:customStyle="1" w:styleId="IntestazioneCarattere">
    <w:name w:val="Intestazione Carattere"/>
    <w:basedOn w:val="Carpredefinitoparagrafo"/>
    <w:link w:val="Intestazione"/>
    <w:semiHidden/>
    <w:rsid w:val="00FF04E3"/>
    <w:rPr>
      <w:sz w:val="24"/>
    </w:rPr>
  </w:style>
  <w:style w:type="paragraph" w:styleId="IndirizzoHTML">
    <w:name w:val="HTML Address"/>
    <w:basedOn w:val="Normale"/>
    <w:link w:val="IndirizzoHTMLCarattere"/>
    <w:semiHidden/>
    <w:rsid w:val="00405336"/>
    <w:rPr>
      <w:i/>
      <w:iCs/>
    </w:rPr>
  </w:style>
  <w:style w:type="character" w:customStyle="1" w:styleId="IndirizzoHTMLCarattere">
    <w:name w:val="Indirizzo HTML Carattere"/>
    <w:basedOn w:val="Carpredefinitoparagrafo"/>
    <w:link w:val="IndirizzoHTML"/>
    <w:semiHidden/>
    <w:rsid w:val="00FF04E3"/>
    <w:rPr>
      <w:i/>
      <w:iCs/>
      <w:sz w:val="24"/>
    </w:rPr>
  </w:style>
  <w:style w:type="paragraph" w:styleId="PreformattatoHTML">
    <w:name w:val="HTML Preformatted"/>
    <w:basedOn w:val="Normale"/>
    <w:link w:val="PreformattatoHTMLCarattere"/>
    <w:semiHidden/>
    <w:rsid w:val="00405336"/>
    <w:rPr>
      <w:rFonts w:ascii="Courier New" w:hAnsi="Courier New" w:cs="Courier New"/>
      <w:sz w:val="20"/>
    </w:rPr>
  </w:style>
  <w:style w:type="character" w:customStyle="1" w:styleId="PreformattatoHTMLCarattere">
    <w:name w:val="Preformattato HTML Carattere"/>
    <w:basedOn w:val="Carpredefinitoparagrafo"/>
    <w:link w:val="PreformattatoHTML"/>
    <w:semiHidden/>
    <w:rsid w:val="00FF04E3"/>
    <w:rPr>
      <w:rFonts w:ascii="Courier New" w:hAnsi="Courier New" w:cs="Courier New"/>
    </w:rPr>
  </w:style>
  <w:style w:type="paragraph" w:styleId="Indice1">
    <w:name w:val="index 1"/>
    <w:basedOn w:val="Normale"/>
    <w:next w:val="Normale"/>
    <w:autoRedefine/>
    <w:semiHidden/>
    <w:rsid w:val="00405336"/>
    <w:pPr>
      <w:ind w:left="240" w:hanging="240"/>
    </w:pPr>
  </w:style>
  <w:style w:type="paragraph" w:styleId="Indice2">
    <w:name w:val="index 2"/>
    <w:basedOn w:val="Normale"/>
    <w:next w:val="Normale"/>
    <w:autoRedefine/>
    <w:semiHidden/>
    <w:rsid w:val="00405336"/>
    <w:pPr>
      <w:ind w:left="480" w:hanging="240"/>
    </w:pPr>
  </w:style>
  <w:style w:type="paragraph" w:styleId="Indice3">
    <w:name w:val="index 3"/>
    <w:basedOn w:val="Normale"/>
    <w:next w:val="Normale"/>
    <w:autoRedefine/>
    <w:semiHidden/>
    <w:rsid w:val="00405336"/>
    <w:pPr>
      <w:ind w:left="720" w:hanging="240"/>
    </w:pPr>
  </w:style>
  <w:style w:type="paragraph" w:styleId="Indice4">
    <w:name w:val="index 4"/>
    <w:basedOn w:val="Normale"/>
    <w:next w:val="Normale"/>
    <w:autoRedefine/>
    <w:semiHidden/>
    <w:rsid w:val="00405336"/>
    <w:pPr>
      <w:ind w:left="960" w:hanging="240"/>
    </w:pPr>
  </w:style>
  <w:style w:type="paragraph" w:styleId="Indice5">
    <w:name w:val="index 5"/>
    <w:basedOn w:val="Normale"/>
    <w:next w:val="Normale"/>
    <w:autoRedefine/>
    <w:semiHidden/>
    <w:rsid w:val="00405336"/>
    <w:pPr>
      <w:ind w:left="1200" w:hanging="240"/>
    </w:pPr>
  </w:style>
  <w:style w:type="paragraph" w:styleId="Indice6">
    <w:name w:val="index 6"/>
    <w:basedOn w:val="Normale"/>
    <w:next w:val="Normale"/>
    <w:autoRedefine/>
    <w:semiHidden/>
    <w:rsid w:val="00405336"/>
    <w:pPr>
      <w:ind w:left="1440" w:hanging="240"/>
    </w:pPr>
  </w:style>
  <w:style w:type="paragraph" w:styleId="Indice7">
    <w:name w:val="index 7"/>
    <w:basedOn w:val="Normale"/>
    <w:next w:val="Normale"/>
    <w:autoRedefine/>
    <w:semiHidden/>
    <w:rsid w:val="00405336"/>
    <w:pPr>
      <w:ind w:left="1680" w:hanging="240"/>
    </w:pPr>
  </w:style>
  <w:style w:type="paragraph" w:styleId="Indice8">
    <w:name w:val="index 8"/>
    <w:basedOn w:val="Normale"/>
    <w:next w:val="Normale"/>
    <w:autoRedefine/>
    <w:semiHidden/>
    <w:rsid w:val="00405336"/>
    <w:pPr>
      <w:ind w:left="1920" w:hanging="240"/>
    </w:pPr>
  </w:style>
  <w:style w:type="paragraph" w:styleId="Indice9">
    <w:name w:val="index 9"/>
    <w:basedOn w:val="Normale"/>
    <w:next w:val="Normale"/>
    <w:autoRedefine/>
    <w:semiHidden/>
    <w:rsid w:val="00405336"/>
    <w:pPr>
      <w:ind w:left="2160" w:hanging="240"/>
    </w:pPr>
  </w:style>
  <w:style w:type="paragraph" w:styleId="Titoloindice">
    <w:name w:val="index heading"/>
    <w:basedOn w:val="Normale"/>
    <w:next w:val="Indice1"/>
    <w:semiHidden/>
    <w:rsid w:val="00405336"/>
    <w:rPr>
      <w:rFonts w:ascii="Cambria" w:hAnsi="Cambria"/>
      <w:b/>
      <w:bCs/>
    </w:rPr>
  </w:style>
  <w:style w:type="paragraph" w:styleId="Citazioneintensa">
    <w:name w:val="Intense Quote"/>
    <w:basedOn w:val="Normale"/>
    <w:next w:val="Normale"/>
    <w:link w:val="CitazioneintensaCarattere"/>
    <w:uiPriority w:val="30"/>
    <w:semiHidden/>
    <w:qFormat/>
    <w:rsid w:val="00405336"/>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basedOn w:val="Carpredefinitoparagrafo"/>
    <w:link w:val="Citazioneintensa"/>
    <w:uiPriority w:val="30"/>
    <w:semiHidden/>
    <w:rsid w:val="00FF04E3"/>
    <w:rPr>
      <w:b/>
      <w:bCs/>
      <w:i/>
      <w:iCs/>
      <w:color w:val="4F81BD"/>
      <w:sz w:val="24"/>
    </w:rPr>
  </w:style>
  <w:style w:type="paragraph" w:styleId="Elenco">
    <w:name w:val="List"/>
    <w:basedOn w:val="Normale"/>
    <w:semiHidden/>
    <w:rsid w:val="00405336"/>
    <w:pPr>
      <w:ind w:left="360" w:hanging="360"/>
      <w:contextualSpacing/>
    </w:pPr>
  </w:style>
  <w:style w:type="paragraph" w:styleId="Elenco2">
    <w:name w:val="List 2"/>
    <w:basedOn w:val="Normale"/>
    <w:semiHidden/>
    <w:rsid w:val="00405336"/>
    <w:pPr>
      <w:ind w:left="720" w:hanging="360"/>
      <w:contextualSpacing/>
    </w:pPr>
  </w:style>
  <w:style w:type="paragraph" w:styleId="Elenco3">
    <w:name w:val="List 3"/>
    <w:basedOn w:val="Normale"/>
    <w:semiHidden/>
    <w:rsid w:val="00405336"/>
    <w:pPr>
      <w:ind w:left="1080" w:hanging="360"/>
      <w:contextualSpacing/>
    </w:pPr>
  </w:style>
  <w:style w:type="paragraph" w:styleId="Elenco4">
    <w:name w:val="List 4"/>
    <w:basedOn w:val="Normale"/>
    <w:semiHidden/>
    <w:rsid w:val="00405336"/>
    <w:pPr>
      <w:ind w:left="1440" w:hanging="360"/>
      <w:contextualSpacing/>
    </w:pPr>
  </w:style>
  <w:style w:type="paragraph" w:styleId="Elenco5">
    <w:name w:val="List 5"/>
    <w:basedOn w:val="Normale"/>
    <w:semiHidden/>
    <w:rsid w:val="00405336"/>
    <w:pPr>
      <w:ind w:left="1800" w:hanging="360"/>
      <w:contextualSpacing/>
    </w:pPr>
  </w:style>
  <w:style w:type="paragraph" w:styleId="Puntoelenco">
    <w:name w:val="List Bullet"/>
    <w:basedOn w:val="Normale"/>
    <w:semiHidden/>
    <w:rsid w:val="00405336"/>
    <w:pPr>
      <w:numPr>
        <w:numId w:val="1"/>
      </w:numPr>
      <w:contextualSpacing/>
    </w:pPr>
  </w:style>
  <w:style w:type="paragraph" w:styleId="Puntoelenco2">
    <w:name w:val="List Bullet 2"/>
    <w:basedOn w:val="Normale"/>
    <w:semiHidden/>
    <w:rsid w:val="00405336"/>
    <w:pPr>
      <w:numPr>
        <w:numId w:val="2"/>
      </w:numPr>
      <w:contextualSpacing/>
    </w:pPr>
  </w:style>
  <w:style w:type="paragraph" w:styleId="Puntoelenco3">
    <w:name w:val="List Bullet 3"/>
    <w:basedOn w:val="Normale"/>
    <w:semiHidden/>
    <w:rsid w:val="00405336"/>
    <w:pPr>
      <w:numPr>
        <w:numId w:val="3"/>
      </w:numPr>
      <w:contextualSpacing/>
    </w:pPr>
  </w:style>
  <w:style w:type="paragraph" w:styleId="Puntoelenco4">
    <w:name w:val="List Bullet 4"/>
    <w:basedOn w:val="Normale"/>
    <w:semiHidden/>
    <w:rsid w:val="00405336"/>
    <w:pPr>
      <w:numPr>
        <w:numId w:val="4"/>
      </w:numPr>
      <w:contextualSpacing/>
    </w:pPr>
  </w:style>
  <w:style w:type="paragraph" w:styleId="Puntoelenco5">
    <w:name w:val="List Bullet 5"/>
    <w:basedOn w:val="Normale"/>
    <w:semiHidden/>
    <w:rsid w:val="00405336"/>
    <w:pPr>
      <w:numPr>
        <w:numId w:val="5"/>
      </w:numPr>
      <w:contextualSpacing/>
    </w:pPr>
  </w:style>
  <w:style w:type="paragraph" w:styleId="Elencocontinua">
    <w:name w:val="List Continue"/>
    <w:basedOn w:val="Normale"/>
    <w:semiHidden/>
    <w:rsid w:val="00405336"/>
    <w:pPr>
      <w:spacing w:after="120"/>
      <w:ind w:left="360"/>
      <w:contextualSpacing/>
    </w:pPr>
  </w:style>
  <w:style w:type="paragraph" w:styleId="Elencocontinua2">
    <w:name w:val="List Continue 2"/>
    <w:basedOn w:val="Normale"/>
    <w:semiHidden/>
    <w:rsid w:val="00405336"/>
    <w:pPr>
      <w:spacing w:after="120"/>
      <w:ind w:left="720"/>
      <w:contextualSpacing/>
    </w:pPr>
  </w:style>
  <w:style w:type="paragraph" w:styleId="Elencocontinua3">
    <w:name w:val="List Continue 3"/>
    <w:basedOn w:val="Normale"/>
    <w:semiHidden/>
    <w:rsid w:val="00405336"/>
    <w:pPr>
      <w:spacing w:after="120"/>
      <w:ind w:left="1080"/>
      <w:contextualSpacing/>
    </w:pPr>
  </w:style>
  <w:style w:type="paragraph" w:styleId="Elencocontinua4">
    <w:name w:val="List Continue 4"/>
    <w:basedOn w:val="Normale"/>
    <w:semiHidden/>
    <w:rsid w:val="00405336"/>
    <w:pPr>
      <w:spacing w:after="120"/>
      <w:ind w:left="1440"/>
      <w:contextualSpacing/>
    </w:pPr>
  </w:style>
  <w:style w:type="paragraph" w:styleId="Elencocontinua5">
    <w:name w:val="List Continue 5"/>
    <w:basedOn w:val="Normale"/>
    <w:semiHidden/>
    <w:rsid w:val="00405336"/>
    <w:pPr>
      <w:spacing w:after="120"/>
      <w:ind w:left="1800"/>
      <w:contextualSpacing/>
    </w:pPr>
  </w:style>
  <w:style w:type="paragraph" w:styleId="Numeroelenco">
    <w:name w:val="List Number"/>
    <w:basedOn w:val="Normale"/>
    <w:semiHidden/>
    <w:rsid w:val="00405336"/>
    <w:pPr>
      <w:numPr>
        <w:numId w:val="6"/>
      </w:numPr>
      <w:contextualSpacing/>
    </w:pPr>
  </w:style>
  <w:style w:type="paragraph" w:styleId="Numeroelenco2">
    <w:name w:val="List Number 2"/>
    <w:basedOn w:val="Normale"/>
    <w:semiHidden/>
    <w:rsid w:val="00405336"/>
    <w:pPr>
      <w:numPr>
        <w:numId w:val="7"/>
      </w:numPr>
      <w:contextualSpacing/>
    </w:pPr>
  </w:style>
  <w:style w:type="paragraph" w:styleId="Numeroelenco3">
    <w:name w:val="List Number 3"/>
    <w:basedOn w:val="Normale"/>
    <w:semiHidden/>
    <w:rsid w:val="00405336"/>
    <w:pPr>
      <w:numPr>
        <w:numId w:val="8"/>
      </w:numPr>
      <w:contextualSpacing/>
    </w:pPr>
  </w:style>
  <w:style w:type="paragraph" w:styleId="Numeroelenco4">
    <w:name w:val="List Number 4"/>
    <w:basedOn w:val="Normale"/>
    <w:semiHidden/>
    <w:rsid w:val="00405336"/>
    <w:pPr>
      <w:numPr>
        <w:numId w:val="9"/>
      </w:numPr>
      <w:contextualSpacing/>
    </w:pPr>
  </w:style>
  <w:style w:type="paragraph" w:styleId="Numeroelenco5">
    <w:name w:val="List Number 5"/>
    <w:basedOn w:val="Normale"/>
    <w:semiHidden/>
    <w:rsid w:val="00405336"/>
    <w:pPr>
      <w:numPr>
        <w:numId w:val="10"/>
      </w:numPr>
      <w:contextualSpacing/>
    </w:pPr>
  </w:style>
  <w:style w:type="paragraph" w:styleId="Paragrafoelenco">
    <w:name w:val="List Paragraph"/>
    <w:basedOn w:val="Normale"/>
    <w:uiPriority w:val="34"/>
    <w:semiHidden/>
    <w:qFormat/>
    <w:rsid w:val="00405336"/>
    <w:pPr>
      <w:ind w:left="720"/>
    </w:pPr>
  </w:style>
  <w:style w:type="paragraph" w:styleId="Testomacro">
    <w:name w:val="macro"/>
    <w:link w:val="TestomacroCaratter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stomacroCarattere">
    <w:name w:val="Testo macro Carattere"/>
    <w:basedOn w:val="Carpredefinitoparagrafo"/>
    <w:link w:val="Testomacro"/>
    <w:semiHidden/>
    <w:rsid w:val="00FF04E3"/>
    <w:rPr>
      <w:rFonts w:ascii="Courier New" w:hAnsi="Courier New" w:cs="Courier New"/>
      <w:lang w:val="en-US" w:eastAsia="en-US" w:bidi="ar-SA"/>
    </w:rPr>
  </w:style>
  <w:style w:type="paragraph" w:styleId="Intestazionemessaggio">
    <w:name w:val="Message Header"/>
    <w:basedOn w:val="Normale"/>
    <w:link w:val="IntestazionemessaggioCarattere"/>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IntestazionemessaggioCarattere">
    <w:name w:val="Intestazione messaggio Carattere"/>
    <w:basedOn w:val="Carpredefinitoparagrafo"/>
    <w:link w:val="Intestazionemessaggio"/>
    <w:semiHidden/>
    <w:rsid w:val="00FF04E3"/>
    <w:rPr>
      <w:rFonts w:ascii="Cambria" w:hAnsi="Cambria"/>
      <w:sz w:val="24"/>
      <w:szCs w:val="24"/>
      <w:shd w:val="pct20" w:color="auto" w:fill="auto"/>
    </w:rPr>
  </w:style>
  <w:style w:type="paragraph" w:styleId="Nessunaspaziatura">
    <w:name w:val="No Spacing"/>
    <w:uiPriority w:val="1"/>
    <w:semiHidden/>
    <w:qFormat/>
    <w:rsid w:val="00405336"/>
    <w:rPr>
      <w:sz w:val="24"/>
    </w:rPr>
  </w:style>
  <w:style w:type="paragraph" w:styleId="NormaleWeb">
    <w:name w:val="Normal (Web)"/>
    <w:basedOn w:val="Normale"/>
    <w:uiPriority w:val="99"/>
    <w:semiHidden/>
    <w:rsid w:val="00405336"/>
    <w:rPr>
      <w:szCs w:val="24"/>
    </w:rPr>
  </w:style>
  <w:style w:type="paragraph" w:styleId="Rientronormale">
    <w:name w:val="Normal Indent"/>
    <w:basedOn w:val="Normale"/>
    <w:semiHidden/>
    <w:rsid w:val="00405336"/>
    <w:pPr>
      <w:ind w:left="720"/>
    </w:pPr>
  </w:style>
  <w:style w:type="paragraph" w:styleId="Intestazionenota">
    <w:name w:val="Note Heading"/>
    <w:basedOn w:val="Normale"/>
    <w:next w:val="Normale"/>
    <w:link w:val="IntestazionenotaCarattere"/>
    <w:semiHidden/>
    <w:rsid w:val="00405336"/>
  </w:style>
  <w:style w:type="character" w:customStyle="1" w:styleId="IntestazionenotaCarattere">
    <w:name w:val="Intestazione nota Carattere"/>
    <w:basedOn w:val="Carpredefinitoparagrafo"/>
    <w:link w:val="Intestazionenota"/>
    <w:semiHidden/>
    <w:rsid w:val="00FF04E3"/>
    <w:rPr>
      <w:sz w:val="24"/>
    </w:rPr>
  </w:style>
  <w:style w:type="paragraph" w:styleId="Testonormale">
    <w:name w:val="Plain Text"/>
    <w:basedOn w:val="Normale"/>
    <w:link w:val="TestonormaleCarattere"/>
    <w:semiHidden/>
    <w:rsid w:val="00405336"/>
    <w:rPr>
      <w:rFonts w:ascii="Courier New" w:hAnsi="Courier New" w:cs="Courier New"/>
      <w:sz w:val="20"/>
    </w:rPr>
  </w:style>
  <w:style w:type="character" w:customStyle="1" w:styleId="TestonormaleCarattere">
    <w:name w:val="Testo normale Carattere"/>
    <w:basedOn w:val="Carpredefinitoparagrafo"/>
    <w:link w:val="Testonormale"/>
    <w:semiHidden/>
    <w:rsid w:val="00FF04E3"/>
    <w:rPr>
      <w:rFonts w:ascii="Courier New" w:hAnsi="Courier New" w:cs="Courier New"/>
    </w:rPr>
  </w:style>
  <w:style w:type="paragraph" w:styleId="Citazione">
    <w:name w:val="Quote"/>
    <w:basedOn w:val="Normale"/>
    <w:next w:val="Normale"/>
    <w:link w:val="CitazioneCarattere"/>
    <w:uiPriority w:val="29"/>
    <w:semiHidden/>
    <w:qFormat/>
    <w:rsid w:val="00405336"/>
    <w:rPr>
      <w:i/>
      <w:iCs/>
      <w:color w:val="000000"/>
    </w:rPr>
  </w:style>
  <w:style w:type="character" w:customStyle="1" w:styleId="CitazioneCarattere">
    <w:name w:val="Citazione Carattere"/>
    <w:basedOn w:val="Carpredefinitoparagrafo"/>
    <w:link w:val="Citazione"/>
    <w:uiPriority w:val="29"/>
    <w:semiHidden/>
    <w:rsid w:val="00FF04E3"/>
    <w:rPr>
      <w:i/>
      <w:iCs/>
      <w:color w:val="000000"/>
      <w:sz w:val="24"/>
    </w:rPr>
  </w:style>
  <w:style w:type="paragraph" w:styleId="Formuladiapertura">
    <w:name w:val="Salutation"/>
    <w:basedOn w:val="Normale"/>
    <w:next w:val="Normale"/>
    <w:link w:val="FormuladiaperturaCarattere"/>
    <w:semiHidden/>
    <w:rsid w:val="00405336"/>
  </w:style>
  <w:style w:type="character" w:customStyle="1" w:styleId="FormuladiaperturaCarattere">
    <w:name w:val="Formula di apertura Carattere"/>
    <w:basedOn w:val="Carpredefinitoparagrafo"/>
    <w:link w:val="Formuladiapertura"/>
    <w:semiHidden/>
    <w:rsid w:val="00FF04E3"/>
    <w:rPr>
      <w:sz w:val="24"/>
    </w:rPr>
  </w:style>
  <w:style w:type="paragraph" w:styleId="Firma">
    <w:name w:val="Signature"/>
    <w:basedOn w:val="Normale"/>
    <w:link w:val="FirmaCarattere"/>
    <w:semiHidden/>
    <w:rsid w:val="00405336"/>
    <w:pPr>
      <w:ind w:left="4320"/>
    </w:pPr>
  </w:style>
  <w:style w:type="character" w:customStyle="1" w:styleId="FirmaCarattere">
    <w:name w:val="Firma Carattere"/>
    <w:basedOn w:val="Carpredefinitoparagrafo"/>
    <w:link w:val="Firma"/>
    <w:semiHidden/>
    <w:rsid w:val="00FF04E3"/>
    <w:rPr>
      <w:sz w:val="24"/>
    </w:rPr>
  </w:style>
  <w:style w:type="paragraph" w:styleId="Sottotitolo">
    <w:name w:val="Subtitle"/>
    <w:basedOn w:val="Normale"/>
    <w:next w:val="Normale"/>
    <w:link w:val="SottotitoloCarattere"/>
    <w:semiHidden/>
    <w:qFormat/>
    <w:rsid w:val="00405336"/>
    <w:pPr>
      <w:spacing w:after="60"/>
      <w:jc w:val="center"/>
      <w:outlineLvl w:val="1"/>
    </w:pPr>
    <w:rPr>
      <w:rFonts w:ascii="Cambria" w:hAnsi="Cambria"/>
      <w:szCs w:val="24"/>
    </w:rPr>
  </w:style>
  <w:style w:type="character" w:customStyle="1" w:styleId="SottotitoloCarattere">
    <w:name w:val="Sottotitolo Carattere"/>
    <w:basedOn w:val="Carpredefinitoparagrafo"/>
    <w:link w:val="Sottotitolo"/>
    <w:semiHidden/>
    <w:rsid w:val="00FF04E3"/>
    <w:rPr>
      <w:rFonts w:ascii="Cambria" w:hAnsi="Cambria"/>
      <w:sz w:val="24"/>
      <w:szCs w:val="24"/>
    </w:rPr>
  </w:style>
  <w:style w:type="paragraph" w:styleId="Indicefonti">
    <w:name w:val="table of authorities"/>
    <w:basedOn w:val="Normale"/>
    <w:next w:val="Normale"/>
    <w:semiHidden/>
    <w:rsid w:val="00405336"/>
    <w:pPr>
      <w:ind w:left="240" w:hanging="240"/>
    </w:pPr>
  </w:style>
  <w:style w:type="paragraph" w:styleId="Indicedellefigure">
    <w:name w:val="table of figures"/>
    <w:basedOn w:val="Normale"/>
    <w:next w:val="Normale"/>
    <w:semiHidden/>
    <w:rsid w:val="00405336"/>
  </w:style>
  <w:style w:type="paragraph" w:styleId="Titolo">
    <w:name w:val="Title"/>
    <w:basedOn w:val="Normale"/>
    <w:next w:val="Normale"/>
    <w:link w:val="TitoloCarattere"/>
    <w:semiHidden/>
    <w:qFormat/>
    <w:rsid w:val="00405336"/>
    <w:pPr>
      <w:spacing w:before="240" w:after="60"/>
      <w:jc w:val="center"/>
      <w:outlineLvl w:val="0"/>
    </w:pPr>
    <w:rPr>
      <w:rFonts w:ascii="Cambria" w:hAnsi="Cambria"/>
      <w:b/>
      <w:bCs/>
      <w:kern w:val="28"/>
      <w:sz w:val="32"/>
      <w:szCs w:val="32"/>
    </w:rPr>
  </w:style>
  <w:style w:type="character" w:customStyle="1" w:styleId="TitoloCarattere">
    <w:name w:val="Titolo Carattere"/>
    <w:basedOn w:val="Carpredefinitoparagrafo"/>
    <w:link w:val="Titolo"/>
    <w:semiHidden/>
    <w:rsid w:val="00FF04E3"/>
    <w:rPr>
      <w:rFonts w:ascii="Cambria" w:hAnsi="Cambria"/>
      <w:b/>
      <w:bCs/>
      <w:kern w:val="28"/>
      <w:sz w:val="32"/>
      <w:szCs w:val="32"/>
    </w:rPr>
  </w:style>
  <w:style w:type="paragraph" w:styleId="Titoloindicefonti">
    <w:name w:val="toa heading"/>
    <w:basedOn w:val="Normale"/>
    <w:next w:val="Normale"/>
    <w:semiHidden/>
    <w:rsid w:val="00405336"/>
    <w:pPr>
      <w:spacing w:before="120"/>
    </w:pPr>
    <w:rPr>
      <w:rFonts w:ascii="Cambria" w:hAnsi="Cambria"/>
      <w:b/>
      <w:bCs/>
      <w:szCs w:val="24"/>
    </w:rPr>
  </w:style>
  <w:style w:type="paragraph" w:styleId="Sommario1">
    <w:name w:val="toc 1"/>
    <w:basedOn w:val="Normale"/>
    <w:next w:val="Normale"/>
    <w:autoRedefine/>
    <w:semiHidden/>
    <w:rsid w:val="00405336"/>
  </w:style>
  <w:style w:type="paragraph" w:styleId="Sommario2">
    <w:name w:val="toc 2"/>
    <w:basedOn w:val="Normale"/>
    <w:next w:val="Normale"/>
    <w:autoRedefine/>
    <w:semiHidden/>
    <w:rsid w:val="00405336"/>
    <w:pPr>
      <w:ind w:left="240"/>
    </w:pPr>
  </w:style>
  <w:style w:type="paragraph" w:styleId="Sommario3">
    <w:name w:val="toc 3"/>
    <w:basedOn w:val="Normale"/>
    <w:next w:val="Normale"/>
    <w:autoRedefine/>
    <w:semiHidden/>
    <w:rsid w:val="00405336"/>
    <w:pPr>
      <w:ind w:left="480"/>
    </w:pPr>
  </w:style>
  <w:style w:type="paragraph" w:styleId="Sommario4">
    <w:name w:val="toc 4"/>
    <w:basedOn w:val="Normale"/>
    <w:next w:val="Normale"/>
    <w:autoRedefine/>
    <w:semiHidden/>
    <w:rsid w:val="00405336"/>
    <w:pPr>
      <w:ind w:left="720"/>
    </w:pPr>
  </w:style>
  <w:style w:type="paragraph" w:styleId="Sommario5">
    <w:name w:val="toc 5"/>
    <w:basedOn w:val="Normale"/>
    <w:next w:val="Normale"/>
    <w:autoRedefine/>
    <w:semiHidden/>
    <w:rsid w:val="00405336"/>
    <w:pPr>
      <w:ind w:left="960"/>
    </w:pPr>
  </w:style>
  <w:style w:type="paragraph" w:styleId="Sommario6">
    <w:name w:val="toc 6"/>
    <w:basedOn w:val="Normale"/>
    <w:next w:val="Normale"/>
    <w:autoRedefine/>
    <w:semiHidden/>
    <w:rsid w:val="00405336"/>
    <w:pPr>
      <w:ind w:left="1200"/>
    </w:pPr>
  </w:style>
  <w:style w:type="paragraph" w:styleId="Sommario7">
    <w:name w:val="toc 7"/>
    <w:basedOn w:val="Normale"/>
    <w:next w:val="Normale"/>
    <w:autoRedefine/>
    <w:semiHidden/>
    <w:rsid w:val="00405336"/>
    <w:pPr>
      <w:ind w:left="1440"/>
    </w:pPr>
  </w:style>
  <w:style w:type="paragraph" w:styleId="Sommario8">
    <w:name w:val="toc 8"/>
    <w:basedOn w:val="Normale"/>
    <w:next w:val="Normale"/>
    <w:autoRedefine/>
    <w:semiHidden/>
    <w:rsid w:val="00405336"/>
    <w:pPr>
      <w:ind w:left="1680"/>
    </w:pPr>
  </w:style>
  <w:style w:type="paragraph" w:styleId="Sommario9">
    <w:name w:val="toc 9"/>
    <w:basedOn w:val="Normale"/>
    <w:next w:val="Normale"/>
    <w:autoRedefine/>
    <w:semiHidden/>
    <w:rsid w:val="00405336"/>
    <w:pPr>
      <w:ind w:left="1920"/>
    </w:pPr>
  </w:style>
  <w:style w:type="paragraph" w:styleId="Titolosommario">
    <w:name w:val="TOC Heading"/>
    <w:basedOn w:val="Titolo1"/>
    <w:next w:val="Normale"/>
    <w:uiPriority w:val="39"/>
    <w:semiHidden/>
    <w:unhideWhenUsed/>
    <w:qFormat/>
    <w:rsid w:val="00405336"/>
    <w:pPr>
      <w:outlineLvl w:val="9"/>
    </w:pPr>
    <w:rPr>
      <w:rFonts w:ascii="Cambria" w:hAnsi="Cambria"/>
      <w:sz w:val="32"/>
      <w:szCs w:val="32"/>
    </w:rPr>
  </w:style>
  <w:style w:type="character" w:styleId="Collegamentoipertestuale">
    <w:name w:val="Hyperlink"/>
    <w:basedOn w:val="Carpredefinitoparagrafo"/>
    <w:semiHidden/>
    <w:rsid w:val="007402FC"/>
    <w:rPr>
      <w:color w:val="0000FF"/>
      <w:u w:val="single"/>
    </w:rPr>
  </w:style>
  <w:style w:type="character" w:styleId="Enfasicorsivo">
    <w:name w:val="Emphasis"/>
    <w:basedOn w:val="Carpredefinitoparagrafo"/>
    <w:uiPriority w:val="20"/>
    <w:qFormat/>
    <w:rsid w:val="00B42F9C"/>
    <w:rPr>
      <w:i/>
      <w:iCs/>
    </w:rPr>
  </w:style>
  <w:style w:type="character" w:styleId="Rimandocommento">
    <w:name w:val="annotation reference"/>
    <w:basedOn w:val="Carpredefinitoparagrafo"/>
    <w:semiHidden/>
    <w:rsid w:val="009258B8"/>
    <w:rPr>
      <w:sz w:val="16"/>
      <w:szCs w:val="16"/>
    </w:rPr>
  </w:style>
  <w:style w:type="character" w:styleId="Collegamentovisitato">
    <w:name w:val="FollowedHyperlink"/>
    <w:basedOn w:val="Carpredefinitoparagrafo"/>
    <w:semiHidden/>
    <w:unhideWhenUsed/>
    <w:rsid w:val="00611A19"/>
    <w:rPr>
      <w:color w:val="800080" w:themeColor="followedHyperlink"/>
      <w:u w:val="single"/>
    </w:rPr>
  </w:style>
  <w:style w:type="paragraph" w:styleId="Revisione">
    <w:name w:val="Revision"/>
    <w:hidden/>
    <w:uiPriority w:val="99"/>
    <w:semiHidden/>
    <w:rsid w:val="00C967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726394">
      <w:bodyDiv w:val="1"/>
      <w:marLeft w:val="0"/>
      <w:marRight w:val="0"/>
      <w:marTop w:val="0"/>
      <w:marBottom w:val="0"/>
      <w:divBdr>
        <w:top w:val="none" w:sz="0" w:space="0" w:color="auto"/>
        <w:left w:val="none" w:sz="0" w:space="0" w:color="auto"/>
        <w:bottom w:val="none" w:sz="0" w:space="0" w:color="auto"/>
        <w:right w:val="none" w:sz="0" w:space="0" w:color="auto"/>
      </w:divBdr>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192263402">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iovanni.bellomo@unipg.it"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tiff"/><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tiff"/><Relationship Id="rId23" Type="http://schemas.openxmlformats.org/officeDocument/2006/relationships/header" Target="header1.xml"/><Relationship Id="rId10" Type="http://schemas.openxmlformats.org/officeDocument/2006/relationships/image" Target="media/image1.tiff"/><Relationship Id="rId19" Type="http://schemas.openxmlformats.org/officeDocument/2006/relationships/image" Target="media/image10.tiff"/><Relationship Id="rId4" Type="http://schemas.openxmlformats.org/officeDocument/2006/relationships/settings" Target="settings.xml"/><Relationship Id="rId9" Type="http://schemas.openxmlformats.org/officeDocument/2006/relationships/hyperlink" Target="mailto:luchinat@cerm.unifi.it" TargetMode="External"/><Relationship Id="rId14" Type="http://schemas.openxmlformats.org/officeDocument/2006/relationships/image" Target="media/image5.png"/><Relationship Id="rId22" Type="http://schemas.openxmlformats.org/officeDocument/2006/relationships/image" Target="media/image1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B2B56-2A89-4BEC-8704-A6FBF911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5460</Words>
  <Characters>31124</Characters>
  <Application>Microsoft Office Word</Application>
  <DocSecurity>0</DocSecurity>
  <Lines>259</Lines>
  <Paragraphs>73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36511</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Giovanni Bellomo</cp:lastModifiedBy>
  <cp:revision>2</cp:revision>
  <cp:lastPrinted>2022-07-11T13:10:00Z</cp:lastPrinted>
  <dcterms:created xsi:type="dcterms:W3CDTF">2023-03-03T11:14:00Z</dcterms:created>
  <dcterms:modified xsi:type="dcterms:W3CDTF">2023-03-03T11:14:00Z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zotero-version="6.0.9"&gt;&lt;session id="VJ66wMI7"/&gt;&lt;style id="http://www.zotero.org/styles/pnas" hasBibliography="1" bibliographyStyleHasBeenSet="1"/&gt;&lt;prefs&gt;&lt;pref name="fieldType" value="Field"/&gt;&lt;/prefs&gt;&lt;/data&gt;</vt:lpwstr>
  </property>
  <property fmtid="{D5CDD505-2E9C-101B-9397-08002B2CF9AE}" pid="3" name="Mendeley Recent Style Id 0_1">
    <vt:lpwstr>http://www.zotero.org/styles/alzheimers-research-and-therapy</vt:lpwstr>
  </property>
  <property fmtid="{D5CDD505-2E9C-101B-9397-08002B2CF9AE}" pid="4" name="Mendeley Recent Style Name 0_1">
    <vt:lpwstr>Alzheimer's Research &amp; Therapy</vt:lpwstr>
  </property>
  <property fmtid="{D5CDD505-2E9C-101B-9397-08002B2CF9AE}" pid="5" name="Mendeley Recent Style Id 1_1">
    <vt:lpwstr>http://www.zotero.org/styles/american-medical-association</vt:lpwstr>
  </property>
  <property fmtid="{D5CDD505-2E9C-101B-9397-08002B2CF9AE}" pid="6" name="Mendeley Recent Style Name 1_1">
    <vt:lpwstr>American Medical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http://www.zotero.org/styles/antioxidants</vt:lpwstr>
  </property>
  <property fmtid="{D5CDD505-2E9C-101B-9397-08002B2CF9AE}" pid="10" name="Mendeley Recent Style Name 3_1">
    <vt:lpwstr>Antioxidants</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http://www.zotero.org/styles/elsevier-vancouver</vt:lpwstr>
  </property>
  <property fmtid="{D5CDD505-2E9C-101B-9397-08002B2CF9AE}" pid="14" name="Mendeley Recent Style Name 5_1">
    <vt:lpwstr>Elsevier - Vancouver</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http://www.zotero.org/styles/journal-of-proteome-research</vt:lpwstr>
  </property>
  <property fmtid="{D5CDD505-2E9C-101B-9397-08002B2CF9AE}" pid="18" name="Mendeley Recent Style Name 7_1">
    <vt:lpwstr>Journal of Proteome Research</vt:lpwstr>
  </property>
  <property fmtid="{D5CDD505-2E9C-101B-9397-08002B2CF9AE}" pid="19" name="Mendeley Recent Style Id 8_1">
    <vt:lpwstr>http://www.zotero.org/styles/journal-of-proteomics</vt:lpwstr>
  </property>
  <property fmtid="{D5CDD505-2E9C-101B-9397-08002B2CF9AE}" pid="20" name="Mendeley Recent Style Name 8_1">
    <vt:lpwstr>Journal of Proteomics</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ies>
</file>