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0762A" w14:textId="77777777" w:rsidR="00617693" w:rsidRDefault="00617693" w:rsidP="00617693">
      <w:pPr>
        <w:suppressLineNumber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401A4162" wp14:editId="5A4AF4C3">
            <wp:extent cx="5649962" cy="6335395"/>
            <wp:effectExtent l="0" t="0" r="8255" b="8255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061" cy="6338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EB71D" w14:textId="5859981C" w:rsidR="00617693" w:rsidRPr="00692205" w:rsidRDefault="00617693" w:rsidP="0029472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Clec7a</w:t>
      </w:r>
      <w:r w:rsidRPr="003354D6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vertAlign w:val="superscript"/>
        </w:rPr>
        <w:t>+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microglia are not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associated with vascular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amyloid.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 </w:t>
      </w:r>
      <w:r w:rsidRPr="00ED46F7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(a)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Double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immunofluorescence of amyloid (</w:t>
      </w:r>
      <w:proofErr w:type="spellStart"/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-S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green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),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and activated microglia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Clec7a,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red) in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leptomeninges of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PDAPP mice treated with 3D6 or IgG control. </w:t>
      </w:r>
      <w:proofErr w:type="spellStart"/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-S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and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Clec7a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immunoreactivity overlay (Merge).</w:t>
      </w:r>
      <w:r w:rsidRPr="00F2184A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</w:t>
      </w:r>
      <w:r w:rsidRPr="00B74891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(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b</w:t>
      </w:r>
      <w:r w:rsidRPr="00B74891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Double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</w:t>
      </w:r>
      <w:proofErr w:type="spellStart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immunofluo</w:t>
      </w:r>
      <w:r w:rsidR="00D428C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c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rescence</w:t>
      </w:r>
      <w:proofErr w:type="spellEnd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of amyloid (</w:t>
      </w:r>
      <w:proofErr w:type="spellStart"/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-S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lastRenderedPageBreak/>
        <w:t>green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),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and activated microglia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Clec7a,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red) in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penetrating vessels of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PDAPP mice treated with 3D6 or IgG control. </w:t>
      </w:r>
      <w:proofErr w:type="spellStart"/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-S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and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Clec7a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immunoreactivity overlay (Merge).</w:t>
      </w:r>
      <w:r w:rsidRPr="00F2184A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Scale bar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715F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F5A"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3BA6DC12" w14:textId="77777777" w:rsidR="00625613" w:rsidRDefault="00625613"/>
    <w:sectPr w:rsidR="00625613" w:rsidSect="00543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5B517" w14:textId="77777777" w:rsidR="00F850BC" w:rsidRDefault="00F850BC">
      <w:pPr>
        <w:spacing w:after="0" w:line="240" w:lineRule="auto"/>
      </w:pPr>
      <w:r>
        <w:separator/>
      </w:r>
    </w:p>
  </w:endnote>
  <w:endnote w:type="continuationSeparator" w:id="0">
    <w:p w14:paraId="75678A97" w14:textId="77777777" w:rsidR="00F850BC" w:rsidRDefault="00F85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104CE" w14:textId="77777777" w:rsidR="00F850BC" w:rsidRDefault="00F850BC">
      <w:pPr>
        <w:spacing w:after="0" w:line="240" w:lineRule="auto"/>
      </w:pPr>
      <w:r>
        <w:separator/>
      </w:r>
    </w:p>
  </w:footnote>
  <w:footnote w:type="continuationSeparator" w:id="0">
    <w:p w14:paraId="33EE381F" w14:textId="77777777" w:rsidR="00F850BC" w:rsidRDefault="00F850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1E031B"/>
    <w:rsid w:val="00294725"/>
    <w:rsid w:val="00543AA7"/>
    <w:rsid w:val="005C29E2"/>
    <w:rsid w:val="00617693"/>
    <w:rsid w:val="00625613"/>
    <w:rsid w:val="00CB0074"/>
    <w:rsid w:val="00D02719"/>
    <w:rsid w:val="00D043FB"/>
    <w:rsid w:val="00D428C5"/>
    <w:rsid w:val="00EE75CE"/>
    <w:rsid w:val="00F8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D02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</Words>
  <Characters>456</Characters>
  <Application>Microsoft Office Word</Application>
  <DocSecurity>0</DocSecurity>
  <Lines>3</Lines>
  <Paragraphs>1</Paragraphs>
  <ScaleCrop>false</ScaleCrop>
  <Company>Springer Nature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7</cp:revision>
  <dcterms:created xsi:type="dcterms:W3CDTF">2023-08-15T13:51:00Z</dcterms:created>
  <dcterms:modified xsi:type="dcterms:W3CDTF">2023-08-15T14:04:00Z</dcterms:modified>
</cp:coreProperties>
</file>