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72D30" w14:textId="77777777" w:rsidR="00A33277" w:rsidRPr="00275439" w:rsidRDefault="00A33277" w:rsidP="00A33277">
      <w:pPr>
        <w:spacing w:line="360" w:lineRule="auto"/>
        <w:rPr>
          <w:rFonts w:cs="Arial"/>
          <w:b/>
        </w:rPr>
      </w:pPr>
      <w:r w:rsidRPr="00275439">
        <w:rPr>
          <w:rFonts w:cs="Arial"/>
          <w:b/>
        </w:rPr>
        <w:t>Additional Files</w:t>
      </w:r>
    </w:p>
    <w:p w14:paraId="63BD7090" w14:textId="77777777" w:rsidR="00A33277" w:rsidRPr="00275439" w:rsidRDefault="00A33277" w:rsidP="00A33277">
      <w:pPr>
        <w:autoSpaceDE w:val="0"/>
        <w:autoSpaceDN w:val="0"/>
        <w:adjustRightInd w:val="0"/>
        <w:spacing w:line="360" w:lineRule="auto"/>
        <w:rPr>
          <w:rFonts w:cs="Arial"/>
          <w:szCs w:val="22"/>
        </w:rPr>
      </w:pPr>
      <w:r w:rsidRPr="00275439">
        <w:rPr>
          <w:b/>
          <w:noProof/>
        </w:rPr>
        <mc:AlternateContent>
          <mc:Choice Requires="wps">
            <w:drawing>
              <wp:anchor distT="0" distB="0" distL="114300" distR="114300" simplePos="0" relativeHeight="251659264" behindDoc="1" locked="0" layoutInCell="1" allowOverlap="1" wp14:anchorId="634342D9" wp14:editId="26686C74">
                <wp:simplePos x="0" y="0"/>
                <wp:positionH relativeFrom="column">
                  <wp:posOffset>-39370</wp:posOffset>
                </wp:positionH>
                <wp:positionV relativeFrom="paragraph">
                  <wp:posOffset>188595</wp:posOffset>
                </wp:positionV>
                <wp:extent cx="5955030" cy="4626610"/>
                <wp:effectExtent l="0" t="0" r="1270" b="0"/>
                <wp:wrapTight wrapText="bothSides">
                  <wp:wrapPolygon edited="0">
                    <wp:start x="0" y="0"/>
                    <wp:lineTo x="0" y="21523"/>
                    <wp:lineTo x="21559" y="21523"/>
                    <wp:lineTo x="21559" y="0"/>
                    <wp:lineTo x="0" y="0"/>
                  </wp:wrapPolygon>
                </wp:wrapTight>
                <wp:docPr id="21" name="Text Box 21"/>
                <wp:cNvGraphicFramePr/>
                <a:graphic xmlns:a="http://schemas.openxmlformats.org/drawingml/2006/main">
                  <a:graphicData uri="http://schemas.microsoft.com/office/word/2010/wordprocessingShape">
                    <wps:wsp>
                      <wps:cNvSpPr txBox="1"/>
                      <wps:spPr>
                        <a:xfrm>
                          <a:off x="0" y="0"/>
                          <a:ext cx="5955030" cy="4626610"/>
                        </a:xfrm>
                        <a:prstGeom prst="rect">
                          <a:avLst/>
                        </a:prstGeom>
                        <a:solidFill>
                          <a:schemeClr val="lt1"/>
                        </a:solidFill>
                        <a:ln w="6350">
                          <a:noFill/>
                        </a:ln>
                      </wps:spPr>
                      <wps:txbx>
                        <w:txbxContent>
                          <w:p w14:paraId="334BAA42" w14:textId="77777777" w:rsidR="00A33277" w:rsidRDefault="00A33277" w:rsidP="00A33277">
                            <w:pPr>
                              <w:jc w:val="center"/>
                            </w:pPr>
                            <w:r>
                              <w:rPr>
                                <w:noProof/>
                              </w:rPr>
                              <w:drawing>
                                <wp:inline distT="0" distB="0" distL="0" distR="0" wp14:anchorId="476514C4" wp14:editId="0BDA8A15">
                                  <wp:extent cx="5461178" cy="4486031"/>
                                  <wp:effectExtent l="0" t="0" r="0" b="0"/>
                                  <wp:docPr id="102692349" name="Picture 2" descr="A screenshot of a medica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92349" name="Picture 2" descr="A screenshot of a medical chart&#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5518096" cy="453278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34342D9" id="_x0000_t202" coordsize="21600,21600" o:spt="202" path="m,l,21600r21600,l21600,xe">
                <v:stroke joinstyle="miter"/>
                <v:path gradientshapeok="t" o:connecttype="rect"/>
              </v:shapetype>
              <v:shape id="Text Box 21" o:spid="_x0000_s1026" type="#_x0000_t202" style="position:absolute;margin-left:-3.1pt;margin-top:14.85pt;width:468.9pt;height:364.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" fillcolor="white [3201]" stroked="f" strokeweight=".5pt">
                <v:textbox>
                  <w:txbxContent>
                    <w:p w14:paraId="334BAA42" w14:textId="77777777" w:rsidR="00A33277" w:rsidRDefault="00A33277" w:rsidP="00A33277">
                      <w:pPr>
                        <w:jc w:val="center"/>
                      </w:pPr>
                      <w:r>
                        <w:rPr>
                          <w:noProof/>
                        </w:rPr>
                        <w:drawing>
                          <wp:inline distT="0" distB="0" distL="0" distR="0" wp14:anchorId="476514C4" wp14:editId="0BDA8A15">
                            <wp:extent cx="5461178" cy="4486031"/>
                            <wp:effectExtent l="0" t="0" r="0" b="0"/>
                            <wp:docPr id="102692349" name="Picture 2" descr="A screenshot of a medica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92349" name="Picture 2" descr="A screenshot of a medical chart&#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5518096" cy="4532786"/>
                                    </a:xfrm>
                                    <a:prstGeom prst="rect">
                                      <a:avLst/>
                                    </a:prstGeom>
                                  </pic:spPr>
                                </pic:pic>
                              </a:graphicData>
                            </a:graphic>
                          </wp:inline>
                        </w:drawing>
                      </w:r>
                    </w:p>
                  </w:txbxContent>
                </v:textbox>
                <w10:wrap type="tight"/>
              </v:shape>
            </w:pict>
          </mc:Fallback>
        </mc:AlternateContent>
      </w:r>
    </w:p>
    <w:p w14:paraId="51A8698F" w14:textId="6814A339" w:rsidR="00A33277" w:rsidRPr="00275439" w:rsidRDefault="00A33277" w:rsidP="00A33277">
      <w:pPr>
        <w:spacing w:line="360" w:lineRule="auto"/>
        <w:jc w:val="both"/>
        <w:rPr>
          <w:bCs/>
        </w:rPr>
      </w:pPr>
      <w:r w:rsidRPr="00275439">
        <w:rPr>
          <w:b/>
        </w:rPr>
        <w:t xml:space="preserve">Fig. S1: </w:t>
      </w:r>
      <w:r w:rsidRPr="00275439">
        <w:rPr>
          <w:bCs/>
        </w:rPr>
        <w:t>Outcome of GFP</w:t>
      </w:r>
      <w:r w:rsidRPr="00275439">
        <w:rPr>
          <w:bCs/>
          <w:vertAlign w:val="superscript"/>
        </w:rPr>
        <w:t>+</w:t>
      </w:r>
      <w:r w:rsidRPr="00275439">
        <w:rPr>
          <w:bCs/>
        </w:rPr>
        <w:t xml:space="preserve"> BM transplantat</w:t>
      </w:r>
      <w:r w:rsidRPr="00275439">
        <w:rPr>
          <w:bCs/>
          <w:iCs/>
        </w:rPr>
        <w:t>ion</w:t>
      </w:r>
      <w:r w:rsidRPr="00275439">
        <w:rPr>
          <w:bCs/>
        </w:rPr>
        <w:t xml:space="preserve"> at 3 or 12 months of age followed by identification of GFP</w:t>
      </w:r>
      <w:r w:rsidRPr="00275439">
        <w:rPr>
          <w:bCs/>
          <w:vertAlign w:val="superscript"/>
        </w:rPr>
        <w:t>+</w:t>
      </w:r>
      <w:r w:rsidRPr="00275439">
        <w:rPr>
          <w:bCs/>
        </w:rPr>
        <w:t xml:space="preserve"> cells at 15 months of age. This figure pertains to GFP</w:t>
      </w:r>
      <w:r w:rsidRPr="00275439">
        <w:rPr>
          <w:bCs/>
          <w:vertAlign w:val="superscript"/>
        </w:rPr>
        <w:t>+</w:t>
      </w:r>
      <w:r w:rsidRPr="00275439">
        <w:rPr>
          <w:bCs/>
        </w:rPr>
        <w:t xml:space="preserve"> BM transplant in WT mice. See Fig. 1 for GFP</w:t>
      </w:r>
      <w:r w:rsidRPr="00275439">
        <w:rPr>
          <w:bCs/>
          <w:vertAlign w:val="superscript"/>
        </w:rPr>
        <w:t>+</w:t>
      </w:r>
      <w:r w:rsidRPr="00275439">
        <w:rPr>
          <w:bCs/>
        </w:rPr>
        <w:t xml:space="preserve"> transplantation in Tg2576 mice. </w:t>
      </w:r>
      <w:r w:rsidRPr="00275439">
        <w:rPr>
          <w:b/>
          <w:i/>
          <w:iCs/>
        </w:rPr>
        <w:t>A:</w:t>
      </w:r>
      <w:r w:rsidRPr="00275439">
        <w:rPr>
          <w:b/>
        </w:rPr>
        <w:t xml:space="preserve"> </w:t>
      </w:r>
      <w:r w:rsidRPr="00275439">
        <w:rPr>
          <w:bCs/>
        </w:rPr>
        <w:t>GFP</w:t>
      </w:r>
      <w:r w:rsidRPr="00275439">
        <w:rPr>
          <w:bCs/>
          <w:vertAlign w:val="superscript"/>
        </w:rPr>
        <w:t>+</w:t>
      </w:r>
      <w:r w:rsidRPr="00275439">
        <w:rPr>
          <w:bCs/>
        </w:rPr>
        <w:t xml:space="preserve"> BM was transplanted into WT littermates at 3 months and GFP</w:t>
      </w:r>
      <w:r w:rsidRPr="00275439">
        <w:rPr>
          <w:bCs/>
          <w:vertAlign w:val="superscript"/>
        </w:rPr>
        <w:t>+</w:t>
      </w:r>
      <w:r w:rsidRPr="00275439">
        <w:rPr>
          <w:bCs/>
        </w:rPr>
        <w:t xml:space="preserve"> cell identity determined at 15 months of age. GFP</w:t>
      </w:r>
      <w:r w:rsidRPr="00275439">
        <w:rPr>
          <w:bCs/>
          <w:vertAlign w:val="superscript"/>
        </w:rPr>
        <w:t>+</w:t>
      </w:r>
      <w:r w:rsidRPr="00275439">
        <w:rPr>
          <w:bCs/>
        </w:rPr>
        <w:t xml:space="preserve"> cells are seen surrounding cerebral blood vessels, which are also positive for the BAM marker CD206, as well in the parenchyma, which have the morphology of microglia and are strongly Iba1</w:t>
      </w:r>
      <w:r w:rsidRPr="00275439">
        <w:rPr>
          <w:bCs/>
          <w:vertAlign w:val="superscript"/>
        </w:rPr>
        <w:t>+</w:t>
      </w:r>
      <w:r w:rsidRPr="00275439">
        <w:rPr>
          <w:bCs/>
        </w:rPr>
        <w:t xml:space="preserve">. </w:t>
      </w:r>
      <w:r w:rsidRPr="00275439">
        <w:rPr>
          <w:b/>
          <w:bCs/>
          <w:i/>
        </w:rPr>
        <w:t>B</w:t>
      </w:r>
      <w:r w:rsidRPr="00275439">
        <w:rPr>
          <w:bCs/>
          <w:i/>
        </w:rPr>
        <w:t>:</w:t>
      </w:r>
      <w:r w:rsidRPr="00275439">
        <w:rPr>
          <w:bCs/>
        </w:rPr>
        <w:t xml:space="preserve"> GFP</w:t>
      </w:r>
      <w:r w:rsidRPr="00275439">
        <w:rPr>
          <w:bCs/>
          <w:vertAlign w:val="superscript"/>
        </w:rPr>
        <w:t>+</w:t>
      </w:r>
      <w:r w:rsidRPr="00275439">
        <w:rPr>
          <w:bCs/>
        </w:rPr>
        <w:t xml:space="preserve"> BM was transplanted in WT littermates at 12 months and GFP</w:t>
      </w:r>
      <w:r w:rsidRPr="00275439">
        <w:rPr>
          <w:bCs/>
          <w:vertAlign w:val="superscript"/>
        </w:rPr>
        <w:t>+</w:t>
      </w:r>
      <w:r w:rsidRPr="00275439">
        <w:rPr>
          <w:bCs/>
        </w:rPr>
        <w:t xml:space="preserve"> cell identity determined at 15 months of age.  GFP</w:t>
      </w:r>
      <w:r w:rsidRPr="00275439">
        <w:rPr>
          <w:bCs/>
          <w:vertAlign w:val="superscript"/>
        </w:rPr>
        <w:t>+</w:t>
      </w:r>
      <w:r w:rsidRPr="00275439">
        <w:rPr>
          <w:bCs/>
        </w:rPr>
        <w:t>/CD206</w:t>
      </w:r>
      <w:r w:rsidRPr="00275439">
        <w:rPr>
          <w:bCs/>
          <w:vertAlign w:val="superscript"/>
        </w:rPr>
        <w:t>+</w:t>
      </w:r>
      <w:r w:rsidRPr="00275439">
        <w:rPr>
          <w:bCs/>
        </w:rPr>
        <w:t xml:space="preserve"> cells are seen surrounding cerebral blood vessels, no GFP</w:t>
      </w:r>
      <w:r w:rsidRPr="00275439">
        <w:rPr>
          <w:bCs/>
          <w:vertAlign w:val="superscript"/>
        </w:rPr>
        <w:t>+</w:t>
      </w:r>
      <w:r w:rsidRPr="00275439">
        <w:rPr>
          <w:bCs/>
        </w:rPr>
        <w:t>/Iba1</w:t>
      </w:r>
      <w:r w:rsidRPr="00275439">
        <w:rPr>
          <w:bCs/>
          <w:vertAlign w:val="superscript"/>
        </w:rPr>
        <w:t>+</w:t>
      </w:r>
      <w:r w:rsidRPr="00275439">
        <w:rPr>
          <w:bCs/>
        </w:rPr>
        <w:t xml:space="preserve"> were observed in the brain parenchyma. In </w:t>
      </w:r>
      <w:r w:rsidRPr="00275439">
        <w:rPr>
          <w:b/>
          <w:i/>
          <w:iCs/>
        </w:rPr>
        <w:t>A,B</w:t>
      </w:r>
      <w:r w:rsidRPr="00275439">
        <w:rPr>
          <w:bCs/>
        </w:rPr>
        <w:t>, arrows indicate co-localization and arrowheads no co-localization. N=4-5/group; Two-way ANOVA with Tukey’s test; mean</w:t>
      </w:r>
      <w:r w:rsidRPr="00275439">
        <w:rPr>
          <w:bCs/>
        </w:rPr>
        <w:sym w:font="Symbol" w:char="F0B1"/>
      </w:r>
      <w:r w:rsidRPr="00275439">
        <w:rPr>
          <w:bCs/>
        </w:rPr>
        <w:t xml:space="preserve">SEM; scale bars in </w:t>
      </w:r>
      <w:r w:rsidRPr="00275439">
        <w:rPr>
          <w:b/>
          <w:i/>
          <w:iCs/>
        </w:rPr>
        <w:t>A</w:t>
      </w:r>
      <w:r w:rsidRPr="00275439">
        <w:rPr>
          <w:bCs/>
          <w:i/>
          <w:iCs/>
        </w:rPr>
        <w:t xml:space="preserve"> </w:t>
      </w:r>
      <w:r w:rsidRPr="00275439">
        <w:rPr>
          <w:bCs/>
        </w:rPr>
        <w:t>and</w:t>
      </w:r>
      <w:r w:rsidRPr="00275439">
        <w:rPr>
          <w:bCs/>
          <w:i/>
          <w:iCs/>
        </w:rPr>
        <w:t xml:space="preserve"> </w:t>
      </w:r>
      <w:r w:rsidRPr="00275439">
        <w:rPr>
          <w:b/>
          <w:bCs/>
          <w:i/>
          <w:iCs/>
        </w:rPr>
        <w:t>B</w:t>
      </w:r>
      <w:r w:rsidRPr="00275439">
        <w:rPr>
          <w:bCs/>
        </w:rPr>
        <w:t xml:space="preserve">, 200 and 50 µm; data presented as </w:t>
      </w:r>
      <w:proofErr w:type="spellStart"/>
      <w:r w:rsidRPr="00275439">
        <w:rPr>
          <w:bCs/>
        </w:rPr>
        <w:t>mean±SEM</w:t>
      </w:r>
      <w:proofErr w:type="spellEnd"/>
      <w:r w:rsidRPr="00275439">
        <w:rPr>
          <w:bCs/>
        </w:rPr>
        <w:t>.</w:t>
      </w:r>
    </w:p>
    <w:p w14:paraId="44E67448" w14:textId="77777777" w:rsidR="00A33277" w:rsidRPr="00275439" w:rsidRDefault="00A33277" w:rsidP="00A33277">
      <w:pPr>
        <w:rPr>
          <w:b/>
        </w:rPr>
      </w:pPr>
      <w:r w:rsidRPr="00275439">
        <w:rPr>
          <w:b/>
        </w:rPr>
        <w:br w:type="page"/>
      </w:r>
    </w:p>
    <w:p w14:paraId="5807C61F" w14:textId="77777777" w:rsidR="00A33277" w:rsidRPr="00275439" w:rsidRDefault="00A33277" w:rsidP="00A33277">
      <w:pPr>
        <w:spacing w:line="360" w:lineRule="auto"/>
        <w:jc w:val="both"/>
        <w:rPr>
          <w:b/>
        </w:rPr>
      </w:pPr>
      <w:r w:rsidRPr="00275439">
        <w:rPr>
          <w:b/>
          <w:noProof/>
        </w:rPr>
        <w:lastRenderedPageBreak/>
        <mc:AlternateContent>
          <mc:Choice Requires="wps">
            <w:drawing>
              <wp:anchor distT="0" distB="0" distL="114300" distR="114300" simplePos="0" relativeHeight="251660288" behindDoc="1" locked="0" layoutInCell="1" allowOverlap="1" wp14:anchorId="0F156E04" wp14:editId="442A5B0E">
                <wp:simplePos x="0" y="0"/>
                <wp:positionH relativeFrom="column">
                  <wp:posOffset>0</wp:posOffset>
                </wp:positionH>
                <wp:positionV relativeFrom="paragraph">
                  <wp:posOffset>241935</wp:posOffset>
                </wp:positionV>
                <wp:extent cx="5955030" cy="6012815"/>
                <wp:effectExtent l="0" t="0" r="1270" b="0"/>
                <wp:wrapTight wrapText="bothSides">
                  <wp:wrapPolygon edited="0">
                    <wp:start x="0" y="0"/>
                    <wp:lineTo x="0" y="21534"/>
                    <wp:lineTo x="21559" y="21534"/>
                    <wp:lineTo x="21559" y="0"/>
                    <wp:lineTo x="0" y="0"/>
                  </wp:wrapPolygon>
                </wp:wrapTight>
                <wp:docPr id="25" name="Text Box 25"/>
                <wp:cNvGraphicFramePr/>
                <a:graphic xmlns:a="http://schemas.openxmlformats.org/drawingml/2006/main">
                  <a:graphicData uri="http://schemas.microsoft.com/office/word/2010/wordprocessingShape">
                    <wps:wsp>
                      <wps:cNvSpPr txBox="1"/>
                      <wps:spPr>
                        <a:xfrm>
                          <a:off x="0" y="0"/>
                          <a:ext cx="5955030" cy="6012815"/>
                        </a:xfrm>
                        <a:prstGeom prst="rect">
                          <a:avLst/>
                        </a:prstGeom>
                        <a:solidFill>
                          <a:schemeClr val="lt1"/>
                        </a:solidFill>
                        <a:ln w="6350">
                          <a:noFill/>
                        </a:ln>
                      </wps:spPr>
                      <wps:txbx>
                        <w:txbxContent>
                          <w:p w14:paraId="59F00A2A" w14:textId="77777777" w:rsidR="00A33277" w:rsidRDefault="00A33277" w:rsidP="00A33277">
                            <w:pPr>
                              <w:jc w:val="center"/>
                            </w:pPr>
                            <w:r>
                              <w:rPr>
                                <w:noProof/>
                              </w:rPr>
                              <w:drawing>
                                <wp:inline distT="0" distB="0" distL="0" distR="0" wp14:anchorId="1511C819" wp14:editId="663633E2">
                                  <wp:extent cx="5152794" cy="5911351"/>
                                  <wp:effectExtent l="0" t="0" r="3810" b="0"/>
                                  <wp:docPr id="27" name="Picture 2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Diagram&#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5222354" cy="599115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F156E04" id="Text Box 25" o:spid="_x0000_s1027" type="#_x0000_t202" style="position:absolute;left:0;text-align:left;margin-left:0;margin-top:19.05pt;width:468.9pt;height:473.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" fillcolor="white [3201]" stroked="f" strokeweight=".5pt">
                <v:textbox>
                  <w:txbxContent>
                    <w:p w14:paraId="59F00A2A" w14:textId="77777777" w:rsidR="00A33277" w:rsidRDefault="00A33277" w:rsidP="00A33277">
                      <w:pPr>
                        <w:jc w:val="center"/>
                      </w:pPr>
                      <w:r>
                        <w:rPr>
                          <w:noProof/>
                        </w:rPr>
                        <w:drawing>
                          <wp:inline distT="0" distB="0" distL="0" distR="0" wp14:anchorId="1511C819" wp14:editId="663633E2">
                            <wp:extent cx="5152794" cy="5911351"/>
                            <wp:effectExtent l="0" t="0" r="3810" b="0"/>
                            <wp:docPr id="27" name="Picture 2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Diagram&#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5222354" cy="5991152"/>
                                    </a:xfrm>
                                    <a:prstGeom prst="rect">
                                      <a:avLst/>
                                    </a:prstGeom>
                                  </pic:spPr>
                                </pic:pic>
                              </a:graphicData>
                            </a:graphic>
                          </wp:inline>
                        </w:drawing>
                      </w:r>
                    </w:p>
                  </w:txbxContent>
                </v:textbox>
                <w10:wrap type="tight"/>
              </v:shape>
            </w:pict>
          </mc:Fallback>
        </mc:AlternateContent>
      </w:r>
    </w:p>
    <w:p w14:paraId="3D48768B" w14:textId="77777777" w:rsidR="00A33277" w:rsidRPr="00275439" w:rsidRDefault="00A33277" w:rsidP="00A33277">
      <w:pPr>
        <w:spacing w:line="360" w:lineRule="auto"/>
        <w:jc w:val="both"/>
        <w:rPr>
          <w:bCs/>
        </w:rPr>
      </w:pPr>
      <w:r w:rsidRPr="00275439">
        <w:rPr>
          <w:b/>
        </w:rPr>
        <w:t xml:space="preserve">Fig. S2. </w:t>
      </w:r>
      <w:r w:rsidRPr="00275439">
        <w:rPr>
          <w:bCs/>
        </w:rPr>
        <w:t>Effect of head shielding during irradiation for GFP</w:t>
      </w:r>
      <w:r w:rsidRPr="00275439">
        <w:rPr>
          <w:bCs/>
          <w:vertAlign w:val="superscript"/>
        </w:rPr>
        <w:t>+</w:t>
      </w:r>
      <w:r w:rsidRPr="00275439">
        <w:rPr>
          <w:bCs/>
        </w:rPr>
        <w:t xml:space="preserve"> BM transplant on entry of GFP</w:t>
      </w:r>
      <w:r w:rsidRPr="00275439">
        <w:rPr>
          <w:bCs/>
          <w:vertAlign w:val="superscript"/>
        </w:rPr>
        <w:t>+</w:t>
      </w:r>
      <w:r w:rsidRPr="00275439">
        <w:rPr>
          <w:bCs/>
        </w:rPr>
        <w:t xml:space="preserve"> cells into the brain. </w:t>
      </w:r>
      <w:r w:rsidRPr="00275439">
        <w:rPr>
          <w:b/>
          <w:i/>
          <w:iCs/>
        </w:rPr>
        <w:t>A</w:t>
      </w:r>
      <w:r w:rsidRPr="00275439">
        <w:rPr>
          <w:b/>
        </w:rPr>
        <w:t>:</w:t>
      </w:r>
      <w:r w:rsidRPr="00275439">
        <w:rPr>
          <w:bCs/>
        </w:rPr>
        <w:t xml:space="preserve"> Cartoon depicting the experimental protocol. </w:t>
      </w:r>
      <w:r w:rsidRPr="00275439">
        <w:rPr>
          <w:b/>
          <w:i/>
          <w:iCs/>
        </w:rPr>
        <w:t>B</w:t>
      </w:r>
      <w:r w:rsidRPr="00275439">
        <w:rPr>
          <w:bCs/>
          <w:i/>
          <w:iCs/>
        </w:rPr>
        <w:t>:</w:t>
      </w:r>
      <w:r w:rsidRPr="00275439">
        <w:rPr>
          <w:bCs/>
        </w:rPr>
        <w:t xml:space="preserve"> Representative whole-brain section for GFP</w:t>
      </w:r>
      <w:r w:rsidRPr="00275439">
        <w:rPr>
          <w:bCs/>
          <w:vertAlign w:val="superscript"/>
        </w:rPr>
        <w:t>+</w:t>
      </w:r>
      <w:r w:rsidRPr="00275439">
        <w:rPr>
          <w:bCs/>
        </w:rPr>
        <w:t xml:space="preserve"> cells with (+) or without (-) headshield. Scale bar: 1 mm. </w:t>
      </w:r>
      <w:r w:rsidRPr="00275439">
        <w:rPr>
          <w:b/>
          <w:i/>
          <w:iCs/>
        </w:rPr>
        <w:t>C</w:t>
      </w:r>
      <w:r w:rsidRPr="00275439">
        <w:rPr>
          <w:b/>
        </w:rPr>
        <w:t>.</w:t>
      </w:r>
      <w:r w:rsidRPr="00275439">
        <w:rPr>
          <w:bCs/>
        </w:rPr>
        <w:t xml:space="preserve"> Quantification for GFP</w:t>
      </w:r>
      <w:r w:rsidRPr="00275439">
        <w:rPr>
          <w:bCs/>
          <w:vertAlign w:val="superscript"/>
        </w:rPr>
        <w:t>+</w:t>
      </w:r>
      <w:r w:rsidRPr="00275439">
        <w:rPr>
          <w:bCs/>
        </w:rPr>
        <w:t xml:space="preserve"> cells and CD206</w:t>
      </w:r>
      <w:r w:rsidRPr="00275439">
        <w:rPr>
          <w:bCs/>
          <w:vertAlign w:val="superscript"/>
        </w:rPr>
        <w:t>+</w:t>
      </w:r>
      <w:r w:rsidRPr="00275439">
        <w:rPr>
          <w:bCs/>
        </w:rPr>
        <w:t xml:space="preserve"> cells. N=3/group; data were analyzed by two-way ANOVA with Tukey’s test; data presented as mean</w:t>
      </w:r>
      <w:r w:rsidRPr="00275439">
        <w:rPr>
          <w:bCs/>
        </w:rPr>
        <w:sym w:font="Symbol" w:char="F0B1"/>
      </w:r>
      <w:r w:rsidRPr="00275439">
        <w:rPr>
          <w:bCs/>
        </w:rPr>
        <w:t>SEM.</w:t>
      </w:r>
    </w:p>
    <w:p w14:paraId="1FF87FD3" w14:textId="77777777" w:rsidR="00A33277" w:rsidRPr="00275439" w:rsidRDefault="00A33277" w:rsidP="00A33277">
      <w:pPr>
        <w:rPr>
          <w:bCs/>
        </w:rPr>
      </w:pPr>
      <w:r w:rsidRPr="00275439">
        <w:rPr>
          <w:bCs/>
        </w:rPr>
        <w:br w:type="page"/>
      </w:r>
    </w:p>
    <w:p w14:paraId="1B4C8684" w14:textId="77777777" w:rsidR="00A33277" w:rsidRPr="00275439" w:rsidRDefault="00A33277" w:rsidP="00A33277">
      <w:pPr>
        <w:spacing w:line="360" w:lineRule="auto"/>
        <w:jc w:val="both"/>
        <w:rPr>
          <w:bCs/>
        </w:rPr>
      </w:pPr>
      <w:r w:rsidRPr="00275439">
        <w:rPr>
          <w:b/>
          <w:noProof/>
        </w:rPr>
        <w:lastRenderedPageBreak/>
        <mc:AlternateContent>
          <mc:Choice Requires="wps">
            <w:drawing>
              <wp:anchor distT="0" distB="0" distL="114300" distR="114300" simplePos="0" relativeHeight="251661312" behindDoc="1" locked="0" layoutInCell="1" allowOverlap="1" wp14:anchorId="27F40C7E" wp14:editId="58900089">
                <wp:simplePos x="0" y="0"/>
                <wp:positionH relativeFrom="column">
                  <wp:posOffset>0</wp:posOffset>
                </wp:positionH>
                <wp:positionV relativeFrom="paragraph">
                  <wp:posOffset>241935</wp:posOffset>
                </wp:positionV>
                <wp:extent cx="5955030" cy="5984875"/>
                <wp:effectExtent l="0" t="0" r="1270" b="0"/>
                <wp:wrapTight wrapText="bothSides">
                  <wp:wrapPolygon edited="0">
                    <wp:start x="0" y="0"/>
                    <wp:lineTo x="0" y="21543"/>
                    <wp:lineTo x="21559" y="21543"/>
                    <wp:lineTo x="21559" y="0"/>
                    <wp:lineTo x="0" y="0"/>
                  </wp:wrapPolygon>
                </wp:wrapTight>
                <wp:docPr id="28" name="Text Box 28"/>
                <wp:cNvGraphicFramePr/>
                <a:graphic xmlns:a="http://schemas.openxmlformats.org/drawingml/2006/main">
                  <a:graphicData uri="http://schemas.microsoft.com/office/word/2010/wordprocessingShape">
                    <wps:wsp>
                      <wps:cNvSpPr txBox="1"/>
                      <wps:spPr>
                        <a:xfrm>
                          <a:off x="0" y="0"/>
                          <a:ext cx="5955030" cy="5984875"/>
                        </a:xfrm>
                        <a:prstGeom prst="rect">
                          <a:avLst/>
                        </a:prstGeom>
                        <a:solidFill>
                          <a:schemeClr val="lt1"/>
                        </a:solidFill>
                        <a:ln w="6350">
                          <a:noFill/>
                        </a:ln>
                      </wps:spPr>
                      <wps:txbx>
                        <w:txbxContent>
                          <w:p w14:paraId="487145E9" w14:textId="77777777" w:rsidR="00A33277" w:rsidRDefault="00A33277" w:rsidP="00A33277">
                            <w:pPr>
                              <w:jc w:val="center"/>
                            </w:pPr>
                            <w:r>
                              <w:rPr>
                                <w:noProof/>
                              </w:rPr>
                              <w:drawing>
                                <wp:inline distT="0" distB="0" distL="0" distR="0" wp14:anchorId="0C9A5CEE" wp14:editId="18EBE12B">
                                  <wp:extent cx="4372166" cy="5853546"/>
                                  <wp:effectExtent l="0" t="0" r="0" b="1270"/>
                                  <wp:docPr id="30" name="Picture 30"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background pattern&#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4442055" cy="59471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7F40C7E" id="Text Box 28" o:spid="_x0000_s1028" type="#_x0000_t202" style="position:absolute;left:0;text-align:left;margin-left:0;margin-top:19.05pt;width:468.9pt;height:471.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" fillcolor="white [3201]" stroked="f" strokeweight=".5pt">
                <v:textbox>
                  <w:txbxContent>
                    <w:p w14:paraId="487145E9" w14:textId="77777777" w:rsidR="00A33277" w:rsidRDefault="00A33277" w:rsidP="00A33277">
                      <w:pPr>
                        <w:jc w:val="center"/>
                      </w:pPr>
                      <w:r>
                        <w:rPr>
                          <w:noProof/>
                        </w:rPr>
                        <w:drawing>
                          <wp:inline distT="0" distB="0" distL="0" distR="0" wp14:anchorId="0C9A5CEE" wp14:editId="18EBE12B">
                            <wp:extent cx="4372166" cy="5853546"/>
                            <wp:effectExtent l="0" t="0" r="0" b="1270"/>
                            <wp:docPr id="30" name="Picture 30"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background pattern&#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4442055" cy="5947115"/>
                                    </a:xfrm>
                                    <a:prstGeom prst="rect">
                                      <a:avLst/>
                                    </a:prstGeom>
                                  </pic:spPr>
                                </pic:pic>
                              </a:graphicData>
                            </a:graphic>
                          </wp:inline>
                        </w:drawing>
                      </w:r>
                    </w:p>
                  </w:txbxContent>
                </v:textbox>
                <w10:wrap type="tight"/>
              </v:shape>
            </w:pict>
          </mc:Fallback>
        </mc:AlternateContent>
      </w:r>
    </w:p>
    <w:p w14:paraId="61D126A8" w14:textId="77777777" w:rsidR="00A33277" w:rsidRPr="00275439" w:rsidRDefault="00A33277" w:rsidP="00A33277">
      <w:pPr>
        <w:spacing w:line="360" w:lineRule="auto"/>
        <w:jc w:val="both"/>
        <w:rPr>
          <w:bCs/>
        </w:rPr>
      </w:pPr>
      <w:r w:rsidRPr="00275439">
        <w:rPr>
          <w:b/>
        </w:rPr>
        <w:t xml:space="preserve">Fig. S3. </w:t>
      </w:r>
      <w:r w:rsidRPr="00275439">
        <w:rPr>
          <w:rFonts w:cs="Arial"/>
          <w:szCs w:val="22"/>
        </w:rPr>
        <w:t>CD36 expression in BAM in 15-month-old WT and Tg2576 mice receiving WT or CD36</w:t>
      </w:r>
      <w:r w:rsidRPr="00275439">
        <w:rPr>
          <w:rFonts w:cs="Arial"/>
          <w:szCs w:val="22"/>
          <w:vertAlign w:val="superscript"/>
        </w:rPr>
        <w:t>-/-</w:t>
      </w:r>
      <w:r w:rsidRPr="00275439">
        <w:rPr>
          <w:rFonts w:cs="Arial"/>
          <w:szCs w:val="22"/>
        </w:rPr>
        <w:t xml:space="preserve"> BM. </w:t>
      </w:r>
      <w:r w:rsidRPr="00275439">
        <w:rPr>
          <w:rFonts w:cs="Arial"/>
          <w:b/>
          <w:bCs/>
          <w:i/>
          <w:iCs/>
          <w:szCs w:val="22"/>
        </w:rPr>
        <w:t>A, B</w:t>
      </w:r>
      <w:r w:rsidRPr="00275439">
        <w:rPr>
          <w:rFonts w:cs="Arial"/>
          <w:b/>
          <w:bCs/>
          <w:szCs w:val="22"/>
        </w:rPr>
        <w:t xml:space="preserve">: </w:t>
      </w:r>
      <w:r w:rsidRPr="00275439">
        <w:rPr>
          <w:rFonts w:cs="Arial"/>
          <w:bCs/>
          <w:szCs w:val="22"/>
        </w:rPr>
        <w:t xml:space="preserve">In </w:t>
      </w:r>
      <w:r w:rsidRPr="00275439">
        <w:rPr>
          <w:rFonts w:cs="Arial"/>
          <w:szCs w:val="22"/>
        </w:rPr>
        <w:t>WT→WT and WT→Tg2576 chimeras CD206</w:t>
      </w:r>
      <w:r w:rsidRPr="00275439">
        <w:rPr>
          <w:rFonts w:cs="Arial"/>
          <w:szCs w:val="22"/>
          <w:vertAlign w:val="superscript"/>
        </w:rPr>
        <w:t>+</w:t>
      </w:r>
      <w:r w:rsidRPr="00275439">
        <w:rPr>
          <w:rFonts w:cs="Arial"/>
          <w:szCs w:val="22"/>
        </w:rPr>
        <w:t xml:space="preserve"> cells (BAM) also express CD36 and are closely associated with Glut-1</w:t>
      </w:r>
      <w:r w:rsidRPr="00275439">
        <w:rPr>
          <w:rFonts w:cs="Arial"/>
          <w:szCs w:val="22"/>
          <w:vertAlign w:val="superscript"/>
        </w:rPr>
        <w:t>+</w:t>
      </w:r>
      <w:r w:rsidRPr="00275439">
        <w:rPr>
          <w:rFonts w:cs="Arial"/>
          <w:szCs w:val="22"/>
        </w:rPr>
        <w:t xml:space="preserve"> blood vessels. </w:t>
      </w:r>
      <w:r w:rsidRPr="00275439">
        <w:rPr>
          <w:rFonts w:cs="Arial"/>
          <w:b/>
          <w:i/>
          <w:iCs/>
          <w:szCs w:val="22"/>
        </w:rPr>
        <w:t>C,D:</w:t>
      </w:r>
      <w:r w:rsidRPr="00275439">
        <w:rPr>
          <w:rFonts w:cs="Arial"/>
          <w:i/>
          <w:iCs/>
          <w:szCs w:val="22"/>
        </w:rPr>
        <w:t xml:space="preserve"> </w:t>
      </w:r>
      <w:r w:rsidRPr="00275439">
        <w:rPr>
          <w:rFonts w:cs="Arial"/>
          <w:iCs/>
          <w:szCs w:val="22"/>
        </w:rPr>
        <w:t>In CD36</w:t>
      </w:r>
      <w:r w:rsidRPr="00275439">
        <w:rPr>
          <w:rFonts w:cs="Arial"/>
          <w:iCs/>
          <w:szCs w:val="22"/>
          <w:vertAlign w:val="superscript"/>
        </w:rPr>
        <w:t>-/-</w:t>
      </w:r>
      <w:r w:rsidRPr="00275439">
        <w:rPr>
          <w:rFonts w:cs="Arial"/>
          <w:i/>
          <w:iCs/>
          <w:szCs w:val="22"/>
        </w:rPr>
        <w:t xml:space="preserve"> </w:t>
      </w:r>
      <w:r w:rsidRPr="00275439">
        <w:rPr>
          <w:rFonts w:cs="Arial"/>
          <w:szCs w:val="22"/>
        </w:rPr>
        <w:t xml:space="preserve">→WT and </w:t>
      </w:r>
      <w:r w:rsidRPr="00275439">
        <w:rPr>
          <w:rFonts w:cs="Arial"/>
          <w:iCs/>
          <w:szCs w:val="22"/>
        </w:rPr>
        <w:t>CD36</w:t>
      </w:r>
      <w:r w:rsidRPr="00275439">
        <w:rPr>
          <w:rFonts w:cs="Arial"/>
          <w:iCs/>
          <w:szCs w:val="22"/>
          <w:vertAlign w:val="superscript"/>
        </w:rPr>
        <w:t xml:space="preserve">-/- </w:t>
      </w:r>
      <w:r w:rsidRPr="00275439">
        <w:rPr>
          <w:rFonts w:cs="Arial"/>
          <w:szCs w:val="22"/>
        </w:rPr>
        <w:t xml:space="preserve">→Tg2576 chimeras CD206+ cells do not express CD36. </w:t>
      </w:r>
      <w:r w:rsidRPr="00275439">
        <w:rPr>
          <w:bCs/>
        </w:rPr>
        <w:t xml:space="preserve">Scale bar: 50 µm. </w:t>
      </w:r>
      <w:r w:rsidRPr="00275439">
        <w:rPr>
          <w:rFonts w:cs="Arial"/>
          <w:b/>
          <w:bCs/>
          <w:szCs w:val="22"/>
        </w:rPr>
        <w:t>E:</w:t>
      </w:r>
      <w:r w:rsidRPr="00275439">
        <w:rPr>
          <w:rFonts w:cs="Arial"/>
          <w:szCs w:val="22"/>
        </w:rPr>
        <w:t xml:space="preserve"> Quantification of CD36 immunoreactivity in CD206</w:t>
      </w:r>
      <w:r w:rsidRPr="00275439">
        <w:rPr>
          <w:rFonts w:cs="Arial"/>
          <w:szCs w:val="22"/>
          <w:vertAlign w:val="superscript"/>
        </w:rPr>
        <w:t>+</w:t>
      </w:r>
      <w:r w:rsidRPr="00275439">
        <w:rPr>
          <w:rFonts w:cs="Arial"/>
          <w:szCs w:val="22"/>
        </w:rPr>
        <w:t xml:space="preserve"> cells in the chimeras. N=5/group; </w:t>
      </w:r>
      <w:r w:rsidRPr="00275439">
        <w:rPr>
          <w:bCs/>
        </w:rPr>
        <w:t>two-way ANOVA with Tukey’s test. Data presented as mean</w:t>
      </w:r>
      <w:r w:rsidRPr="00275439">
        <w:rPr>
          <w:bCs/>
        </w:rPr>
        <w:sym w:font="Symbol" w:char="F0B1"/>
      </w:r>
      <w:r w:rsidRPr="00275439">
        <w:rPr>
          <w:bCs/>
        </w:rPr>
        <w:t xml:space="preserve">SEM. </w:t>
      </w:r>
    </w:p>
    <w:p w14:paraId="2FC4D76B" w14:textId="77777777" w:rsidR="00A33277" w:rsidRPr="00275439" w:rsidRDefault="00A33277" w:rsidP="00A33277">
      <w:pPr>
        <w:rPr>
          <w:bCs/>
        </w:rPr>
      </w:pPr>
      <w:r w:rsidRPr="00275439">
        <w:rPr>
          <w:bCs/>
        </w:rPr>
        <w:br w:type="page"/>
      </w:r>
    </w:p>
    <w:p w14:paraId="2D88FC4A" w14:textId="77777777" w:rsidR="00A33277" w:rsidRDefault="00A33277" w:rsidP="00A33277">
      <w:pPr>
        <w:spacing w:line="360" w:lineRule="auto"/>
        <w:jc w:val="both"/>
        <w:rPr>
          <w:bCs/>
        </w:rPr>
      </w:pPr>
      <w:r w:rsidRPr="00275439">
        <w:rPr>
          <w:b/>
          <w:noProof/>
        </w:rPr>
        <w:lastRenderedPageBreak/>
        <mc:AlternateContent>
          <mc:Choice Requires="wps">
            <w:drawing>
              <wp:anchor distT="0" distB="0" distL="114300" distR="114300" simplePos="0" relativeHeight="251662336" behindDoc="1" locked="0" layoutInCell="1" allowOverlap="1" wp14:anchorId="27715B8B" wp14:editId="42D199D2">
                <wp:simplePos x="0" y="0"/>
                <wp:positionH relativeFrom="column">
                  <wp:posOffset>3409</wp:posOffset>
                </wp:positionH>
                <wp:positionV relativeFrom="paragraph">
                  <wp:posOffset>356168</wp:posOffset>
                </wp:positionV>
                <wp:extent cx="5955030" cy="4030980"/>
                <wp:effectExtent l="0" t="0" r="1270" b="0"/>
                <wp:wrapTight wrapText="bothSides">
                  <wp:wrapPolygon edited="0">
                    <wp:start x="0" y="0"/>
                    <wp:lineTo x="0" y="21505"/>
                    <wp:lineTo x="21559" y="21505"/>
                    <wp:lineTo x="21559" y="0"/>
                    <wp:lineTo x="0" y="0"/>
                  </wp:wrapPolygon>
                </wp:wrapTight>
                <wp:docPr id="31" name="Text Box 31"/>
                <wp:cNvGraphicFramePr/>
                <a:graphic xmlns:a="http://schemas.openxmlformats.org/drawingml/2006/main">
                  <a:graphicData uri="http://schemas.microsoft.com/office/word/2010/wordprocessingShape">
                    <wps:wsp>
                      <wps:cNvSpPr txBox="1"/>
                      <wps:spPr>
                        <a:xfrm>
                          <a:off x="0" y="0"/>
                          <a:ext cx="5955030" cy="4030980"/>
                        </a:xfrm>
                        <a:prstGeom prst="rect">
                          <a:avLst/>
                        </a:prstGeom>
                        <a:solidFill>
                          <a:schemeClr val="lt1"/>
                        </a:solidFill>
                        <a:ln w="6350">
                          <a:noFill/>
                        </a:ln>
                      </wps:spPr>
                      <wps:txbx>
                        <w:txbxContent>
                          <w:p w14:paraId="2C29E5C5" w14:textId="77777777" w:rsidR="00A33277" w:rsidRDefault="00A33277" w:rsidP="00A33277">
                            <w:pPr>
                              <w:jc w:val="center"/>
                            </w:pPr>
                            <w:r>
                              <w:rPr>
                                <w:noProof/>
                              </w:rPr>
                              <w:drawing>
                                <wp:inline distT="0" distB="0" distL="0" distR="0" wp14:anchorId="37C4CC25" wp14:editId="13D88807">
                                  <wp:extent cx="5486400" cy="3708400"/>
                                  <wp:effectExtent l="0" t="0" r="0" b="0"/>
                                  <wp:docPr id="34" name="Picture 34"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Graphical user interface&#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486400" cy="37084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7715B8B" id="Text Box 31" o:spid="_x0000_s1029" type="#_x0000_t202" style="position:absolute;left:0;text-align:left;margin-left:.25pt;margin-top:28.05pt;width:468.9pt;height:317.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" fillcolor="white [3201]" stroked="f" strokeweight=".5pt">
                <v:textbox>
                  <w:txbxContent>
                    <w:p w14:paraId="2C29E5C5" w14:textId="77777777" w:rsidR="00A33277" w:rsidRDefault="00A33277" w:rsidP="00A33277">
                      <w:pPr>
                        <w:jc w:val="center"/>
                      </w:pPr>
                      <w:r>
                        <w:rPr>
                          <w:noProof/>
                        </w:rPr>
                        <w:drawing>
                          <wp:inline distT="0" distB="0" distL="0" distR="0" wp14:anchorId="37C4CC25" wp14:editId="13D88807">
                            <wp:extent cx="5486400" cy="3708400"/>
                            <wp:effectExtent l="0" t="0" r="0" b="0"/>
                            <wp:docPr id="34" name="Picture 34"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Graphical user interface&#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486400" cy="3708400"/>
                                    </a:xfrm>
                                    <a:prstGeom prst="rect">
                                      <a:avLst/>
                                    </a:prstGeom>
                                  </pic:spPr>
                                </pic:pic>
                              </a:graphicData>
                            </a:graphic>
                          </wp:inline>
                        </w:drawing>
                      </w:r>
                    </w:p>
                  </w:txbxContent>
                </v:textbox>
                <w10:wrap type="tight"/>
              </v:shape>
            </w:pict>
          </mc:Fallback>
        </mc:AlternateContent>
      </w:r>
    </w:p>
    <w:p w14:paraId="7B43633E" w14:textId="77777777" w:rsidR="00A33277" w:rsidRDefault="00A33277" w:rsidP="00A33277">
      <w:pPr>
        <w:spacing w:line="360" w:lineRule="auto"/>
        <w:jc w:val="both"/>
        <w:rPr>
          <w:rFonts w:cs="Arial"/>
          <w:szCs w:val="22"/>
        </w:rPr>
      </w:pPr>
      <w:r w:rsidRPr="00275439">
        <w:rPr>
          <w:b/>
        </w:rPr>
        <w:t>Fig. S4.</w:t>
      </w:r>
      <w:r w:rsidRPr="00275439">
        <w:rPr>
          <w:rFonts w:cs="Arial"/>
          <w:szCs w:val="22"/>
        </w:rPr>
        <w:t xml:space="preserve"> Effect of CD36</w:t>
      </w:r>
      <w:r w:rsidRPr="00275439">
        <w:rPr>
          <w:rFonts w:cs="Arial"/>
          <w:szCs w:val="22"/>
          <w:vertAlign w:val="superscript"/>
        </w:rPr>
        <w:t>-/-</w:t>
      </w:r>
      <w:r w:rsidRPr="00275439">
        <w:rPr>
          <w:rFonts w:cs="Arial"/>
          <w:szCs w:val="22"/>
        </w:rPr>
        <w:t xml:space="preserve"> BM transplantation on CD206</w:t>
      </w:r>
      <w:r w:rsidRPr="00275439">
        <w:rPr>
          <w:rFonts w:cs="Arial"/>
          <w:szCs w:val="22"/>
          <w:vertAlign w:val="superscript"/>
        </w:rPr>
        <w:t>+</w:t>
      </w:r>
      <w:r w:rsidRPr="00275439">
        <w:rPr>
          <w:rFonts w:cs="Arial"/>
          <w:szCs w:val="22"/>
        </w:rPr>
        <w:t>, Iba1</w:t>
      </w:r>
      <w:r w:rsidRPr="00275439">
        <w:rPr>
          <w:rFonts w:cs="Arial"/>
          <w:szCs w:val="22"/>
          <w:vertAlign w:val="superscript"/>
        </w:rPr>
        <w:t>+</w:t>
      </w:r>
      <w:r w:rsidRPr="00275439">
        <w:rPr>
          <w:rFonts w:cs="Arial"/>
          <w:szCs w:val="22"/>
        </w:rPr>
        <w:t>, and GFAP</w:t>
      </w:r>
      <w:r w:rsidRPr="00275439">
        <w:rPr>
          <w:rFonts w:cs="Arial"/>
          <w:szCs w:val="22"/>
          <w:vertAlign w:val="superscript"/>
        </w:rPr>
        <w:t>+</w:t>
      </w:r>
      <w:r w:rsidRPr="00275439">
        <w:rPr>
          <w:rFonts w:cs="Arial"/>
          <w:szCs w:val="22"/>
        </w:rPr>
        <w:t xml:space="preserve"> cells in 15-month-old WT and TG2576 mice. Coronal cortical sections were co-stained with thioflavin-S to detect amyloid pathology. </w:t>
      </w:r>
      <w:r w:rsidRPr="00275439">
        <w:rPr>
          <w:rFonts w:cs="Arial"/>
          <w:b/>
          <w:i/>
          <w:iCs/>
          <w:szCs w:val="22"/>
        </w:rPr>
        <w:t>A, B, C:</w:t>
      </w:r>
      <w:r w:rsidRPr="00275439">
        <w:rPr>
          <w:rFonts w:cs="Arial"/>
          <w:iCs/>
          <w:szCs w:val="22"/>
        </w:rPr>
        <w:t xml:space="preserve"> CD36</w:t>
      </w:r>
      <w:r w:rsidRPr="00275439">
        <w:rPr>
          <w:rFonts w:cs="Arial"/>
          <w:iCs/>
          <w:szCs w:val="22"/>
          <w:vertAlign w:val="superscript"/>
        </w:rPr>
        <w:t>-/-</w:t>
      </w:r>
      <w:r w:rsidRPr="00275439">
        <w:rPr>
          <w:rFonts w:cs="Arial"/>
          <w:iCs/>
          <w:szCs w:val="22"/>
        </w:rPr>
        <w:t xml:space="preserve"> BM transplantation in WT and Tg2576 mice does not affect the number of CD206</w:t>
      </w:r>
      <w:r w:rsidRPr="00275439">
        <w:rPr>
          <w:rFonts w:cs="Arial"/>
          <w:iCs/>
          <w:szCs w:val="22"/>
          <w:vertAlign w:val="superscript"/>
        </w:rPr>
        <w:t>+</w:t>
      </w:r>
      <w:r w:rsidRPr="00275439">
        <w:rPr>
          <w:rFonts w:cs="Arial"/>
          <w:iCs/>
          <w:szCs w:val="22"/>
        </w:rPr>
        <w:t>, Iba1</w:t>
      </w:r>
      <w:r w:rsidRPr="00275439">
        <w:rPr>
          <w:rFonts w:cs="Arial"/>
          <w:iCs/>
          <w:szCs w:val="22"/>
          <w:vertAlign w:val="superscript"/>
        </w:rPr>
        <w:t>+</w:t>
      </w:r>
      <w:r w:rsidRPr="00275439">
        <w:rPr>
          <w:rFonts w:cs="Arial"/>
          <w:iCs/>
          <w:szCs w:val="22"/>
        </w:rPr>
        <w:t xml:space="preserve"> and GFAP</w:t>
      </w:r>
      <w:r w:rsidRPr="00275439">
        <w:rPr>
          <w:rFonts w:cs="Arial"/>
          <w:iCs/>
          <w:szCs w:val="22"/>
          <w:vertAlign w:val="superscript"/>
        </w:rPr>
        <w:t>+</w:t>
      </w:r>
      <w:r w:rsidRPr="00275439">
        <w:rPr>
          <w:rFonts w:cs="Arial"/>
          <w:iCs/>
          <w:szCs w:val="22"/>
        </w:rPr>
        <w:t xml:space="preserve"> cells</w:t>
      </w:r>
      <w:r w:rsidRPr="00275439">
        <w:rPr>
          <w:rFonts w:cs="Arial"/>
          <w:szCs w:val="22"/>
        </w:rPr>
        <w:t xml:space="preserve">. N=5/group; </w:t>
      </w:r>
      <w:r w:rsidRPr="00275439">
        <w:rPr>
          <w:bCs/>
        </w:rPr>
        <w:t>two-way ANOVA with Tukey’s test; scale bar: 200 µm. Data presented as mean</w:t>
      </w:r>
      <w:r w:rsidRPr="00275439">
        <w:rPr>
          <w:bCs/>
        </w:rPr>
        <w:sym w:font="Symbol" w:char="F0B1"/>
      </w:r>
      <w:r w:rsidRPr="00275439">
        <w:rPr>
          <w:bCs/>
        </w:rPr>
        <w:t>SEM.</w:t>
      </w:r>
    </w:p>
    <w:p w14:paraId="775A9F5F" w14:textId="67C99C06" w:rsidR="001819AE" w:rsidRPr="00A33277" w:rsidRDefault="001819AE" w:rsidP="00A33277"/>
    <w:sectPr w:rsidR="001819AE" w:rsidRPr="00A33277" w:rsidSect="00D357DA">
      <w:pgSz w:w="12240" w:h="15840"/>
      <w:pgMar w:top="97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90B"/>
    <w:rsid w:val="00013308"/>
    <w:rsid w:val="000229B1"/>
    <w:rsid w:val="00022AD4"/>
    <w:rsid w:val="00033D63"/>
    <w:rsid w:val="00034C37"/>
    <w:rsid w:val="00036102"/>
    <w:rsid w:val="00045483"/>
    <w:rsid w:val="00060D7C"/>
    <w:rsid w:val="00061F78"/>
    <w:rsid w:val="00070059"/>
    <w:rsid w:val="00071774"/>
    <w:rsid w:val="0007506C"/>
    <w:rsid w:val="00086F32"/>
    <w:rsid w:val="00087B18"/>
    <w:rsid w:val="00092FA9"/>
    <w:rsid w:val="000B1C5F"/>
    <w:rsid w:val="000B2CFA"/>
    <w:rsid w:val="000B4505"/>
    <w:rsid w:val="000C386B"/>
    <w:rsid w:val="000C424E"/>
    <w:rsid w:val="000C59EC"/>
    <w:rsid w:val="000D01B7"/>
    <w:rsid w:val="000D4D25"/>
    <w:rsid w:val="000D64F2"/>
    <w:rsid w:val="000E46FC"/>
    <w:rsid w:val="000E5944"/>
    <w:rsid w:val="000F2900"/>
    <w:rsid w:val="000F7937"/>
    <w:rsid w:val="00114774"/>
    <w:rsid w:val="00115B73"/>
    <w:rsid w:val="00130873"/>
    <w:rsid w:val="001331D9"/>
    <w:rsid w:val="0013474D"/>
    <w:rsid w:val="0014080A"/>
    <w:rsid w:val="00162687"/>
    <w:rsid w:val="001819AE"/>
    <w:rsid w:val="00184332"/>
    <w:rsid w:val="001919E8"/>
    <w:rsid w:val="00197F6F"/>
    <w:rsid w:val="001B0462"/>
    <w:rsid w:val="001B0E22"/>
    <w:rsid w:val="001B7AAB"/>
    <w:rsid w:val="001C5CA1"/>
    <w:rsid w:val="001D0217"/>
    <w:rsid w:val="001D08E9"/>
    <w:rsid w:val="001D3D65"/>
    <w:rsid w:val="001E2DA2"/>
    <w:rsid w:val="001F1EC9"/>
    <w:rsid w:val="00204F31"/>
    <w:rsid w:val="00224C13"/>
    <w:rsid w:val="00224D82"/>
    <w:rsid w:val="00225109"/>
    <w:rsid w:val="002321B4"/>
    <w:rsid w:val="002325C1"/>
    <w:rsid w:val="00234D98"/>
    <w:rsid w:val="002426A9"/>
    <w:rsid w:val="002456A7"/>
    <w:rsid w:val="00256410"/>
    <w:rsid w:val="002614FF"/>
    <w:rsid w:val="00262CDB"/>
    <w:rsid w:val="0026667F"/>
    <w:rsid w:val="00270015"/>
    <w:rsid w:val="0028142C"/>
    <w:rsid w:val="00284A8A"/>
    <w:rsid w:val="002873BF"/>
    <w:rsid w:val="00291E8B"/>
    <w:rsid w:val="00296035"/>
    <w:rsid w:val="002B1C93"/>
    <w:rsid w:val="002B3F56"/>
    <w:rsid w:val="002B4871"/>
    <w:rsid w:val="002B4F9C"/>
    <w:rsid w:val="002B6DD4"/>
    <w:rsid w:val="002B7896"/>
    <w:rsid w:val="002F6AED"/>
    <w:rsid w:val="002F7969"/>
    <w:rsid w:val="0030428B"/>
    <w:rsid w:val="003223A1"/>
    <w:rsid w:val="00324697"/>
    <w:rsid w:val="003548B8"/>
    <w:rsid w:val="0035579E"/>
    <w:rsid w:val="0036605B"/>
    <w:rsid w:val="00374A31"/>
    <w:rsid w:val="0038014B"/>
    <w:rsid w:val="0038611E"/>
    <w:rsid w:val="003B1462"/>
    <w:rsid w:val="003B198B"/>
    <w:rsid w:val="003C1075"/>
    <w:rsid w:val="003D3CAF"/>
    <w:rsid w:val="003D744B"/>
    <w:rsid w:val="003E6571"/>
    <w:rsid w:val="003E6FB2"/>
    <w:rsid w:val="003F5930"/>
    <w:rsid w:val="003F7EE5"/>
    <w:rsid w:val="00402CCA"/>
    <w:rsid w:val="004140CE"/>
    <w:rsid w:val="004148CC"/>
    <w:rsid w:val="00416F7B"/>
    <w:rsid w:val="00417F70"/>
    <w:rsid w:val="0042037E"/>
    <w:rsid w:val="00426246"/>
    <w:rsid w:val="00426C63"/>
    <w:rsid w:val="00440712"/>
    <w:rsid w:val="004437F6"/>
    <w:rsid w:val="00443D63"/>
    <w:rsid w:val="00443D97"/>
    <w:rsid w:val="004445A6"/>
    <w:rsid w:val="00451B17"/>
    <w:rsid w:val="004545BB"/>
    <w:rsid w:val="004628E6"/>
    <w:rsid w:val="00466BAA"/>
    <w:rsid w:val="00473736"/>
    <w:rsid w:val="00474F83"/>
    <w:rsid w:val="0047588C"/>
    <w:rsid w:val="004847F9"/>
    <w:rsid w:val="00485CCF"/>
    <w:rsid w:val="0049236B"/>
    <w:rsid w:val="004A2C91"/>
    <w:rsid w:val="004A4215"/>
    <w:rsid w:val="004A5A32"/>
    <w:rsid w:val="004B32E4"/>
    <w:rsid w:val="004B67E8"/>
    <w:rsid w:val="004D02B6"/>
    <w:rsid w:val="004E2AE7"/>
    <w:rsid w:val="00505AA0"/>
    <w:rsid w:val="00511A9B"/>
    <w:rsid w:val="005220CB"/>
    <w:rsid w:val="0052715D"/>
    <w:rsid w:val="00530639"/>
    <w:rsid w:val="00535380"/>
    <w:rsid w:val="005468D6"/>
    <w:rsid w:val="00560651"/>
    <w:rsid w:val="00561DFC"/>
    <w:rsid w:val="00570D20"/>
    <w:rsid w:val="00573737"/>
    <w:rsid w:val="00590703"/>
    <w:rsid w:val="005D5CB1"/>
    <w:rsid w:val="005E2FB2"/>
    <w:rsid w:val="005E6115"/>
    <w:rsid w:val="005F4EFF"/>
    <w:rsid w:val="005F7C76"/>
    <w:rsid w:val="00600333"/>
    <w:rsid w:val="006006C6"/>
    <w:rsid w:val="006045A1"/>
    <w:rsid w:val="006076DF"/>
    <w:rsid w:val="006106EC"/>
    <w:rsid w:val="00611FA0"/>
    <w:rsid w:val="006267AA"/>
    <w:rsid w:val="00641A7F"/>
    <w:rsid w:val="00646E26"/>
    <w:rsid w:val="006548BF"/>
    <w:rsid w:val="0066050F"/>
    <w:rsid w:val="00660C2E"/>
    <w:rsid w:val="00666B1B"/>
    <w:rsid w:val="00691504"/>
    <w:rsid w:val="006929B2"/>
    <w:rsid w:val="00696363"/>
    <w:rsid w:val="006B137D"/>
    <w:rsid w:val="006B7854"/>
    <w:rsid w:val="006B7B8A"/>
    <w:rsid w:val="006C40F7"/>
    <w:rsid w:val="006D3B46"/>
    <w:rsid w:val="006D5F87"/>
    <w:rsid w:val="006E027D"/>
    <w:rsid w:val="006E076B"/>
    <w:rsid w:val="006E2F99"/>
    <w:rsid w:val="006E471B"/>
    <w:rsid w:val="006E4C40"/>
    <w:rsid w:val="006E523F"/>
    <w:rsid w:val="006E69C6"/>
    <w:rsid w:val="007030F2"/>
    <w:rsid w:val="00703AF2"/>
    <w:rsid w:val="0070665A"/>
    <w:rsid w:val="00713EA9"/>
    <w:rsid w:val="0071771E"/>
    <w:rsid w:val="00717890"/>
    <w:rsid w:val="0072290B"/>
    <w:rsid w:val="00732281"/>
    <w:rsid w:val="0075095D"/>
    <w:rsid w:val="0075447D"/>
    <w:rsid w:val="00770BB2"/>
    <w:rsid w:val="007741DF"/>
    <w:rsid w:val="007753AB"/>
    <w:rsid w:val="00776AE6"/>
    <w:rsid w:val="00780B0D"/>
    <w:rsid w:val="00781A55"/>
    <w:rsid w:val="00797C76"/>
    <w:rsid w:val="007A2441"/>
    <w:rsid w:val="007A4128"/>
    <w:rsid w:val="007A46EA"/>
    <w:rsid w:val="007A493B"/>
    <w:rsid w:val="007B314D"/>
    <w:rsid w:val="007C63C0"/>
    <w:rsid w:val="007D5DE9"/>
    <w:rsid w:val="007E1691"/>
    <w:rsid w:val="007E4806"/>
    <w:rsid w:val="007E71B0"/>
    <w:rsid w:val="00801BB2"/>
    <w:rsid w:val="00802C9F"/>
    <w:rsid w:val="00811FB1"/>
    <w:rsid w:val="00813D78"/>
    <w:rsid w:val="008249FF"/>
    <w:rsid w:val="008275AD"/>
    <w:rsid w:val="008348A0"/>
    <w:rsid w:val="00835775"/>
    <w:rsid w:val="008546B2"/>
    <w:rsid w:val="008547B1"/>
    <w:rsid w:val="00855772"/>
    <w:rsid w:val="008566C2"/>
    <w:rsid w:val="008614D1"/>
    <w:rsid w:val="008775E0"/>
    <w:rsid w:val="00892599"/>
    <w:rsid w:val="008952D9"/>
    <w:rsid w:val="008B7C95"/>
    <w:rsid w:val="008C1852"/>
    <w:rsid w:val="008C65A1"/>
    <w:rsid w:val="008D11B3"/>
    <w:rsid w:val="008D727D"/>
    <w:rsid w:val="008E2223"/>
    <w:rsid w:val="008E54C6"/>
    <w:rsid w:val="008F2046"/>
    <w:rsid w:val="00912184"/>
    <w:rsid w:val="009210C4"/>
    <w:rsid w:val="009326EF"/>
    <w:rsid w:val="00937647"/>
    <w:rsid w:val="009466E1"/>
    <w:rsid w:val="00951F9A"/>
    <w:rsid w:val="00956BF8"/>
    <w:rsid w:val="009670AF"/>
    <w:rsid w:val="00976E2B"/>
    <w:rsid w:val="00981545"/>
    <w:rsid w:val="00994DA7"/>
    <w:rsid w:val="009A2D5F"/>
    <w:rsid w:val="009A366E"/>
    <w:rsid w:val="009B56BC"/>
    <w:rsid w:val="009B789D"/>
    <w:rsid w:val="009C130A"/>
    <w:rsid w:val="009D0CEE"/>
    <w:rsid w:val="009D3B70"/>
    <w:rsid w:val="009D6448"/>
    <w:rsid w:val="009D756E"/>
    <w:rsid w:val="009E05EA"/>
    <w:rsid w:val="009E4534"/>
    <w:rsid w:val="009E784E"/>
    <w:rsid w:val="009F611D"/>
    <w:rsid w:val="009F67F4"/>
    <w:rsid w:val="00A034F6"/>
    <w:rsid w:val="00A13344"/>
    <w:rsid w:val="00A13599"/>
    <w:rsid w:val="00A20DE2"/>
    <w:rsid w:val="00A327D2"/>
    <w:rsid w:val="00A33277"/>
    <w:rsid w:val="00A457A9"/>
    <w:rsid w:val="00A50435"/>
    <w:rsid w:val="00A5056C"/>
    <w:rsid w:val="00A51F43"/>
    <w:rsid w:val="00A57282"/>
    <w:rsid w:val="00A81B0F"/>
    <w:rsid w:val="00A8441B"/>
    <w:rsid w:val="00A862ED"/>
    <w:rsid w:val="00A86A99"/>
    <w:rsid w:val="00AA1169"/>
    <w:rsid w:val="00AA6BB8"/>
    <w:rsid w:val="00AB39E2"/>
    <w:rsid w:val="00AC555C"/>
    <w:rsid w:val="00AC7614"/>
    <w:rsid w:val="00AD07D3"/>
    <w:rsid w:val="00AE0DE4"/>
    <w:rsid w:val="00B00287"/>
    <w:rsid w:val="00B00B1B"/>
    <w:rsid w:val="00B13E6B"/>
    <w:rsid w:val="00B17F24"/>
    <w:rsid w:val="00B2257C"/>
    <w:rsid w:val="00B259FB"/>
    <w:rsid w:val="00B30A63"/>
    <w:rsid w:val="00B31C0E"/>
    <w:rsid w:val="00B33D48"/>
    <w:rsid w:val="00B407AE"/>
    <w:rsid w:val="00B424C0"/>
    <w:rsid w:val="00B4347A"/>
    <w:rsid w:val="00B44816"/>
    <w:rsid w:val="00B46815"/>
    <w:rsid w:val="00B47529"/>
    <w:rsid w:val="00B527BB"/>
    <w:rsid w:val="00B55F64"/>
    <w:rsid w:val="00B57E7C"/>
    <w:rsid w:val="00B6043A"/>
    <w:rsid w:val="00B608FA"/>
    <w:rsid w:val="00B62042"/>
    <w:rsid w:val="00B648B9"/>
    <w:rsid w:val="00B64A8B"/>
    <w:rsid w:val="00B70CBB"/>
    <w:rsid w:val="00B763F3"/>
    <w:rsid w:val="00B82FBD"/>
    <w:rsid w:val="00B85DA3"/>
    <w:rsid w:val="00B8775C"/>
    <w:rsid w:val="00B91087"/>
    <w:rsid w:val="00B94B8C"/>
    <w:rsid w:val="00B95414"/>
    <w:rsid w:val="00BA6097"/>
    <w:rsid w:val="00BB4575"/>
    <w:rsid w:val="00BB7C0D"/>
    <w:rsid w:val="00BC2094"/>
    <w:rsid w:val="00BC298E"/>
    <w:rsid w:val="00BC770E"/>
    <w:rsid w:val="00BD175B"/>
    <w:rsid w:val="00BD489C"/>
    <w:rsid w:val="00BE5208"/>
    <w:rsid w:val="00BF3FEF"/>
    <w:rsid w:val="00C00332"/>
    <w:rsid w:val="00C12BF3"/>
    <w:rsid w:val="00C20C14"/>
    <w:rsid w:val="00C27AE8"/>
    <w:rsid w:val="00C337F5"/>
    <w:rsid w:val="00C37F37"/>
    <w:rsid w:val="00C4318A"/>
    <w:rsid w:val="00C43CC3"/>
    <w:rsid w:val="00C45165"/>
    <w:rsid w:val="00C50C25"/>
    <w:rsid w:val="00C51D51"/>
    <w:rsid w:val="00C526BB"/>
    <w:rsid w:val="00C5792A"/>
    <w:rsid w:val="00C63078"/>
    <w:rsid w:val="00C663F4"/>
    <w:rsid w:val="00C672B5"/>
    <w:rsid w:val="00C86D53"/>
    <w:rsid w:val="00C9720A"/>
    <w:rsid w:val="00CA1FBA"/>
    <w:rsid w:val="00CB124F"/>
    <w:rsid w:val="00CB4E19"/>
    <w:rsid w:val="00CE746E"/>
    <w:rsid w:val="00CF082C"/>
    <w:rsid w:val="00CF5D12"/>
    <w:rsid w:val="00CF742F"/>
    <w:rsid w:val="00D25DAF"/>
    <w:rsid w:val="00D3093C"/>
    <w:rsid w:val="00D3243F"/>
    <w:rsid w:val="00D34B20"/>
    <w:rsid w:val="00D357DA"/>
    <w:rsid w:val="00D44D88"/>
    <w:rsid w:val="00D46580"/>
    <w:rsid w:val="00D519ED"/>
    <w:rsid w:val="00D557FB"/>
    <w:rsid w:val="00D56E80"/>
    <w:rsid w:val="00D80ABC"/>
    <w:rsid w:val="00D81B6E"/>
    <w:rsid w:val="00D82783"/>
    <w:rsid w:val="00D96AD9"/>
    <w:rsid w:val="00D97955"/>
    <w:rsid w:val="00DA3FF3"/>
    <w:rsid w:val="00DA58C0"/>
    <w:rsid w:val="00DB2C5E"/>
    <w:rsid w:val="00DB59D4"/>
    <w:rsid w:val="00DD4AB8"/>
    <w:rsid w:val="00DF67A0"/>
    <w:rsid w:val="00E002E3"/>
    <w:rsid w:val="00E03B58"/>
    <w:rsid w:val="00E117D0"/>
    <w:rsid w:val="00E13274"/>
    <w:rsid w:val="00E13549"/>
    <w:rsid w:val="00E266F2"/>
    <w:rsid w:val="00E45289"/>
    <w:rsid w:val="00E452C5"/>
    <w:rsid w:val="00E52336"/>
    <w:rsid w:val="00E56894"/>
    <w:rsid w:val="00E61392"/>
    <w:rsid w:val="00E63260"/>
    <w:rsid w:val="00E73C95"/>
    <w:rsid w:val="00E76C0C"/>
    <w:rsid w:val="00E80F11"/>
    <w:rsid w:val="00E832EE"/>
    <w:rsid w:val="00E9666E"/>
    <w:rsid w:val="00E972F9"/>
    <w:rsid w:val="00EA2323"/>
    <w:rsid w:val="00EB07D7"/>
    <w:rsid w:val="00EB1A26"/>
    <w:rsid w:val="00EB4075"/>
    <w:rsid w:val="00EE1D17"/>
    <w:rsid w:val="00EF45AF"/>
    <w:rsid w:val="00F1534D"/>
    <w:rsid w:val="00F16172"/>
    <w:rsid w:val="00F269A4"/>
    <w:rsid w:val="00F3289C"/>
    <w:rsid w:val="00F440A4"/>
    <w:rsid w:val="00F4643F"/>
    <w:rsid w:val="00F54939"/>
    <w:rsid w:val="00F63EC0"/>
    <w:rsid w:val="00F8065F"/>
    <w:rsid w:val="00F86F22"/>
    <w:rsid w:val="00F87128"/>
    <w:rsid w:val="00FA2137"/>
    <w:rsid w:val="00FA2309"/>
    <w:rsid w:val="00FA4FAE"/>
    <w:rsid w:val="00FB387D"/>
    <w:rsid w:val="00FB4708"/>
    <w:rsid w:val="00FB6974"/>
    <w:rsid w:val="00FB6C61"/>
    <w:rsid w:val="00FC4D40"/>
    <w:rsid w:val="00FD1EF1"/>
    <w:rsid w:val="00FD5F28"/>
    <w:rsid w:val="00FE0EF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3C898"/>
  <w15:chartTrackingRefBased/>
  <w15:docId w15:val="{59D985DD-3341-244A-9D5C-BF8DDE582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466E1"/>
  </w:style>
  <w:style w:type="character" w:styleId="Hyperlink">
    <w:name w:val="Hyperlink"/>
    <w:basedOn w:val="DefaultParagraphFont"/>
    <w:uiPriority w:val="99"/>
    <w:unhideWhenUsed/>
    <w:rsid w:val="004E2AE7"/>
    <w:rPr>
      <w:color w:val="0563C1" w:themeColor="hyperlink"/>
      <w:u w:val="single"/>
    </w:rPr>
  </w:style>
  <w:style w:type="character" w:styleId="FollowedHyperlink">
    <w:name w:val="FollowedHyperlink"/>
    <w:basedOn w:val="DefaultParagraphFont"/>
    <w:uiPriority w:val="99"/>
    <w:semiHidden/>
    <w:unhideWhenUsed/>
    <w:rsid w:val="0047588C"/>
    <w:rPr>
      <w:color w:val="954F72" w:themeColor="followedHyperlink"/>
      <w:u w:val="single"/>
    </w:rPr>
  </w:style>
  <w:style w:type="character" w:styleId="UnresolvedMention">
    <w:name w:val="Unresolved Mention"/>
    <w:basedOn w:val="DefaultParagraphFont"/>
    <w:uiPriority w:val="99"/>
    <w:semiHidden/>
    <w:unhideWhenUsed/>
    <w:rsid w:val="002666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0281785">
      <w:bodyDiv w:val="1"/>
      <w:marLeft w:val="0"/>
      <w:marRight w:val="0"/>
      <w:marTop w:val="0"/>
      <w:marBottom w:val="0"/>
      <w:divBdr>
        <w:top w:val="none" w:sz="0" w:space="0" w:color="auto"/>
        <w:left w:val="none" w:sz="0" w:space="0" w:color="auto"/>
        <w:bottom w:val="none" w:sz="0" w:space="0" w:color="auto"/>
        <w:right w:val="none" w:sz="0" w:space="0" w:color="auto"/>
      </w:divBdr>
    </w:div>
    <w:div w:id="866405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t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Relationship Id="rId5" Type="http://schemas.openxmlformats.org/officeDocument/2006/relationships/image" Target="media/image2.tif"/><Relationship Id="rId4" Type="http://schemas.openxmlformats.org/officeDocument/2006/relationships/image" Target="media/image1.tif"/><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345</Words>
  <Characters>1968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Costantino Iadecola</dc:creator>
  <cp:keywords/>
  <dc:description/>
  <cp:lastModifiedBy>Aiyaz Ibrahim Shaikh</cp:lastModifiedBy>
  <cp:revision>18</cp:revision>
  <cp:lastPrinted>2022-09-02T14:55:00Z</cp:lastPrinted>
  <dcterms:created xsi:type="dcterms:W3CDTF">2023-09-08T18:06:00Z</dcterms:created>
  <dcterms:modified xsi:type="dcterms:W3CDTF">2023-09-25T12:06:00Z</dcterms:modified>
</cp:coreProperties>
</file>