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12" w:rsidRPr="00955FE4" w:rsidRDefault="009E2312" w:rsidP="009E2312">
      <w:pPr>
        <w:pStyle w:val="ListParagraph"/>
        <w:ind w:left="0"/>
        <w:rPr>
          <w:rFonts w:cstheme="minorHAnsi"/>
          <w:b/>
          <w:bCs/>
        </w:rPr>
      </w:pPr>
      <w:bookmarkStart w:id="0" w:name="_GoBack"/>
      <w:r w:rsidRPr="00955FE4">
        <w:rPr>
          <w:rFonts w:cstheme="minorHAnsi"/>
          <w:b/>
          <w:bCs/>
          <w:noProof/>
        </w:rPr>
        <w:drawing>
          <wp:inline distT="0" distB="0" distL="0" distR="0" wp14:anchorId="3C22B081" wp14:editId="19DA168A">
            <wp:extent cx="8806070" cy="6096000"/>
            <wp:effectExtent l="0" t="0" r="0" b="0"/>
            <wp:docPr id="56" name="Picture 5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078" cy="609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2312" w:rsidRPr="00955FE4" w:rsidRDefault="009E2312" w:rsidP="009E2312">
      <w:pPr>
        <w:pStyle w:val="ListParagraph"/>
        <w:ind w:left="0"/>
        <w:jc w:val="both"/>
        <w:rPr>
          <w:rFonts w:cstheme="minorHAnsi"/>
          <w:b/>
          <w:bCs/>
        </w:rPr>
      </w:pPr>
    </w:p>
    <w:p w:rsidR="009E2312" w:rsidRDefault="009E2312" w:rsidP="009E2312">
      <w:pPr>
        <w:pStyle w:val="ListParagraph"/>
        <w:ind w:left="0"/>
        <w:jc w:val="both"/>
        <w:rPr>
          <w:rFonts w:cstheme="minorHAnsi"/>
        </w:rPr>
      </w:pPr>
      <w:r w:rsidRPr="00955FE4">
        <w:rPr>
          <w:rFonts w:cstheme="minorHAnsi"/>
          <w:b/>
          <w:bCs/>
        </w:rPr>
        <w:t>Supplemental Figure 6. HILIC positive PCA of processed data, colored by different covariates.</w:t>
      </w:r>
      <w:r w:rsidRPr="00955FE4">
        <w:rPr>
          <w:rFonts w:cstheme="minorHAnsi"/>
        </w:rPr>
        <w:t xml:space="preserve"> No distinguishing variables to describe the different clusters of study samples</w:t>
      </w:r>
      <w:r>
        <w:rPr>
          <w:rFonts w:cstheme="minorHAnsi"/>
        </w:rPr>
        <w:t>, though there is some separation by year of sample</w:t>
      </w:r>
      <w:r w:rsidRPr="00955FE4">
        <w:rPr>
          <w:rFonts w:cstheme="minorHAnsi"/>
        </w:rPr>
        <w:t>. Note gray indicates the QC samples.</w:t>
      </w:r>
      <w:r>
        <w:rPr>
          <w:rFonts w:cstheme="minorHAnsi"/>
        </w:rPr>
        <w:t xml:space="preserve"> Therefore, we additionally corrected for inclusion in this cluster, as variation appears technical and is very influential in MWAS (Supplemental Figure 7).</w:t>
      </w:r>
    </w:p>
    <w:p w:rsidR="00D755A4" w:rsidRDefault="00D755A4"/>
    <w:sectPr w:rsidR="00D755A4" w:rsidSect="009E23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12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312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4F04"/>
  <w15:chartTrackingRefBased/>
  <w15:docId w15:val="{40287658-1E55-44B7-A807-4CB20FCD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312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359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2023-12-14T02:41:00Z</dcterms:created>
  <dcterms:modified xsi:type="dcterms:W3CDTF">2023-12-14T02:41:00Z</dcterms:modified>
</cp:coreProperties>
</file>