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CF13B" w14:textId="58B5E270" w:rsidR="000134AC" w:rsidRPr="000134AC" w:rsidRDefault="00926667" w:rsidP="005366E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file </w:t>
      </w:r>
      <w:r w:rsidR="00FB5632">
        <w:rPr>
          <w:rFonts w:ascii="Arial" w:hAnsi="Arial" w:cs="Arial"/>
          <w:b/>
          <w:bCs/>
        </w:rPr>
        <w:t>2</w:t>
      </w:r>
    </w:p>
    <w:p w14:paraId="3942C9AE" w14:textId="79E48762" w:rsidR="00240523" w:rsidRDefault="000134AC" w:rsidP="005366E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F41587">
        <w:rPr>
          <w:rFonts w:ascii="Arial" w:hAnsi="Arial" w:cs="Arial"/>
          <w:b/>
          <w:bCs/>
        </w:rPr>
        <w:t>Fig</w:t>
      </w:r>
      <w:r w:rsidR="00926667">
        <w:rPr>
          <w:rFonts w:ascii="Arial" w:hAnsi="Arial" w:cs="Arial"/>
          <w:b/>
          <w:bCs/>
        </w:rPr>
        <w:t>ure</w:t>
      </w:r>
      <w:r w:rsidRPr="00F41587">
        <w:rPr>
          <w:rFonts w:ascii="Arial" w:hAnsi="Arial" w:cs="Arial"/>
          <w:b/>
          <w:bCs/>
        </w:rPr>
        <w:t xml:space="preserve"> </w:t>
      </w:r>
      <w:r w:rsidR="0008761B" w:rsidRPr="00F41587">
        <w:rPr>
          <w:rFonts w:ascii="Arial" w:hAnsi="Arial" w:cs="Arial"/>
          <w:b/>
          <w:bCs/>
        </w:rPr>
        <w:t>S</w:t>
      </w:r>
      <w:r w:rsidRPr="00F41587">
        <w:rPr>
          <w:rFonts w:ascii="Arial" w:hAnsi="Arial" w:cs="Arial"/>
          <w:b/>
          <w:bCs/>
        </w:rPr>
        <w:t>1</w:t>
      </w:r>
      <w:r w:rsidRPr="000134AC">
        <w:rPr>
          <w:rFonts w:ascii="Arial" w:hAnsi="Arial" w:cs="Arial"/>
        </w:rPr>
        <w:t xml:space="preserve"> </w:t>
      </w:r>
      <w:r w:rsidR="005517B0">
        <w:rPr>
          <w:rFonts w:ascii="Arial" w:hAnsi="Arial" w:cs="Arial"/>
        </w:rPr>
        <w:t xml:space="preserve">NULISAseq targets </w:t>
      </w:r>
      <w:r w:rsidR="005C4314">
        <w:rPr>
          <w:rFonts w:ascii="Arial" w:hAnsi="Arial" w:cs="Arial"/>
        </w:rPr>
        <w:t>with significant association with</w:t>
      </w:r>
      <w:r w:rsidR="005517B0">
        <w:rPr>
          <w:rFonts w:ascii="Arial" w:hAnsi="Arial" w:cs="Arial"/>
        </w:rPr>
        <w:t xml:space="preserve"> common risk factors (</w:t>
      </w:r>
      <w:r w:rsidR="00F41587" w:rsidRPr="00E3774B">
        <w:rPr>
          <w:rFonts w:ascii="Arial" w:hAnsi="Arial" w:cs="Arial"/>
          <w:color w:val="000000" w:themeColor="text1"/>
        </w:rPr>
        <w:t>age, sex</w:t>
      </w:r>
      <w:r w:rsidR="00974A6D">
        <w:rPr>
          <w:rFonts w:ascii="Arial" w:hAnsi="Arial" w:cs="Arial"/>
          <w:color w:val="000000" w:themeColor="text1"/>
        </w:rPr>
        <w:t>,</w:t>
      </w:r>
      <w:r w:rsidR="00F41587" w:rsidRPr="00E3774B">
        <w:rPr>
          <w:rFonts w:ascii="Arial" w:hAnsi="Arial" w:cs="Arial"/>
          <w:color w:val="000000" w:themeColor="text1"/>
        </w:rPr>
        <w:t xml:space="preserve"> and </w:t>
      </w:r>
      <w:r w:rsidR="00F41587" w:rsidRPr="006B3D4F">
        <w:rPr>
          <w:rFonts w:ascii="Arial" w:hAnsi="Arial" w:cs="Arial"/>
          <w:i/>
          <w:iCs/>
          <w:color w:val="000000" w:themeColor="text1"/>
        </w:rPr>
        <w:t>APOE</w:t>
      </w:r>
      <w:r w:rsidR="00F41587" w:rsidRPr="00E3774B">
        <w:rPr>
          <w:rFonts w:ascii="Arial" w:hAnsi="Arial" w:cs="Arial"/>
          <w:color w:val="000000" w:themeColor="text1"/>
        </w:rPr>
        <w:t xml:space="preserve"> ε4 carrier status</w:t>
      </w:r>
      <w:r w:rsidR="00F41587">
        <w:rPr>
          <w:rFonts w:ascii="Arial" w:hAnsi="Arial" w:cs="Arial"/>
          <w:color w:val="000000" w:themeColor="text1"/>
        </w:rPr>
        <w:t>).</w:t>
      </w:r>
    </w:p>
    <w:p w14:paraId="09C3B531" w14:textId="5B8540E5" w:rsidR="00F41587" w:rsidRDefault="00926667" w:rsidP="005366E0">
      <w:pPr>
        <w:spacing w:line="360" w:lineRule="auto"/>
        <w:jc w:val="both"/>
        <w:rPr>
          <w:rFonts w:ascii="Arial" w:hAnsi="Arial" w:cs="Arial"/>
        </w:rPr>
      </w:pPr>
      <w:r w:rsidRPr="00F41587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ure</w:t>
      </w:r>
      <w:r w:rsidR="00F41587" w:rsidRPr="00F41587">
        <w:rPr>
          <w:rFonts w:ascii="Arial" w:hAnsi="Arial" w:cs="Arial"/>
          <w:b/>
          <w:bCs/>
        </w:rPr>
        <w:t xml:space="preserve"> S</w:t>
      </w:r>
      <w:r w:rsidR="00F41587">
        <w:rPr>
          <w:rFonts w:ascii="Arial" w:hAnsi="Arial" w:cs="Arial"/>
          <w:b/>
          <w:bCs/>
        </w:rPr>
        <w:t>2</w:t>
      </w:r>
      <w:r w:rsidR="00F41587" w:rsidRPr="000134AC">
        <w:rPr>
          <w:rFonts w:ascii="Arial" w:hAnsi="Arial" w:cs="Arial"/>
        </w:rPr>
        <w:t xml:space="preserve"> </w:t>
      </w:r>
      <w:r w:rsidR="00187D74" w:rsidRPr="00187D74">
        <w:rPr>
          <w:rFonts w:ascii="Arial" w:hAnsi="Arial" w:cs="Arial"/>
        </w:rPr>
        <w:t xml:space="preserve">Association between </w:t>
      </w:r>
      <w:r w:rsidR="002529FC">
        <w:rPr>
          <w:rFonts w:ascii="Arial" w:hAnsi="Arial" w:cs="Arial"/>
        </w:rPr>
        <w:t>longitudinal</w:t>
      </w:r>
      <w:r w:rsidR="00220307">
        <w:rPr>
          <w:rFonts w:ascii="Arial" w:hAnsi="Arial" w:cs="Arial"/>
        </w:rPr>
        <w:t xml:space="preserve"> changes in</w:t>
      </w:r>
      <w:r w:rsidR="002529FC">
        <w:rPr>
          <w:rFonts w:ascii="Arial" w:hAnsi="Arial" w:cs="Arial"/>
        </w:rPr>
        <w:t xml:space="preserve"> Aβ PET</w:t>
      </w:r>
      <w:r w:rsidR="00187D74" w:rsidRPr="00187D74">
        <w:rPr>
          <w:rFonts w:ascii="Arial" w:hAnsi="Arial" w:cs="Arial"/>
        </w:rPr>
        <w:t xml:space="preserve"> SUVR</w:t>
      </w:r>
      <w:r w:rsidR="002529FC">
        <w:rPr>
          <w:rFonts w:ascii="Arial" w:hAnsi="Arial" w:cs="Arial"/>
        </w:rPr>
        <w:t xml:space="preserve"> </w:t>
      </w:r>
      <w:r w:rsidR="00187D74" w:rsidRPr="00187D74">
        <w:rPr>
          <w:rFonts w:ascii="Arial" w:hAnsi="Arial" w:cs="Arial"/>
        </w:rPr>
        <w:t>and NULISAseq target</w:t>
      </w:r>
      <w:r w:rsidR="00220307">
        <w:rPr>
          <w:rFonts w:ascii="Arial" w:hAnsi="Arial" w:cs="Arial"/>
        </w:rPr>
        <w:t>s</w:t>
      </w:r>
      <w:r w:rsidR="002529FC">
        <w:rPr>
          <w:rFonts w:ascii="Arial" w:hAnsi="Arial" w:cs="Arial"/>
        </w:rPr>
        <w:t>.</w:t>
      </w:r>
    </w:p>
    <w:p w14:paraId="1CB9953B" w14:textId="2C1277A8" w:rsidR="001B5246" w:rsidRDefault="00926667" w:rsidP="005366E0">
      <w:pPr>
        <w:spacing w:line="360" w:lineRule="auto"/>
        <w:jc w:val="both"/>
        <w:rPr>
          <w:rFonts w:ascii="Arial" w:hAnsi="Arial" w:cs="Arial"/>
        </w:rPr>
      </w:pPr>
      <w:r w:rsidRPr="00F41587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ure</w:t>
      </w:r>
      <w:r w:rsidR="001B5246" w:rsidRPr="00F41587">
        <w:rPr>
          <w:rFonts w:ascii="Arial" w:hAnsi="Arial" w:cs="Arial"/>
          <w:b/>
          <w:bCs/>
        </w:rPr>
        <w:t xml:space="preserve"> S</w:t>
      </w:r>
      <w:r w:rsidR="001B5246">
        <w:rPr>
          <w:rFonts w:ascii="Arial" w:hAnsi="Arial" w:cs="Arial"/>
          <w:b/>
          <w:bCs/>
        </w:rPr>
        <w:t>3</w:t>
      </w:r>
      <w:r w:rsidR="00974A6D">
        <w:rPr>
          <w:rFonts w:ascii="Arial" w:hAnsi="Arial" w:cs="Arial"/>
          <w:b/>
          <w:bCs/>
        </w:rPr>
        <w:t xml:space="preserve"> </w:t>
      </w:r>
      <w:r w:rsidR="001B5246" w:rsidRPr="000C37AC">
        <w:rPr>
          <w:rFonts w:ascii="Arial" w:hAnsi="Arial" w:cs="Arial"/>
          <w:color w:val="000000" w:themeColor="text1"/>
        </w:rPr>
        <w:t xml:space="preserve">Receiver operating characteristics (ROC) curves for p-tau217 </w:t>
      </w:r>
      <w:r w:rsidR="001B5246">
        <w:rPr>
          <w:rFonts w:ascii="Arial" w:hAnsi="Arial" w:cs="Arial"/>
          <w:color w:val="000000" w:themeColor="text1"/>
        </w:rPr>
        <w:t xml:space="preserve">and p-tau231 </w:t>
      </w:r>
      <w:r w:rsidR="001B5246" w:rsidRPr="000C37AC">
        <w:rPr>
          <w:rFonts w:ascii="Arial" w:hAnsi="Arial" w:cs="Arial"/>
          <w:color w:val="000000" w:themeColor="text1"/>
        </w:rPr>
        <w:t xml:space="preserve">in detecting </w:t>
      </w:r>
      <w:r w:rsidR="001B5246">
        <w:rPr>
          <w:rFonts w:ascii="Arial" w:hAnsi="Arial" w:cs="Arial"/>
          <w:color w:val="000000" w:themeColor="text1"/>
        </w:rPr>
        <w:t>tau PET</w:t>
      </w:r>
      <w:r w:rsidR="001B5246" w:rsidRPr="000C37AC">
        <w:rPr>
          <w:rFonts w:ascii="Arial" w:hAnsi="Arial" w:cs="Arial"/>
          <w:color w:val="000000" w:themeColor="text1"/>
        </w:rPr>
        <w:t xml:space="preserve"> positivity</w:t>
      </w:r>
      <w:r w:rsidR="001B5246">
        <w:rPr>
          <w:rFonts w:ascii="Arial" w:hAnsi="Arial" w:cs="Arial"/>
        </w:rPr>
        <w:t>.</w:t>
      </w:r>
    </w:p>
    <w:p w14:paraId="510E6B2C" w14:textId="04170063" w:rsidR="002860B1" w:rsidRDefault="00926667" w:rsidP="005366E0">
      <w:pPr>
        <w:spacing w:line="360" w:lineRule="auto"/>
        <w:jc w:val="both"/>
        <w:rPr>
          <w:rFonts w:ascii="Arial" w:hAnsi="Arial" w:cs="Arial"/>
        </w:rPr>
      </w:pPr>
      <w:r w:rsidRPr="00974A6D">
        <w:rPr>
          <w:rFonts w:ascii="Arial" w:hAnsi="Arial" w:cs="Arial"/>
          <w:b/>
          <w:bCs/>
        </w:rPr>
        <w:t>Figure</w:t>
      </w:r>
      <w:r w:rsidR="002860B1" w:rsidRPr="00974A6D">
        <w:rPr>
          <w:rFonts w:ascii="Arial" w:hAnsi="Arial" w:cs="Arial"/>
          <w:b/>
          <w:bCs/>
        </w:rPr>
        <w:t xml:space="preserve"> </w:t>
      </w:r>
      <w:r w:rsidRPr="00974A6D">
        <w:rPr>
          <w:rFonts w:ascii="Arial" w:hAnsi="Arial" w:cs="Arial"/>
          <w:b/>
          <w:bCs/>
        </w:rPr>
        <w:t>S4</w:t>
      </w:r>
      <w:r w:rsidR="00974A6D">
        <w:rPr>
          <w:rFonts w:ascii="Arial" w:hAnsi="Arial" w:cs="Arial"/>
        </w:rPr>
        <w:t xml:space="preserve"> </w:t>
      </w:r>
      <w:r w:rsidR="002860B1">
        <w:rPr>
          <w:rFonts w:ascii="Arial" w:hAnsi="Arial" w:cs="Arial"/>
        </w:rPr>
        <w:t>Longitudinal association between NULISAseq targets and tau pathology (T).</w:t>
      </w:r>
    </w:p>
    <w:p w14:paraId="1AFB1479" w14:textId="27E249FA" w:rsidR="00B75471" w:rsidRDefault="00926667" w:rsidP="005366E0">
      <w:pPr>
        <w:spacing w:line="360" w:lineRule="auto"/>
        <w:jc w:val="both"/>
        <w:rPr>
          <w:rFonts w:ascii="Arial" w:hAnsi="Arial" w:cs="Arial"/>
        </w:rPr>
      </w:pPr>
      <w:r w:rsidRPr="00974A6D">
        <w:rPr>
          <w:rFonts w:ascii="Arial" w:hAnsi="Arial" w:cs="Arial"/>
          <w:b/>
          <w:bCs/>
        </w:rPr>
        <w:t>Figure</w:t>
      </w:r>
      <w:r w:rsidR="00B75471" w:rsidRPr="00974A6D">
        <w:rPr>
          <w:rFonts w:ascii="Arial" w:hAnsi="Arial" w:cs="Arial"/>
          <w:b/>
          <w:bCs/>
        </w:rPr>
        <w:t xml:space="preserve"> </w:t>
      </w:r>
      <w:r w:rsidR="00974A6D" w:rsidRPr="00974A6D">
        <w:rPr>
          <w:rFonts w:ascii="Arial" w:hAnsi="Arial" w:cs="Arial"/>
          <w:b/>
          <w:bCs/>
        </w:rPr>
        <w:t>S5</w:t>
      </w:r>
      <w:r w:rsidR="00974A6D">
        <w:rPr>
          <w:rFonts w:ascii="Arial" w:hAnsi="Arial" w:cs="Arial"/>
        </w:rPr>
        <w:t xml:space="preserve"> </w:t>
      </w:r>
      <w:r w:rsidR="00B75471">
        <w:rPr>
          <w:rFonts w:ascii="Arial" w:hAnsi="Arial" w:cs="Arial"/>
        </w:rPr>
        <w:t>Longitudinal association between NULISAseq targets and neurodegeneration (N).</w:t>
      </w:r>
    </w:p>
    <w:p w14:paraId="76981809" w14:textId="43DF014A" w:rsidR="00240523" w:rsidRDefault="00240523" w:rsidP="005366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6207DD" w14:textId="0108A64E" w:rsidR="00FD1CCD" w:rsidRDefault="005707C8" w:rsidP="005366E0">
      <w:pPr>
        <w:spacing w:line="360" w:lineRule="auto"/>
        <w:jc w:val="both"/>
        <w:rPr>
          <w:rFonts w:ascii="Arial" w:hAnsi="Arial" w:cs="Arial"/>
          <w:b/>
          <w:bCs/>
        </w:rPr>
      </w:pPr>
      <w:r w:rsidRPr="005707C8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3E0AFDD" wp14:editId="15695F73">
            <wp:extent cx="5943600" cy="6926580"/>
            <wp:effectExtent l="0" t="0" r="0" b="7620"/>
            <wp:docPr id="1218341108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41108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7148B" w14:textId="159C06F1" w:rsidR="00251340" w:rsidRDefault="004934C2" w:rsidP="005366E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04EBD">
        <w:rPr>
          <w:rFonts w:ascii="Arial" w:hAnsi="Arial" w:cs="Arial"/>
          <w:b/>
          <w:bCs/>
        </w:rPr>
        <w:t>Fig</w:t>
      </w:r>
      <w:r w:rsidR="00974A6D" w:rsidRPr="00C04EBD">
        <w:rPr>
          <w:rFonts w:ascii="Arial" w:hAnsi="Arial" w:cs="Arial"/>
          <w:b/>
          <w:bCs/>
        </w:rPr>
        <w:t>ure</w:t>
      </w:r>
      <w:r w:rsidRPr="00C04EBD">
        <w:rPr>
          <w:rFonts w:ascii="Arial" w:hAnsi="Arial" w:cs="Arial"/>
          <w:b/>
          <w:bCs/>
        </w:rPr>
        <w:t xml:space="preserve"> S1</w:t>
      </w:r>
      <w:r w:rsidR="00C04EBD" w:rsidRPr="00C04EBD">
        <w:rPr>
          <w:rFonts w:ascii="Arial" w:hAnsi="Arial" w:cs="Arial"/>
          <w:b/>
          <w:bCs/>
        </w:rPr>
        <w:t>.</w:t>
      </w:r>
      <w:r w:rsidRPr="00C04EBD">
        <w:rPr>
          <w:rFonts w:ascii="Arial" w:hAnsi="Arial" w:cs="Arial"/>
          <w:b/>
          <w:bCs/>
        </w:rPr>
        <w:t xml:space="preserve"> </w:t>
      </w:r>
      <w:r w:rsidR="005C4314" w:rsidRPr="00C04EBD">
        <w:rPr>
          <w:rFonts w:ascii="Arial" w:hAnsi="Arial" w:cs="Arial"/>
          <w:b/>
          <w:bCs/>
        </w:rPr>
        <w:t>NULISAseq targets with significant association with common risk factors.</w:t>
      </w:r>
      <w:r w:rsidRPr="005366E0">
        <w:rPr>
          <w:rFonts w:ascii="Arial" w:hAnsi="Arial" w:cs="Arial"/>
          <w:color w:val="000000" w:themeColor="text1"/>
        </w:rPr>
        <w:t xml:space="preserve"> </w:t>
      </w:r>
      <w:r w:rsidR="00974A6D">
        <w:rPr>
          <w:rFonts w:ascii="Arial" w:hAnsi="Arial" w:cs="Arial"/>
          <w:b/>
          <w:bCs/>
          <w:color w:val="000000" w:themeColor="text1"/>
        </w:rPr>
        <w:t>A</w:t>
      </w:r>
      <w:r w:rsidR="00E86E0F">
        <w:rPr>
          <w:rFonts w:ascii="Arial" w:hAnsi="Arial" w:cs="Arial"/>
          <w:color w:val="000000" w:themeColor="text1"/>
        </w:rPr>
        <w:t xml:space="preserve"> Boxplot</w:t>
      </w:r>
      <w:r w:rsidR="008E6101">
        <w:rPr>
          <w:rFonts w:ascii="Arial" w:hAnsi="Arial" w:cs="Arial"/>
          <w:color w:val="000000" w:themeColor="text1"/>
        </w:rPr>
        <w:t xml:space="preserve">s </w:t>
      </w:r>
      <w:r w:rsidR="005366E0" w:rsidRPr="005366E0">
        <w:rPr>
          <w:rFonts w:ascii="Arial" w:hAnsi="Arial" w:cs="Arial"/>
          <w:color w:val="000000" w:themeColor="text1"/>
        </w:rPr>
        <w:t>of NULISAseq targets</w:t>
      </w:r>
      <w:r w:rsidR="00354E7A">
        <w:rPr>
          <w:rFonts w:ascii="Arial" w:hAnsi="Arial" w:cs="Arial"/>
          <w:color w:val="000000" w:themeColor="text1"/>
        </w:rPr>
        <w:t xml:space="preserve"> with significant association with </w:t>
      </w:r>
      <w:r w:rsidR="00A35CBA">
        <w:rPr>
          <w:rFonts w:ascii="Arial" w:hAnsi="Arial" w:cs="Arial"/>
          <w:color w:val="000000" w:themeColor="text1"/>
        </w:rPr>
        <w:t xml:space="preserve">biological </w:t>
      </w:r>
      <w:r w:rsidR="00354E7A">
        <w:rPr>
          <w:rFonts w:ascii="Arial" w:hAnsi="Arial" w:cs="Arial"/>
          <w:color w:val="000000" w:themeColor="text1"/>
        </w:rPr>
        <w:t>sex</w:t>
      </w:r>
      <w:r w:rsidR="005366E0" w:rsidRPr="005366E0">
        <w:rPr>
          <w:rFonts w:ascii="Arial" w:hAnsi="Arial" w:cs="Arial"/>
          <w:color w:val="000000" w:themeColor="text1"/>
        </w:rPr>
        <w:t xml:space="preserve">, separated by </w:t>
      </w:r>
      <w:r w:rsidR="008E6101">
        <w:rPr>
          <w:rFonts w:ascii="Arial" w:hAnsi="Arial" w:cs="Arial"/>
          <w:color w:val="000000" w:themeColor="text1"/>
        </w:rPr>
        <w:t>sex</w:t>
      </w:r>
      <w:r w:rsidR="005366E0" w:rsidRPr="005366E0">
        <w:rPr>
          <w:rFonts w:ascii="Arial" w:hAnsi="Arial" w:cs="Arial"/>
          <w:color w:val="000000" w:themeColor="text1"/>
        </w:rPr>
        <w:t xml:space="preserve"> and </w:t>
      </w:r>
      <w:r w:rsidR="00C04EBD">
        <w:rPr>
          <w:rFonts w:ascii="Arial" w:hAnsi="Arial" w:cs="Arial"/>
          <w:color w:val="000000" w:themeColor="text1"/>
        </w:rPr>
        <w:t xml:space="preserve">study </w:t>
      </w:r>
      <w:r w:rsidR="005366E0" w:rsidRPr="005366E0">
        <w:rPr>
          <w:rFonts w:ascii="Arial" w:hAnsi="Arial" w:cs="Arial"/>
          <w:color w:val="000000" w:themeColor="text1"/>
        </w:rPr>
        <w:t>visit.</w:t>
      </w:r>
      <w:r w:rsidR="008C76B3">
        <w:rPr>
          <w:rFonts w:ascii="Arial" w:hAnsi="Arial" w:cs="Arial"/>
          <w:color w:val="000000" w:themeColor="text1"/>
        </w:rPr>
        <w:t xml:space="preserve"> M refers to males</w:t>
      </w:r>
      <w:r w:rsidR="00AD3E05">
        <w:rPr>
          <w:rFonts w:ascii="Arial" w:hAnsi="Arial" w:cs="Arial"/>
          <w:color w:val="000000" w:themeColor="text1"/>
        </w:rPr>
        <w:t xml:space="preserve">, and F refers to </w:t>
      </w:r>
      <w:r w:rsidR="008C76B3">
        <w:rPr>
          <w:rFonts w:ascii="Arial" w:hAnsi="Arial" w:cs="Arial"/>
          <w:color w:val="000000" w:themeColor="text1"/>
        </w:rPr>
        <w:t>females.</w:t>
      </w:r>
      <w:r w:rsidR="00E96371">
        <w:rPr>
          <w:rFonts w:ascii="Arial" w:hAnsi="Arial" w:cs="Arial"/>
          <w:color w:val="000000" w:themeColor="text1"/>
        </w:rPr>
        <w:t xml:space="preserve"> </w:t>
      </w:r>
      <w:r w:rsidR="00974A6D">
        <w:rPr>
          <w:rFonts w:ascii="Arial" w:hAnsi="Arial" w:cs="Arial"/>
          <w:b/>
          <w:bCs/>
          <w:color w:val="000000" w:themeColor="text1"/>
        </w:rPr>
        <w:t>B</w:t>
      </w:r>
      <w:r w:rsidR="00E96371">
        <w:rPr>
          <w:rFonts w:ascii="Arial" w:hAnsi="Arial" w:cs="Arial"/>
          <w:color w:val="000000" w:themeColor="text1"/>
        </w:rPr>
        <w:t xml:space="preserve"> Boxplots </w:t>
      </w:r>
      <w:r w:rsidR="00E96371" w:rsidRPr="005366E0">
        <w:rPr>
          <w:rFonts w:ascii="Arial" w:hAnsi="Arial" w:cs="Arial"/>
          <w:color w:val="000000" w:themeColor="text1"/>
        </w:rPr>
        <w:t>of NULISAseq targets</w:t>
      </w:r>
      <w:r w:rsidR="00E96371">
        <w:rPr>
          <w:rFonts w:ascii="Arial" w:hAnsi="Arial" w:cs="Arial"/>
          <w:color w:val="000000" w:themeColor="text1"/>
        </w:rPr>
        <w:t xml:space="preserve"> with significant association with </w:t>
      </w:r>
      <w:r w:rsidR="001537E7" w:rsidRPr="00B47FE4">
        <w:rPr>
          <w:rFonts w:ascii="Arial" w:hAnsi="Arial" w:cs="Arial"/>
          <w:i/>
          <w:iCs/>
          <w:color w:val="000000" w:themeColor="text1"/>
        </w:rPr>
        <w:t>APOE</w:t>
      </w:r>
      <w:r w:rsidR="001537E7" w:rsidRPr="00B47FE4">
        <w:rPr>
          <w:rFonts w:ascii="Arial" w:hAnsi="Arial" w:cs="Arial"/>
          <w:color w:val="000000" w:themeColor="text1"/>
        </w:rPr>
        <w:t xml:space="preserve"> ε4 carrier status</w:t>
      </w:r>
      <w:r w:rsidR="00E96371" w:rsidRPr="005366E0">
        <w:rPr>
          <w:rFonts w:ascii="Arial" w:hAnsi="Arial" w:cs="Arial"/>
          <w:color w:val="000000" w:themeColor="text1"/>
        </w:rPr>
        <w:t xml:space="preserve">, separated by </w:t>
      </w:r>
      <w:r w:rsidR="001537E7" w:rsidRPr="00B47FE4">
        <w:rPr>
          <w:rFonts w:ascii="Arial" w:hAnsi="Arial" w:cs="Arial"/>
          <w:i/>
          <w:iCs/>
          <w:color w:val="000000" w:themeColor="text1"/>
        </w:rPr>
        <w:t>APOE</w:t>
      </w:r>
      <w:r w:rsidR="001537E7" w:rsidRPr="00B47FE4">
        <w:rPr>
          <w:rFonts w:ascii="Arial" w:hAnsi="Arial" w:cs="Arial"/>
          <w:color w:val="000000" w:themeColor="text1"/>
        </w:rPr>
        <w:t xml:space="preserve"> ε4 carrier status</w:t>
      </w:r>
      <w:r w:rsidR="00E96371" w:rsidRPr="005366E0">
        <w:rPr>
          <w:rFonts w:ascii="Arial" w:hAnsi="Arial" w:cs="Arial"/>
          <w:color w:val="000000" w:themeColor="text1"/>
        </w:rPr>
        <w:t xml:space="preserve"> and visit.</w:t>
      </w:r>
      <w:r w:rsidR="008C76B3">
        <w:rPr>
          <w:rFonts w:ascii="Arial" w:hAnsi="Arial" w:cs="Arial"/>
          <w:color w:val="000000" w:themeColor="text1"/>
        </w:rPr>
        <w:t xml:space="preserve"> </w:t>
      </w:r>
      <w:r w:rsidR="008C76B3">
        <w:rPr>
          <w:rFonts w:ascii="Arial" w:hAnsi="Arial" w:cs="Arial"/>
          <w:color w:val="000000" w:themeColor="text1"/>
        </w:rPr>
        <w:lastRenderedPageBreak/>
        <w:t xml:space="preserve">The participants with at least one </w:t>
      </w:r>
      <w:r w:rsidR="008C76B3" w:rsidRPr="00B47FE4">
        <w:rPr>
          <w:rFonts w:ascii="Arial" w:hAnsi="Arial" w:cs="Arial"/>
          <w:i/>
          <w:iCs/>
          <w:color w:val="000000" w:themeColor="text1"/>
        </w:rPr>
        <w:t>APOE</w:t>
      </w:r>
      <w:r w:rsidR="008C76B3" w:rsidRPr="00B47FE4">
        <w:rPr>
          <w:rFonts w:ascii="Arial" w:hAnsi="Arial" w:cs="Arial"/>
          <w:color w:val="000000" w:themeColor="text1"/>
        </w:rPr>
        <w:t xml:space="preserve"> ε4</w:t>
      </w:r>
      <w:r w:rsidR="008C76B3">
        <w:rPr>
          <w:rFonts w:ascii="Arial" w:hAnsi="Arial" w:cs="Arial"/>
          <w:color w:val="000000" w:themeColor="text1"/>
        </w:rPr>
        <w:t xml:space="preserve"> allele were grouped as “Yes” and those with no </w:t>
      </w:r>
      <w:r w:rsidR="008C76B3" w:rsidRPr="00B47FE4">
        <w:rPr>
          <w:rFonts w:ascii="Arial" w:hAnsi="Arial" w:cs="Arial"/>
          <w:i/>
          <w:iCs/>
          <w:color w:val="000000" w:themeColor="text1"/>
        </w:rPr>
        <w:t>APOE</w:t>
      </w:r>
      <w:r w:rsidR="008C76B3" w:rsidRPr="00B47FE4">
        <w:rPr>
          <w:rFonts w:ascii="Arial" w:hAnsi="Arial" w:cs="Arial"/>
          <w:color w:val="000000" w:themeColor="text1"/>
        </w:rPr>
        <w:t xml:space="preserve"> ε4</w:t>
      </w:r>
      <w:r w:rsidR="008C76B3">
        <w:rPr>
          <w:rFonts w:ascii="Arial" w:hAnsi="Arial" w:cs="Arial"/>
          <w:color w:val="000000" w:themeColor="text1"/>
        </w:rPr>
        <w:t xml:space="preserve"> as “No.” </w:t>
      </w:r>
      <w:r w:rsidR="00974A6D">
        <w:rPr>
          <w:rFonts w:ascii="Arial" w:hAnsi="Arial" w:cs="Arial"/>
          <w:b/>
          <w:bCs/>
          <w:color w:val="000000" w:themeColor="text1"/>
        </w:rPr>
        <w:t>B</w:t>
      </w:r>
      <w:r w:rsidR="001537E7">
        <w:rPr>
          <w:rFonts w:ascii="Arial" w:hAnsi="Arial" w:cs="Arial"/>
          <w:color w:val="000000" w:themeColor="text1"/>
        </w:rPr>
        <w:t xml:space="preserve"> Scatterplots illustrating the correlation between </w:t>
      </w:r>
      <w:r w:rsidR="002F5CD3">
        <w:rPr>
          <w:rFonts w:ascii="Arial" w:hAnsi="Arial" w:cs="Arial"/>
          <w:color w:val="000000" w:themeColor="text1"/>
        </w:rPr>
        <w:t xml:space="preserve">age and </w:t>
      </w:r>
      <w:r w:rsidR="00C54B36">
        <w:rPr>
          <w:rFonts w:ascii="Arial" w:hAnsi="Arial" w:cs="Arial"/>
          <w:color w:val="000000" w:themeColor="text1"/>
        </w:rPr>
        <w:t xml:space="preserve">NULISAseq </w:t>
      </w:r>
      <w:r w:rsidR="005271E7">
        <w:rPr>
          <w:rFonts w:ascii="Arial" w:hAnsi="Arial" w:cs="Arial"/>
          <w:color w:val="000000" w:themeColor="text1"/>
        </w:rPr>
        <w:t xml:space="preserve">target </w:t>
      </w:r>
      <w:r w:rsidR="00C54B36">
        <w:rPr>
          <w:rFonts w:ascii="Arial" w:hAnsi="Arial" w:cs="Arial"/>
          <w:color w:val="000000" w:themeColor="text1"/>
        </w:rPr>
        <w:t>levels</w:t>
      </w:r>
      <w:r w:rsidR="002F5CD3">
        <w:rPr>
          <w:rFonts w:ascii="Arial" w:hAnsi="Arial" w:cs="Arial"/>
          <w:color w:val="000000" w:themeColor="text1"/>
        </w:rPr>
        <w:t xml:space="preserve">. </w:t>
      </w:r>
      <w:r w:rsidR="00DC72F7" w:rsidRPr="00DC72F7">
        <w:rPr>
          <w:rFonts w:ascii="Arial" w:hAnsi="Arial" w:cs="Arial"/>
          <w:color w:val="000000" w:themeColor="text1"/>
        </w:rPr>
        <w:t xml:space="preserve">P-values on top of </w:t>
      </w:r>
      <w:r w:rsidR="00DC72F7">
        <w:rPr>
          <w:rFonts w:ascii="Arial" w:hAnsi="Arial" w:cs="Arial"/>
          <w:color w:val="000000" w:themeColor="text1"/>
        </w:rPr>
        <w:t>all</w:t>
      </w:r>
      <w:r w:rsidR="00DC72F7" w:rsidRPr="00DC72F7">
        <w:rPr>
          <w:rFonts w:ascii="Arial" w:hAnsi="Arial" w:cs="Arial"/>
          <w:color w:val="000000" w:themeColor="text1"/>
        </w:rPr>
        <w:t xml:space="preserve"> boxplots were for the whole data combining both visits and were determined using </w:t>
      </w:r>
      <w:r w:rsidR="005366E0" w:rsidRPr="005366E0">
        <w:rPr>
          <w:rFonts w:ascii="Arial" w:hAnsi="Arial" w:cs="Arial"/>
          <w:color w:val="000000" w:themeColor="text1"/>
        </w:rPr>
        <w:t>linear mixed models (random intercepts) with NPQs as the dependent variable</w:t>
      </w:r>
      <w:r w:rsidR="008E6101">
        <w:rPr>
          <w:rFonts w:ascii="Arial" w:hAnsi="Arial" w:cs="Arial"/>
          <w:color w:val="000000" w:themeColor="text1"/>
        </w:rPr>
        <w:t xml:space="preserve"> and </w:t>
      </w:r>
      <w:r w:rsidR="002F5CD3">
        <w:rPr>
          <w:rFonts w:ascii="Arial" w:hAnsi="Arial" w:cs="Arial"/>
          <w:color w:val="000000" w:themeColor="text1"/>
        </w:rPr>
        <w:t xml:space="preserve">the corresponding covariates </w:t>
      </w:r>
      <w:r w:rsidR="005366E0" w:rsidRPr="005366E0">
        <w:rPr>
          <w:rFonts w:ascii="Arial" w:hAnsi="Arial" w:cs="Arial"/>
          <w:color w:val="000000" w:themeColor="text1"/>
        </w:rPr>
        <w:t xml:space="preserve">as the independent variables. Significance determination was based on p-value &lt; 0.005, corresponding to </w:t>
      </w:r>
      <w:r w:rsidR="00FD1CCD">
        <w:rPr>
          <w:rFonts w:ascii="Arial" w:hAnsi="Arial" w:cs="Arial"/>
          <w:color w:val="000000" w:themeColor="text1"/>
        </w:rPr>
        <w:t>10</w:t>
      </w:r>
      <w:r w:rsidR="005366E0" w:rsidRPr="005366E0">
        <w:rPr>
          <w:rFonts w:ascii="Arial" w:hAnsi="Arial" w:cs="Arial"/>
          <w:color w:val="000000" w:themeColor="text1"/>
        </w:rPr>
        <w:t>%</w:t>
      </w:r>
      <w:r w:rsidR="00FD1CCD">
        <w:rPr>
          <w:rFonts w:ascii="Arial" w:hAnsi="Arial" w:cs="Arial"/>
          <w:color w:val="000000" w:themeColor="text1"/>
        </w:rPr>
        <w:t>, 10%, and</w:t>
      </w:r>
      <w:r w:rsidR="005366E0" w:rsidRPr="005366E0">
        <w:rPr>
          <w:rFonts w:ascii="Arial" w:hAnsi="Arial" w:cs="Arial"/>
          <w:color w:val="000000" w:themeColor="text1"/>
        </w:rPr>
        <w:t xml:space="preserve"> </w:t>
      </w:r>
      <w:r w:rsidR="00FD1CCD">
        <w:rPr>
          <w:rFonts w:ascii="Arial" w:hAnsi="Arial" w:cs="Arial"/>
          <w:color w:val="000000" w:themeColor="text1"/>
        </w:rPr>
        <w:t xml:space="preserve">3% </w:t>
      </w:r>
      <w:r w:rsidR="005366E0" w:rsidRPr="005366E0">
        <w:rPr>
          <w:rFonts w:ascii="Arial" w:hAnsi="Arial" w:cs="Arial"/>
          <w:color w:val="000000" w:themeColor="text1"/>
        </w:rPr>
        <w:t>FDR</w:t>
      </w:r>
      <w:r w:rsidR="00FD1CCD">
        <w:rPr>
          <w:rFonts w:ascii="Arial" w:hAnsi="Arial" w:cs="Arial"/>
          <w:color w:val="000000" w:themeColor="text1"/>
        </w:rPr>
        <w:t xml:space="preserve"> for sex, </w:t>
      </w:r>
      <w:r w:rsidR="00FD1CCD" w:rsidRPr="00B47FE4">
        <w:rPr>
          <w:rFonts w:ascii="Arial" w:hAnsi="Arial" w:cs="Arial"/>
          <w:i/>
          <w:iCs/>
          <w:color w:val="000000" w:themeColor="text1"/>
        </w:rPr>
        <w:t>APOE</w:t>
      </w:r>
      <w:r w:rsidR="00FD1CCD" w:rsidRPr="00B47FE4">
        <w:rPr>
          <w:rFonts w:ascii="Arial" w:hAnsi="Arial" w:cs="Arial"/>
          <w:color w:val="000000" w:themeColor="text1"/>
        </w:rPr>
        <w:t xml:space="preserve"> ε4 carrier status</w:t>
      </w:r>
      <w:r w:rsidR="00FD1CCD">
        <w:rPr>
          <w:rFonts w:ascii="Arial" w:hAnsi="Arial" w:cs="Arial"/>
          <w:color w:val="000000" w:themeColor="text1"/>
        </w:rPr>
        <w:t>, and age, respectively</w:t>
      </w:r>
      <w:r w:rsidR="005366E0" w:rsidRPr="005366E0">
        <w:rPr>
          <w:rFonts w:ascii="Arial" w:hAnsi="Arial" w:cs="Arial"/>
          <w:color w:val="000000" w:themeColor="text1"/>
        </w:rPr>
        <w:t>.</w:t>
      </w:r>
      <w:r w:rsidR="00170DB9">
        <w:rPr>
          <w:rFonts w:ascii="Arial" w:hAnsi="Arial" w:cs="Arial"/>
          <w:color w:val="000000" w:themeColor="text1"/>
        </w:rPr>
        <w:t xml:space="preserve"> </w:t>
      </w:r>
      <w:r w:rsidR="00E47540">
        <w:rPr>
          <w:rFonts w:ascii="Arial" w:hAnsi="Arial" w:cs="Arial"/>
          <w:color w:val="000000" w:themeColor="text1"/>
        </w:rPr>
        <w:t>Purple</w:t>
      </w:r>
      <w:r w:rsidR="00170DB9" w:rsidRPr="00DC4C37">
        <w:rPr>
          <w:rFonts w:ascii="Arial" w:hAnsi="Arial" w:cs="Arial"/>
          <w:color w:val="000000" w:themeColor="text1"/>
        </w:rPr>
        <w:t xml:space="preserve"> lines indicated the l</w:t>
      </w:r>
      <w:r w:rsidR="00170DB9">
        <w:rPr>
          <w:rFonts w:ascii="Arial" w:hAnsi="Arial" w:cs="Arial"/>
          <w:color w:val="000000" w:themeColor="text1"/>
        </w:rPr>
        <w:t>east square</w:t>
      </w:r>
      <w:r w:rsidR="00170DB9" w:rsidRPr="00DC4C37">
        <w:rPr>
          <w:rFonts w:ascii="Arial" w:hAnsi="Arial" w:cs="Arial"/>
          <w:color w:val="000000" w:themeColor="text1"/>
        </w:rPr>
        <w:t xml:space="preserve"> regression lines.</w:t>
      </w:r>
    </w:p>
    <w:p w14:paraId="1FDEA718" w14:textId="4027D4A4" w:rsidR="007073B1" w:rsidRDefault="007073B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53157576" w14:textId="77777777" w:rsidR="00637AE4" w:rsidRDefault="00637AE4" w:rsidP="005366E0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D1EA523" w14:textId="7CEA5719" w:rsidR="00251340" w:rsidRDefault="00863389">
      <w:pPr>
        <w:rPr>
          <w:rFonts w:ascii="Arial" w:hAnsi="Arial" w:cs="Arial"/>
          <w:color w:val="000000" w:themeColor="text1"/>
        </w:rPr>
      </w:pPr>
      <w:r w:rsidRPr="00863389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51C4ED2" wp14:editId="6BB0ACF6">
            <wp:extent cx="5943600" cy="3336925"/>
            <wp:effectExtent l="0" t="0" r="0" b="0"/>
            <wp:docPr id="1578584390" name="Picture 1" descr="A group of graphs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84390" name="Picture 1" descr="A group of graphs with number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E9688" w14:textId="6450F27C" w:rsidR="005F6ACD" w:rsidRDefault="00251340" w:rsidP="005366E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D6358">
        <w:rPr>
          <w:rFonts w:ascii="Arial" w:hAnsi="Arial" w:cs="Arial"/>
          <w:b/>
          <w:bCs/>
        </w:rPr>
        <w:t>Fig</w:t>
      </w:r>
      <w:r w:rsidR="00AD3E05" w:rsidRPr="004D6358">
        <w:rPr>
          <w:rFonts w:ascii="Arial" w:hAnsi="Arial" w:cs="Arial"/>
          <w:b/>
          <w:bCs/>
        </w:rPr>
        <w:t xml:space="preserve">ure </w:t>
      </w:r>
      <w:r w:rsidRPr="004D6358">
        <w:rPr>
          <w:rFonts w:ascii="Arial" w:hAnsi="Arial" w:cs="Arial"/>
          <w:b/>
          <w:bCs/>
        </w:rPr>
        <w:t>S2</w:t>
      </w:r>
      <w:r w:rsidR="004D6358">
        <w:rPr>
          <w:rFonts w:ascii="Arial" w:hAnsi="Arial" w:cs="Arial"/>
          <w:b/>
          <w:bCs/>
        </w:rPr>
        <w:t>.</w:t>
      </w:r>
      <w:r w:rsidRPr="004D6358">
        <w:rPr>
          <w:rFonts w:ascii="Arial" w:hAnsi="Arial" w:cs="Arial"/>
          <w:b/>
          <w:bCs/>
        </w:rPr>
        <w:t xml:space="preserve"> </w:t>
      </w:r>
      <w:r w:rsidR="006B7C88" w:rsidRPr="004D6358">
        <w:rPr>
          <w:rFonts w:ascii="Arial" w:hAnsi="Arial" w:cs="Arial"/>
          <w:b/>
          <w:bCs/>
        </w:rPr>
        <w:t>NULISAseq targets with significant a</w:t>
      </w:r>
      <w:r w:rsidRPr="004D6358">
        <w:rPr>
          <w:rFonts w:ascii="Arial" w:hAnsi="Arial" w:cs="Arial"/>
          <w:b/>
          <w:bCs/>
        </w:rPr>
        <w:t>ssociation</w:t>
      </w:r>
      <w:r w:rsidR="006B7C88" w:rsidRPr="004D6358">
        <w:rPr>
          <w:rFonts w:ascii="Arial" w:hAnsi="Arial" w:cs="Arial"/>
          <w:b/>
          <w:bCs/>
        </w:rPr>
        <w:t>s</w:t>
      </w:r>
      <w:r w:rsidRPr="004D6358">
        <w:rPr>
          <w:rFonts w:ascii="Arial" w:hAnsi="Arial" w:cs="Arial"/>
          <w:b/>
          <w:bCs/>
        </w:rPr>
        <w:t xml:space="preserve"> between longitudinal changes in Aβ PET SUVR and </w:t>
      </w:r>
      <w:r w:rsidR="006B7C88" w:rsidRPr="004D6358">
        <w:rPr>
          <w:rFonts w:ascii="Arial" w:hAnsi="Arial" w:cs="Arial"/>
          <w:b/>
          <w:bCs/>
        </w:rPr>
        <w:t>biomarker levels</w:t>
      </w:r>
      <w:r w:rsidRPr="004D6358">
        <w:rPr>
          <w:rFonts w:ascii="Arial" w:hAnsi="Arial" w:cs="Arial"/>
          <w:b/>
          <w:bCs/>
        </w:rPr>
        <w:t>.</w:t>
      </w:r>
      <w:r w:rsidR="00C33F47">
        <w:rPr>
          <w:rFonts w:ascii="Arial" w:hAnsi="Arial" w:cs="Arial"/>
        </w:rPr>
        <w:t xml:space="preserve"> </w:t>
      </w:r>
      <w:r w:rsidR="003C0840">
        <w:rPr>
          <w:rFonts w:ascii="Arial" w:hAnsi="Arial" w:cs="Arial"/>
        </w:rPr>
        <w:t xml:space="preserve">Shown are </w:t>
      </w:r>
      <w:r w:rsidR="003C0840">
        <w:rPr>
          <w:rFonts w:ascii="Arial" w:hAnsi="Arial" w:cs="Arial"/>
          <w:color w:val="000000" w:themeColor="text1"/>
        </w:rPr>
        <w:t>s</w:t>
      </w:r>
      <w:r w:rsidR="00C33F47">
        <w:rPr>
          <w:rFonts w:ascii="Arial" w:hAnsi="Arial" w:cs="Arial"/>
          <w:color w:val="000000" w:themeColor="text1"/>
        </w:rPr>
        <w:t>catterplots between yearly Aβ PET SUVR change</w:t>
      </w:r>
      <w:r w:rsidR="003C0840">
        <w:rPr>
          <w:rFonts w:ascii="Arial" w:hAnsi="Arial" w:cs="Arial"/>
          <w:color w:val="000000" w:themeColor="text1"/>
        </w:rPr>
        <w:t xml:space="preserve"> (x-axis)</w:t>
      </w:r>
      <w:r w:rsidR="00C33F47">
        <w:rPr>
          <w:rFonts w:ascii="Arial" w:hAnsi="Arial" w:cs="Arial"/>
          <w:color w:val="000000" w:themeColor="text1"/>
        </w:rPr>
        <w:t xml:space="preserve"> and </w:t>
      </w:r>
      <w:r w:rsidR="003C0840">
        <w:rPr>
          <w:rFonts w:ascii="Arial" w:hAnsi="Arial" w:cs="Arial"/>
          <w:color w:val="000000" w:themeColor="text1"/>
        </w:rPr>
        <w:t xml:space="preserve">yearly </w:t>
      </w:r>
      <w:r w:rsidR="00C33F47">
        <w:rPr>
          <w:rFonts w:ascii="Arial" w:hAnsi="Arial" w:cs="Arial"/>
          <w:color w:val="000000" w:themeColor="text1"/>
        </w:rPr>
        <w:t>biomarker level</w:t>
      </w:r>
      <w:r w:rsidR="003C0840">
        <w:rPr>
          <w:rFonts w:ascii="Arial" w:hAnsi="Arial" w:cs="Arial"/>
          <w:color w:val="000000" w:themeColor="text1"/>
        </w:rPr>
        <w:t xml:space="preserve"> change (y-axis)</w:t>
      </w:r>
      <w:r w:rsidR="00C33F47">
        <w:rPr>
          <w:rFonts w:ascii="Arial" w:hAnsi="Arial" w:cs="Arial"/>
          <w:color w:val="000000" w:themeColor="text1"/>
        </w:rPr>
        <w:t xml:space="preserve">. The strength of the correlation was assessed </w:t>
      </w:r>
      <w:r w:rsidR="005F6ACD">
        <w:rPr>
          <w:rFonts w:ascii="Arial" w:hAnsi="Arial" w:cs="Arial"/>
          <w:color w:val="000000" w:themeColor="text1"/>
        </w:rPr>
        <w:t>using</w:t>
      </w:r>
      <w:r w:rsidR="00C33F47">
        <w:rPr>
          <w:rFonts w:ascii="Arial" w:hAnsi="Arial" w:cs="Arial"/>
          <w:color w:val="000000" w:themeColor="text1"/>
        </w:rPr>
        <w:t xml:space="preserve"> Spearman’s ranks.</w:t>
      </w:r>
      <w:r w:rsidR="00FC7CF2">
        <w:rPr>
          <w:rFonts w:ascii="Arial" w:hAnsi="Arial" w:cs="Arial"/>
          <w:color w:val="000000" w:themeColor="text1"/>
        </w:rPr>
        <w:t xml:space="preserve"> </w:t>
      </w:r>
      <w:r w:rsidR="00E47540">
        <w:rPr>
          <w:rFonts w:ascii="Arial" w:hAnsi="Arial" w:cs="Arial"/>
          <w:color w:val="000000" w:themeColor="text1"/>
        </w:rPr>
        <w:t>Purple</w:t>
      </w:r>
      <w:r w:rsidR="00FC7CF2" w:rsidRPr="00DC4C37">
        <w:rPr>
          <w:rFonts w:ascii="Arial" w:hAnsi="Arial" w:cs="Arial"/>
          <w:color w:val="000000" w:themeColor="text1"/>
        </w:rPr>
        <w:t xml:space="preserve"> lines indicated the l</w:t>
      </w:r>
      <w:r w:rsidR="00FC7CF2">
        <w:rPr>
          <w:rFonts w:ascii="Arial" w:hAnsi="Arial" w:cs="Arial"/>
          <w:color w:val="000000" w:themeColor="text1"/>
        </w:rPr>
        <w:t>east square</w:t>
      </w:r>
      <w:r w:rsidR="00FC7CF2" w:rsidRPr="00DC4C37">
        <w:rPr>
          <w:rFonts w:ascii="Arial" w:hAnsi="Arial" w:cs="Arial"/>
          <w:color w:val="000000" w:themeColor="text1"/>
        </w:rPr>
        <w:t xml:space="preserve"> regression lines.</w:t>
      </w:r>
      <w:r w:rsidR="009051C2">
        <w:rPr>
          <w:rFonts w:ascii="Arial" w:hAnsi="Arial" w:cs="Arial"/>
          <w:color w:val="000000" w:themeColor="text1"/>
        </w:rPr>
        <w:t xml:space="preserve"> The plasma biomarkers are arranged in decreasing order of the strength of association. </w:t>
      </w:r>
    </w:p>
    <w:p w14:paraId="63EDED16" w14:textId="77777777" w:rsidR="005F6ACD" w:rsidRDefault="005F6AC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B1A1E96" w14:textId="0F29C75C" w:rsidR="005F6ACD" w:rsidRDefault="001A4546" w:rsidP="005366E0">
      <w:pPr>
        <w:spacing w:line="360" w:lineRule="auto"/>
        <w:jc w:val="both"/>
        <w:rPr>
          <w:rFonts w:ascii="Arial" w:hAnsi="Arial" w:cs="Arial"/>
          <w:b/>
          <w:bCs/>
        </w:rPr>
      </w:pPr>
      <w:r w:rsidRPr="001A4546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0D1DBAE" wp14:editId="574A9DF8">
            <wp:extent cx="5943600" cy="2785745"/>
            <wp:effectExtent l="0" t="0" r="0" b="0"/>
            <wp:docPr id="1730609723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09723" name="Picture 1" descr="A graph of a number of data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911A3" w14:textId="53B14674" w:rsidR="00746EE8" w:rsidRDefault="007073B1" w:rsidP="00DC72F7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t>Figure</w:t>
      </w:r>
      <w:r w:rsidR="005F6ACD" w:rsidRPr="00F41587">
        <w:rPr>
          <w:rFonts w:ascii="Arial" w:hAnsi="Arial" w:cs="Arial"/>
          <w:b/>
          <w:bCs/>
        </w:rPr>
        <w:t xml:space="preserve"> S</w:t>
      </w:r>
      <w:r w:rsidR="000C37AC">
        <w:rPr>
          <w:rFonts w:ascii="Arial" w:hAnsi="Arial" w:cs="Arial"/>
          <w:b/>
          <w:bCs/>
        </w:rPr>
        <w:t>3</w:t>
      </w:r>
      <w:r w:rsidR="00193C55">
        <w:rPr>
          <w:rFonts w:ascii="Arial" w:hAnsi="Arial" w:cs="Arial"/>
          <w:b/>
          <w:bCs/>
        </w:rPr>
        <w:t>.</w:t>
      </w:r>
      <w:r w:rsidR="005F6ACD" w:rsidRPr="000134AC">
        <w:rPr>
          <w:rFonts w:ascii="Arial" w:hAnsi="Arial" w:cs="Arial"/>
        </w:rPr>
        <w:t xml:space="preserve"> </w:t>
      </w:r>
      <w:r w:rsidR="000C37AC" w:rsidRPr="00193C55">
        <w:rPr>
          <w:rFonts w:ascii="Arial" w:hAnsi="Arial" w:cs="Arial"/>
          <w:b/>
          <w:bCs/>
          <w:color w:val="000000" w:themeColor="text1"/>
        </w:rPr>
        <w:t xml:space="preserve">Receiver operating characteristics (ROC) curves for p-tau217 and p-tau231 in detecting tau </w:t>
      </w:r>
      <w:r w:rsidR="0065063E" w:rsidRPr="00193C55">
        <w:rPr>
          <w:rFonts w:ascii="Arial" w:hAnsi="Arial" w:cs="Arial"/>
          <w:b/>
          <w:bCs/>
          <w:color w:val="000000" w:themeColor="text1"/>
        </w:rPr>
        <w:t>PET</w:t>
      </w:r>
      <w:r w:rsidR="000C37AC" w:rsidRPr="00193C55">
        <w:rPr>
          <w:rFonts w:ascii="Arial" w:hAnsi="Arial" w:cs="Arial"/>
          <w:b/>
          <w:bCs/>
          <w:color w:val="000000" w:themeColor="text1"/>
        </w:rPr>
        <w:t xml:space="preserve"> positivity</w:t>
      </w:r>
      <w:r w:rsidR="000C37AC" w:rsidRPr="007073B1">
        <w:rPr>
          <w:rFonts w:ascii="Arial" w:hAnsi="Arial" w:cs="Arial"/>
        </w:rPr>
        <w:t>.</w:t>
      </w:r>
      <w:r w:rsidR="00BC734A">
        <w:rPr>
          <w:rFonts w:ascii="Arial" w:hAnsi="Arial" w:cs="Arial"/>
        </w:rPr>
        <w:t xml:space="preserve"> RF refers to </w:t>
      </w:r>
      <w:r w:rsidR="00CB5407">
        <w:rPr>
          <w:rFonts w:ascii="Arial" w:hAnsi="Arial" w:cs="Arial"/>
        </w:rPr>
        <w:t xml:space="preserve">a model incorporating </w:t>
      </w:r>
      <w:r w:rsidR="00BC734A">
        <w:rPr>
          <w:rFonts w:ascii="Arial" w:hAnsi="Arial" w:cs="Arial"/>
        </w:rPr>
        <w:t>age, sex</w:t>
      </w:r>
      <w:r w:rsidR="0065063E">
        <w:rPr>
          <w:rFonts w:ascii="Arial" w:hAnsi="Arial" w:cs="Arial"/>
        </w:rPr>
        <w:t>,</w:t>
      </w:r>
      <w:r w:rsidR="00BC734A">
        <w:rPr>
          <w:rFonts w:ascii="Arial" w:hAnsi="Arial" w:cs="Arial"/>
        </w:rPr>
        <w:t xml:space="preserve"> and </w:t>
      </w:r>
      <w:r w:rsidR="00BC734A" w:rsidRPr="00B47FE4">
        <w:rPr>
          <w:rFonts w:ascii="Arial" w:hAnsi="Arial" w:cs="Arial"/>
          <w:i/>
          <w:iCs/>
          <w:color w:val="000000" w:themeColor="text1"/>
        </w:rPr>
        <w:t>APOE</w:t>
      </w:r>
      <w:r w:rsidR="00BC734A" w:rsidRPr="00B47FE4">
        <w:rPr>
          <w:rFonts w:ascii="Arial" w:hAnsi="Arial" w:cs="Arial"/>
          <w:color w:val="000000" w:themeColor="text1"/>
        </w:rPr>
        <w:t xml:space="preserve"> ε4 carrier status</w:t>
      </w:r>
      <w:r w:rsidR="00BC734A">
        <w:rPr>
          <w:rFonts w:ascii="Arial" w:hAnsi="Arial" w:cs="Arial"/>
          <w:color w:val="000000" w:themeColor="text1"/>
        </w:rPr>
        <w:t>.</w:t>
      </w:r>
      <w:r w:rsidR="00140D4E">
        <w:rPr>
          <w:rFonts w:ascii="Arial" w:hAnsi="Arial" w:cs="Arial"/>
          <w:color w:val="000000" w:themeColor="text1"/>
        </w:rPr>
        <w:t xml:space="preserve"> </w:t>
      </w:r>
      <w:r w:rsidR="00A572E8">
        <w:rPr>
          <w:rFonts w:ascii="Arial" w:hAnsi="Arial" w:cs="Arial"/>
          <w:color w:val="000000" w:themeColor="text1"/>
        </w:rPr>
        <w:t xml:space="preserve">ROC </w:t>
      </w:r>
      <w:r w:rsidR="00B47701">
        <w:rPr>
          <w:rFonts w:ascii="Arial" w:hAnsi="Arial" w:cs="Arial"/>
          <w:color w:val="000000" w:themeColor="text1"/>
        </w:rPr>
        <w:t>curves</w:t>
      </w:r>
      <w:r w:rsidR="00A572E8">
        <w:rPr>
          <w:rFonts w:ascii="Arial" w:hAnsi="Arial" w:cs="Arial"/>
          <w:color w:val="000000" w:themeColor="text1"/>
        </w:rPr>
        <w:t xml:space="preserve"> </w:t>
      </w:r>
      <w:r w:rsidR="00B47701">
        <w:rPr>
          <w:rFonts w:ascii="Arial" w:hAnsi="Arial" w:cs="Arial"/>
          <w:color w:val="000000" w:themeColor="text1"/>
        </w:rPr>
        <w:t xml:space="preserve">and the corresponding area under the curve (AUC) </w:t>
      </w:r>
      <w:r w:rsidR="00B5257E">
        <w:rPr>
          <w:rFonts w:ascii="Arial" w:hAnsi="Arial" w:cs="Arial"/>
          <w:color w:val="000000" w:themeColor="text1"/>
        </w:rPr>
        <w:t>w</w:t>
      </w:r>
      <w:r w:rsidR="00B47701">
        <w:rPr>
          <w:rFonts w:ascii="Arial" w:hAnsi="Arial" w:cs="Arial"/>
          <w:color w:val="000000" w:themeColor="text1"/>
        </w:rPr>
        <w:t>ere</w:t>
      </w:r>
      <w:r w:rsidR="00A572E8">
        <w:rPr>
          <w:rFonts w:ascii="Arial" w:hAnsi="Arial" w:cs="Arial"/>
          <w:color w:val="000000" w:themeColor="text1"/>
        </w:rPr>
        <w:t xml:space="preserve"> </w:t>
      </w:r>
      <w:r w:rsidR="00B47701">
        <w:rPr>
          <w:rFonts w:ascii="Arial" w:hAnsi="Arial" w:cs="Arial"/>
          <w:color w:val="000000" w:themeColor="text1"/>
        </w:rPr>
        <w:t>determined</w:t>
      </w:r>
      <w:r w:rsidR="00A572E8">
        <w:rPr>
          <w:rFonts w:ascii="Arial" w:hAnsi="Arial" w:cs="Arial"/>
          <w:color w:val="000000" w:themeColor="text1"/>
        </w:rPr>
        <w:t xml:space="preserve"> using </w:t>
      </w:r>
      <w:r w:rsidR="00140D4E" w:rsidRPr="00DE4913">
        <w:rPr>
          <w:rFonts w:ascii="Arial" w:hAnsi="Arial" w:cs="Arial"/>
          <w:color w:val="000000" w:themeColor="text1"/>
        </w:rPr>
        <w:t xml:space="preserve">the MATLAB </w:t>
      </w:r>
      <w:r w:rsidR="00140D4E" w:rsidRPr="00DE4913">
        <w:rPr>
          <w:rFonts w:ascii="Arial" w:hAnsi="Arial" w:cs="Arial"/>
          <w:i/>
          <w:iCs/>
          <w:color w:val="000000" w:themeColor="text1"/>
        </w:rPr>
        <w:t>perfcurve</w:t>
      </w:r>
      <w:r w:rsidR="00140D4E" w:rsidRPr="00DE4913">
        <w:rPr>
          <w:rFonts w:ascii="Arial" w:hAnsi="Arial" w:cs="Arial"/>
          <w:color w:val="000000" w:themeColor="text1"/>
        </w:rPr>
        <w:t xml:space="preserve"> function.</w:t>
      </w:r>
      <w:r w:rsidR="00746EE8">
        <w:rPr>
          <w:rFonts w:ascii="Arial" w:hAnsi="Arial" w:cs="Arial"/>
          <w:color w:val="000000" w:themeColor="text1"/>
        </w:rPr>
        <w:br w:type="page"/>
      </w:r>
    </w:p>
    <w:p w14:paraId="27EA4396" w14:textId="06A6D8F8" w:rsidR="00755930" w:rsidRPr="006F0E7B" w:rsidRDefault="008673FF" w:rsidP="006F0E7B">
      <w:pPr>
        <w:rPr>
          <w:rFonts w:ascii="Arial" w:hAnsi="Arial" w:cs="Arial"/>
          <w:color w:val="000000" w:themeColor="text1"/>
        </w:rPr>
      </w:pPr>
      <w:r w:rsidRPr="008673FF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49DE5066" wp14:editId="544EB57B">
            <wp:extent cx="5943600" cy="5456555"/>
            <wp:effectExtent l="0" t="0" r="0" b="0"/>
            <wp:docPr id="86745763" name="Picture 1" descr="A chart of different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763" name="Picture 1" descr="A chart of different number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374F3" w14:textId="2AD31805" w:rsidR="00251340" w:rsidRDefault="007073B1" w:rsidP="000C37A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t>Figure</w:t>
      </w:r>
      <w:r w:rsidR="00755930" w:rsidRPr="00CB5407">
        <w:rPr>
          <w:rFonts w:ascii="Arial" w:hAnsi="Arial" w:cs="Arial"/>
          <w:b/>
          <w:bCs/>
        </w:rPr>
        <w:t xml:space="preserve"> S4</w:t>
      </w:r>
      <w:r w:rsidR="003B5AEE">
        <w:rPr>
          <w:rFonts w:ascii="Arial" w:hAnsi="Arial" w:cs="Arial"/>
          <w:b/>
          <w:bCs/>
        </w:rPr>
        <w:t>.</w:t>
      </w:r>
      <w:r w:rsidR="00755930" w:rsidRPr="00BA1EBA">
        <w:rPr>
          <w:rFonts w:ascii="Arial" w:hAnsi="Arial" w:cs="Arial"/>
          <w:b/>
          <w:bCs/>
        </w:rPr>
        <w:t xml:space="preserve"> </w:t>
      </w:r>
      <w:r w:rsidR="006F2058" w:rsidRPr="003B5AEE">
        <w:rPr>
          <w:rFonts w:ascii="Arial" w:hAnsi="Arial" w:cs="Arial"/>
          <w:b/>
          <w:bCs/>
        </w:rPr>
        <w:t xml:space="preserve">Longitudinal association between NULISAseq </w:t>
      </w:r>
      <w:r w:rsidR="00AE4B3A" w:rsidRPr="003B5AEE">
        <w:rPr>
          <w:rFonts w:ascii="Arial" w:hAnsi="Arial" w:cs="Arial"/>
          <w:b/>
          <w:bCs/>
        </w:rPr>
        <w:t xml:space="preserve">targets </w:t>
      </w:r>
      <w:r w:rsidR="006F2058" w:rsidRPr="003B5AEE">
        <w:rPr>
          <w:rFonts w:ascii="Arial" w:hAnsi="Arial" w:cs="Arial"/>
          <w:b/>
          <w:bCs/>
        </w:rPr>
        <w:t xml:space="preserve">and </w:t>
      </w:r>
      <w:r w:rsidR="00AE4B3A" w:rsidRPr="003B5AEE">
        <w:rPr>
          <w:rFonts w:ascii="Arial" w:hAnsi="Arial" w:cs="Arial"/>
          <w:b/>
          <w:bCs/>
        </w:rPr>
        <w:t>tau pathology</w:t>
      </w:r>
      <w:r w:rsidR="00F83ADB" w:rsidRPr="003B5AEE">
        <w:rPr>
          <w:rFonts w:ascii="Arial" w:hAnsi="Arial" w:cs="Arial"/>
          <w:b/>
          <w:bCs/>
        </w:rPr>
        <w:t xml:space="preserve"> (T)</w:t>
      </w:r>
      <w:r w:rsidR="00AE4B3A" w:rsidRPr="003B5AEE">
        <w:rPr>
          <w:rFonts w:ascii="Arial" w:hAnsi="Arial" w:cs="Arial"/>
          <w:b/>
          <w:bCs/>
        </w:rPr>
        <w:t>.</w:t>
      </w:r>
      <w:r w:rsidR="00AE4B3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A</w:t>
      </w:r>
      <w:r w:rsidR="00AE4B3A">
        <w:rPr>
          <w:rFonts w:ascii="Arial" w:hAnsi="Arial" w:cs="Arial"/>
        </w:rPr>
        <w:t xml:space="preserve"> </w:t>
      </w:r>
      <w:r w:rsidR="000E3E7B">
        <w:rPr>
          <w:rFonts w:ascii="Arial" w:hAnsi="Arial" w:cs="Arial"/>
          <w:color w:val="000000" w:themeColor="text1"/>
        </w:rPr>
        <w:t>Scatterplots depicting the correlation between yearly longitudinal tau PET SUVR change</w:t>
      </w:r>
      <w:r w:rsidR="00295554">
        <w:rPr>
          <w:rFonts w:ascii="Arial" w:hAnsi="Arial" w:cs="Arial"/>
          <w:color w:val="000000" w:themeColor="text1"/>
        </w:rPr>
        <w:t xml:space="preserve"> (x-axis)</w:t>
      </w:r>
      <w:r w:rsidR="000E3E7B">
        <w:rPr>
          <w:rFonts w:ascii="Arial" w:hAnsi="Arial" w:cs="Arial"/>
          <w:color w:val="000000" w:themeColor="text1"/>
        </w:rPr>
        <w:t xml:space="preserve"> and baseline biomarker levels</w:t>
      </w:r>
      <w:r w:rsidR="00295554">
        <w:rPr>
          <w:rFonts w:ascii="Arial" w:hAnsi="Arial" w:cs="Arial"/>
          <w:color w:val="000000" w:themeColor="text1"/>
        </w:rPr>
        <w:t xml:space="preserve"> (y-axis)</w:t>
      </w:r>
      <w:r w:rsidR="000E3E7B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b/>
          <w:bCs/>
        </w:rPr>
        <w:t>B</w:t>
      </w:r>
      <w:r w:rsidR="00DC7BE1">
        <w:rPr>
          <w:rFonts w:ascii="Arial" w:hAnsi="Arial" w:cs="Arial"/>
        </w:rPr>
        <w:t xml:space="preserve"> </w:t>
      </w:r>
      <w:r w:rsidR="00DC7BE1">
        <w:rPr>
          <w:rFonts w:ascii="Arial" w:hAnsi="Arial" w:cs="Arial"/>
          <w:color w:val="000000" w:themeColor="text1"/>
        </w:rPr>
        <w:t xml:space="preserve">Scatterplots illustrating the correlation between yearly longitudinal tau PET SUVR change (x-axis) and yearly biomarker level </w:t>
      </w:r>
      <w:r w:rsidR="00746EE8">
        <w:rPr>
          <w:rFonts w:ascii="Arial" w:hAnsi="Arial" w:cs="Arial"/>
          <w:color w:val="000000" w:themeColor="text1"/>
        </w:rPr>
        <w:t xml:space="preserve">change </w:t>
      </w:r>
      <w:r w:rsidR="00DC7BE1">
        <w:rPr>
          <w:rFonts w:ascii="Arial" w:hAnsi="Arial" w:cs="Arial"/>
          <w:color w:val="000000" w:themeColor="text1"/>
        </w:rPr>
        <w:t xml:space="preserve">(y-axis). </w:t>
      </w:r>
      <w:r w:rsidR="00E330F7">
        <w:rPr>
          <w:rFonts w:ascii="Arial" w:hAnsi="Arial" w:cs="Arial"/>
          <w:color w:val="000000" w:themeColor="text1"/>
        </w:rPr>
        <w:t>A</w:t>
      </w:r>
      <w:r w:rsidR="00746EE8">
        <w:rPr>
          <w:rFonts w:ascii="Arial" w:hAnsi="Arial" w:cs="Arial"/>
          <w:color w:val="000000" w:themeColor="text1"/>
        </w:rPr>
        <w:t>ll</w:t>
      </w:r>
      <w:r w:rsidR="000E3E7B">
        <w:rPr>
          <w:rFonts w:ascii="Arial" w:hAnsi="Arial" w:cs="Arial"/>
          <w:color w:val="000000" w:themeColor="text1"/>
        </w:rPr>
        <w:t xml:space="preserve"> correlation</w:t>
      </w:r>
      <w:r w:rsidR="00746EE8">
        <w:rPr>
          <w:rFonts w:ascii="Arial" w:hAnsi="Arial" w:cs="Arial"/>
          <w:color w:val="000000" w:themeColor="text1"/>
        </w:rPr>
        <w:t>s</w:t>
      </w:r>
      <w:r w:rsidR="000E3E7B">
        <w:rPr>
          <w:rFonts w:ascii="Arial" w:hAnsi="Arial" w:cs="Arial"/>
          <w:color w:val="000000" w:themeColor="text1"/>
        </w:rPr>
        <w:t xml:space="preserve"> </w:t>
      </w:r>
      <w:r w:rsidR="00E330F7">
        <w:rPr>
          <w:rFonts w:ascii="Arial" w:hAnsi="Arial" w:cs="Arial"/>
          <w:color w:val="000000" w:themeColor="text1"/>
        </w:rPr>
        <w:t>were</w:t>
      </w:r>
      <w:r w:rsidR="000E3E7B">
        <w:rPr>
          <w:rFonts w:ascii="Arial" w:hAnsi="Arial" w:cs="Arial"/>
          <w:color w:val="000000" w:themeColor="text1"/>
        </w:rPr>
        <w:t xml:space="preserve"> </w:t>
      </w:r>
      <w:r w:rsidR="00E330F7">
        <w:rPr>
          <w:rFonts w:ascii="Arial" w:hAnsi="Arial" w:cs="Arial"/>
          <w:color w:val="000000" w:themeColor="text1"/>
        </w:rPr>
        <w:t xml:space="preserve">based on </w:t>
      </w:r>
      <w:r w:rsidR="00E330F7" w:rsidRPr="00E330F7">
        <w:rPr>
          <w:rFonts w:ascii="Arial" w:hAnsi="Arial" w:cs="Arial"/>
          <w:color w:val="000000" w:themeColor="text1"/>
        </w:rPr>
        <w:t>Spearman's rank correlation</w:t>
      </w:r>
      <w:r w:rsidR="000E3E7B">
        <w:rPr>
          <w:rFonts w:ascii="Arial" w:hAnsi="Arial" w:cs="Arial"/>
          <w:color w:val="000000" w:themeColor="text1"/>
        </w:rPr>
        <w:t>.</w:t>
      </w:r>
      <w:r w:rsidR="00FC7CF2">
        <w:rPr>
          <w:rFonts w:ascii="Arial" w:hAnsi="Arial" w:cs="Arial"/>
          <w:color w:val="000000" w:themeColor="text1"/>
        </w:rPr>
        <w:t xml:space="preserve"> </w:t>
      </w:r>
      <w:r w:rsidR="00E47540">
        <w:rPr>
          <w:rFonts w:ascii="Arial" w:hAnsi="Arial" w:cs="Arial"/>
          <w:color w:val="000000" w:themeColor="text1"/>
        </w:rPr>
        <w:t>Purple</w:t>
      </w:r>
      <w:r w:rsidR="00FC7CF2" w:rsidRPr="00DC4C37">
        <w:rPr>
          <w:rFonts w:ascii="Arial" w:hAnsi="Arial" w:cs="Arial"/>
          <w:color w:val="000000" w:themeColor="text1"/>
        </w:rPr>
        <w:t xml:space="preserve"> lines indicated the l</w:t>
      </w:r>
      <w:r w:rsidR="00FC7CF2">
        <w:rPr>
          <w:rFonts w:ascii="Arial" w:hAnsi="Arial" w:cs="Arial"/>
          <w:color w:val="000000" w:themeColor="text1"/>
        </w:rPr>
        <w:t>east square</w:t>
      </w:r>
      <w:r w:rsidR="00FC7CF2" w:rsidRPr="00DC4C37">
        <w:rPr>
          <w:rFonts w:ascii="Arial" w:hAnsi="Arial" w:cs="Arial"/>
          <w:color w:val="000000" w:themeColor="text1"/>
        </w:rPr>
        <w:t xml:space="preserve"> regression lines.</w:t>
      </w:r>
    </w:p>
    <w:p w14:paraId="38EC7951" w14:textId="77777777" w:rsidR="00823A4C" w:rsidRDefault="00823A4C">
      <w:pPr>
        <w:rPr>
          <w:rFonts w:ascii="Arial" w:hAnsi="Arial" w:cs="Arial"/>
          <w:color w:val="000000" w:themeColor="text1"/>
        </w:rPr>
      </w:pPr>
    </w:p>
    <w:p w14:paraId="5F71C7E2" w14:textId="07C202A7" w:rsidR="00823A4C" w:rsidRDefault="00823A4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32D09962" w14:textId="31D0BC17" w:rsidR="00823A4C" w:rsidRDefault="00CC6D64" w:rsidP="000C37AC">
      <w:pPr>
        <w:spacing w:line="360" w:lineRule="auto"/>
        <w:jc w:val="both"/>
        <w:rPr>
          <w:rFonts w:ascii="Arial" w:hAnsi="Arial" w:cs="Arial"/>
          <w:b/>
          <w:bCs/>
        </w:rPr>
      </w:pPr>
      <w:r w:rsidRPr="00CC6D64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FCC8B29" wp14:editId="3C55E5C5">
            <wp:extent cx="5943600" cy="3528060"/>
            <wp:effectExtent l="0" t="0" r="0" b="0"/>
            <wp:docPr id="1334407475" name="Picture 1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07475" name="Picture 1" descr="A collage of graphs and diagram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AF6E" w14:textId="2978584E" w:rsidR="00823A4C" w:rsidRPr="0065063E" w:rsidRDefault="00823A4C" w:rsidP="000C37AC">
      <w:pPr>
        <w:spacing w:line="360" w:lineRule="auto"/>
        <w:jc w:val="both"/>
        <w:rPr>
          <w:rFonts w:ascii="Arial" w:hAnsi="Arial" w:cs="Arial"/>
        </w:rPr>
      </w:pPr>
      <w:r w:rsidRPr="00BC207A">
        <w:rPr>
          <w:rFonts w:ascii="Arial" w:hAnsi="Arial" w:cs="Arial"/>
          <w:b/>
          <w:bCs/>
        </w:rPr>
        <w:t>Fig</w:t>
      </w:r>
      <w:r w:rsidR="00D57A7A" w:rsidRPr="00BC207A">
        <w:rPr>
          <w:rFonts w:ascii="Arial" w:hAnsi="Arial" w:cs="Arial"/>
          <w:b/>
          <w:bCs/>
        </w:rPr>
        <w:t>ure</w:t>
      </w:r>
      <w:r w:rsidRPr="00BC207A">
        <w:rPr>
          <w:rFonts w:ascii="Arial" w:hAnsi="Arial" w:cs="Arial"/>
          <w:b/>
          <w:bCs/>
        </w:rPr>
        <w:t xml:space="preserve"> S5</w:t>
      </w:r>
      <w:r w:rsidR="00BC207A">
        <w:rPr>
          <w:rFonts w:ascii="Arial" w:hAnsi="Arial" w:cs="Arial"/>
          <w:b/>
          <w:bCs/>
        </w:rPr>
        <w:t>.</w:t>
      </w:r>
      <w:r w:rsidRPr="00BC207A">
        <w:rPr>
          <w:rFonts w:ascii="Arial" w:hAnsi="Arial" w:cs="Arial"/>
          <w:b/>
          <w:bCs/>
        </w:rPr>
        <w:t xml:space="preserve"> Longitudinal association between NULISAseq targets and neurodegeneration (N). </w:t>
      </w:r>
      <w:r w:rsidR="00D57A7A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 xml:space="preserve">Scatterplots depicting the correlation between yearly longitudinal </w:t>
      </w:r>
      <w:r w:rsidR="004C0FBD">
        <w:rPr>
          <w:rFonts w:ascii="Arial" w:hAnsi="Arial" w:cs="Arial"/>
          <w:color w:val="000000" w:themeColor="text1"/>
        </w:rPr>
        <w:t xml:space="preserve">MRI-determined </w:t>
      </w:r>
      <w:r w:rsidR="004C0FBD" w:rsidRPr="00F14641">
        <w:rPr>
          <w:rFonts w:ascii="Arial" w:hAnsi="Arial" w:cs="Arial"/>
          <w:color w:val="000000" w:themeColor="text1"/>
          <w:u w:val="single"/>
        </w:rPr>
        <w:t>c</w:t>
      </w:r>
      <w:r w:rsidR="004C0FBD">
        <w:rPr>
          <w:rFonts w:ascii="Arial" w:hAnsi="Arial" w:cs="Arial"/>
          <w:color w:val="000000" w:themeColor="text1"/>
        </w:rPr>
        <w:t xml:space="preserve">ortical </w:t>
      </w:r>
      <w:r w:rsidR="004C0FBD" w:rsidRPr="00F14641">
        <w:rPr>
          <w:rFonts w:ascii="Arial" w:hAnsi="Arial" w:cs="Arial"/>
          <w:color w:val="000000" w:themeColor="text1"/>
          <w:u w:val="single"/>
        </w:rPr>
        <w:t>th</w:t>
      </w:r>
      <w:r w:rsidR="004C0FBD">
        <w:rPr>
          <w:rFonts w:ascii="Arial" w:hAnsi="Arial" w:cs="Arial"/>
          <w:color w:val="000000" w:themeColor="text1"/>
        </w:rPr>
        <w:t>ickness change</w:t>
      </w:r>
      <w:r w:rsidR="00F010BF">
        <w:rPr>
          <w:rFonts w:ascii="Arial" w:hAnsi="Arial" w:cs="Arial"/>
          <w:color w:val="000000" w:themeColor="text1"/>
        </w:rPr>
        <w:t xml:space="preserve"> (CTH</w:t>
      </w:r>
      <w:r w:rsidR="0005737C">
        <w:rPr>
          <w:rFonts w:ascii="Arial" w:hAnsi="Arial" w:cs="Arial"/>
          <w:color w:val="000000" w:themeColor="text1"/>
        </w:rPr>
        <w:t xml:space="preserve">; </w:t>
      </w:r>
      <w:r>
        <w:rPr>
          <w:rFonts w:ascii="Arial" w:hAnsi="Arial" w:cs="Arial"/>
          <w:color w:val="000000" w:themeColor="text1"/>
        </w:rPr>
        <w:t xml:space="preserve">x-axis) and baseline biomarker levels (y-axis). </w:t>
      </w:r>
      <w:r w:rsidR="00D57A7A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 xml:space="preserve">Scatterplots illustrating the correlation between yearly </w:t>
      </w:r>
      <w:r w:rsidR="00F010BF">
        <w:rPr>
          <w:rFonts w:ascii="Arial" w:hAnsi="Arial" w:cs="Arial"/>
          <w:color w:val="000000" w:themeColor="text1"/>
        </w:rPr>
        <w:t>CTH</w:t>
      </w:r>
      <w:r>
        <w:rPr>
          <w:rFonts w:ascii="Arial" w:hAnsi="Arial" w:cs="Arial"/>
          <w:color w:val="000000" w:themeColor="text1"/>
        </w:rPr>
        <w:t xml:space="preserve"> change (x-axis) and yearly biomarker level change (y-axis). All correlations were based on </w:t>
      </w:r>
      <w:r w:rsidRPr="00E330F7">
        <w:rPr>
          <w:rFonts w:ascii="Arial" w:hAnsi="Arial" w:cs="Arial"/>
          <w:color w:val="000000" w:themeColor="text1"/>
        </w:rPr>
        <w:t>Spearman's rank correlation</w:t>
      </w:r>
      <w:r>
        <w:rPr>
          <w:rFonts w:ascii="Arial" w:hAnsi="Arial" w:cs="Arial"/>
          <w:color w:val="000000" w:themeColor="text1"/>
        </w:rPr>
        <w:t>. Purple</w:t>
      </w:r>
      <w:r w:rsidRPr="00DC4C37">
        <w:rPr>
          <w:rFonts w:ascii="Arial" w:hAnsi="Arial" w:cs="Arial"/>
          <w:color w:val="000000" w:themeColor="text1"/>
        </w:rPr>
        <w:t xml:space="preserve"> lines indicated the l</w:t>
      </w:r>
      <w:r>
        <w:rPr>
          <w:rFonts w:ascii="Arial" w:hAnsi="Arial" w:cs="Arial"/>
          <w:color w:val="000000" w:themeColor="text1"/>
        </w:rPr>
        <w:t>east square</w:t>
      </w:r>
      <w:r w:rsidRPr="00DC4C37">
        <w:rPr>
          <w:rFonts w:ascii="Arial" w:hAnsi="Arial" w:cs="Arial"/>
          <w:color w:val="000000" w:themeColor="text1"/>
        </w:rPr>
        <w:t xml:space="preserve"> regression lines.</w:t>
      </w:r>
    </w:p>
    <w:sectPr w:rsidR="00823A4C" w:rsidRPr="00650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0sjQxMjY3tDQyMzVR0lEKTi0uzszPAykwrQUAOkIY1ywAAAA="/>
  </w:docVars>
  <w:rsids>
    <w:rsidRoot w:val="000134AC"/>
    <w:rsid w:val="000134AC"/>
    <w:rsid w:val="0005737C"/>
    <w:rsid w:val="0008761B"/>
    <w:rsid w:val="0009431F"/>
    <w:rsid w:val="000C37AC"/>
    <w:rsid w:val="000E3E7B"/>
    <w:rsid w:val="000E69CA"/>
    <w:rsid w:val="00140D4E"/>
    <w:rsid w:val="001459F0"/>
    <w:rsid w:val="001537E7"/>
    <w:rsid w:val="00170DB9"/>
    <w:rsid w:val="00187D74"/>
    <w:rsid w:val="00193C55"/>
    <w:rsid w:val="001A4546"/>
    <w:rsid w:val="001B5246"/>
    <w:rsid w:val="00220307"/>
    <w:rsid w:val="00240523"/>
    <w:rsid w:val="00251340"/>
    <w:rsid w:val="002529FC"/>
    <w:rsid w:val="00263BF1"/>
    <w:rsid w:val="002860B1"/>
    <w:rsid w:val="00295554"/>
    <w:rsid w:val="002A7601"/>
    <w:rsid w:val="002F5CD3"/>
    <w:rsid w:val="00354E7A"/>
    <w:rsid w:val="003B5AEE"/>
    <w:rsid w:val="003C0840"/>
    <w:rsid w:val="004934C2"/>
    <w:rsid w:val="004C0FBD"/>
    <w:rsid w:val="004D6358"/>
    <w:rsid w:val="004F2812"/>
    <w:rsid w:val="00502083"/>
    <w:rsid w:val="005271E7"/>
    <w:rsid w:val="005366E0"/>
    <w:rsid w:val="005517B0"/>
    <w:rsid w:val="005707C8"/>
    <w:rsid w:val="005A680A"/>
    <w:rsid w:val="005C4314"/>
    <w:rsid w:val="005E5148"/>
    <w:rsid w:val="005F6ACD"/>
    <w:rsid w:val="00637AE4"/>
    <w:rsid w:val="0065063E"/>
    <w:rsid w:val="006B3D4F"/>
    <w:rsid w:val="006B7C88"/>
    <w:rsid w:val="006D243D"/>
    <w:rsid w:val="006F0E7B"/>
    <w:rsid w:val="006F2058"/>
    <w:rsid w:val="007073B1"/>
    <w:rsid w:val="00746EE8"/>
    <w:rsid w:val="00755930"/>
    <w:rsid w:val="00817503"/>
    <w:rsid w:val="00823A4C"/>
    <w:rsid w:val="00863389"/>
    <w:rsid w:val="008673FF"/>
    <w:rsid w:val="008C76B3"/>
    <w:rsid w:val="008E500E"/>
    <w:rsid w:val="008E6101"/>
    <w:rsid w:val="009051C2"/>
    <w:rsid w:val="00926667"/>
    <w:rsid w:val="00967FFD"/>
    <w:rsid w:val="00974A6D"/>
    <w:rsid w:val="009A0632"/>
    <w:rsid w:val="00A35CBA"/>
    <w:rsid w:val="00A5293F"/>
    <w:rsid w:val="00A572E8"/>
    <w:rsid w:val="00A628AC"/>
    <w:rsid w:val="00AD3CCB"/>
    <w:rsid w:val="00AD3E05"/>
    <w:rsid w:val="00AE4B3A"/>
    <w:rsid w:val="00B47701"/>
    <w:rsid w:val="00B5257E"/>
    <w:rsid w:val="00B75471"/>
    <w:rsid w:val="00BA1EBA"/>
    <w:rsid w:val="00BC207A"/>
    <w:rsid w:val="00BC734A"/>
    <w:rsid w:val="00C04EBD"/>
    <w:rsid w:val="00C33F47"/>
    <w:rsid w:val="00C54B36"/>
    <w:rsid w:val="00CB5407"/>
    <w:rsid w:val="00CC6D64"/>
    <w:rsid w:val="00D42114"/>
    <w:rsid w:val="00D563A7"/>
    <w:rsid w:val="00D57A7A"/>
    <w:rsid w:val="00DA4314"/>
    <w:rsid w:val="00DC72F7"/>
    <w:rsid w:val="00DC7BE1"/>
    <w:rsid w:val="00E03470"/>
    <w:rsid w:val="00E31AE2"/>
    <w:rsid w:val="00E330F7"/>
    <w:rsid w:val="00E43AAE"/>
    <w:rsid w:val="00E47540"/>
    <w:rsid w:val="00E53136"/>
    <w:rsid w:val="00E629A5"/>
    <w:rsid w:val="00E71BD6"/>
    <w:rsid w:val="00E86E0F"/>
    <w:rsid w:val="00E96371"/>
    <w:rsid w:val="00F010BF"/>
    <w:rsid w:val="00F14641"/>
    <w:rsid w:val="00F17BA3"/>
    <w:rsid w:val="00F41587"/>
    <w:rsid w:val="00F83ADB"/>
    <w:rsid w:val="00FB5632"/>
    <w:rsid w:val="00FC7CF2"/>
    <w:rsid w:val="00FD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F0819"/>
  <w15:chartTrackingRefBased/>
  <w15:docId w15:val="{40B7C5AB-9574-46A4-91B8-D696974E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35CB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3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A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A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459</Words>
  <Characters>2839</Characters>
  <Application>Microsoft Office Word</Application>
  <DocSecurity>0</DocSecurity>
  <Lines>35</Lines>
  <Paragraphs>9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Zeng, Xuemei</dc:creator>
  <cp:keywords/>
  <dc:description/>
  <cp:lastModifiedBy>Karikari, Thomas K</cp:lastModifiedBy>
  <cp:revision>32</cp:revision>
  <dcterms:created xsi:type="dcterms:W3CDTF">2024-03-29T21:02:00Z</dcterms:created>
  <dcterms:modified xsi:type="dcterms:W3CDTF">2024-09-17T06:21:00Z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6bedf7d5-9076-43de-a3b3-a8140ad6b849</vt:lpwstr>
  </property>
  <property fmtid="{D5CDD505-2E9C-101B-9397-08002B2CF9AE}" pid="3" name="MSIP_Label_5e4b1be8-281e-475d-98b0-21c3457e5a46_Enabled">
    <vt:lpwstr>true</vt:lpwstr>
  </property>
  <property fmtid="{D5CDD505-2E9C-101B-9397-08002B2CF9AE}" pid="4" name="MSIP_Label_5e4b1be8-281e-475d-98b0-21c3457e5a46_SetDate">
    <vt:lpwstr>2024-03-28T19:58:22Z</vt:lpwstr>
  </property>
  <property fmtid="{D5CDD505-2E9C-101B-9397-08002B2CF9AE}" pid="5" name="MSIP_Label_5e4b1be8-281e-475d-98b0-21c3457e5a46_Method">
    <vt:lpwstr>Standard</vt:lpwstr>
  </property>
  <property fmtid="{D5CDD505-2E9C-101B-9397-08002B2CF9AE}" pid="6" name="MSIP_Label_5e4b1be8-281e-475d-98b0-21c3457e5a46_Name">
    <vt:lpwstr>Public</vt:lpwstr>
  </property>
  <property fmtid="{D5CDD505-2E9C-101B-9397-08002B2CF9AE}" pid="7" name="MSIP_Label_5e4b1be8-281e-475d-98b0-21c3457e5a46_SiteId">
    <vt:lpwstr>8b3dd73e-4e72-4679-b191-56da1588712b</vt:lpwstr>
  </property>
  <property fmtid="{D5CDD505-2E9C-101B-9397-08002B2CF9AE}" pid="8" name="MSIP_Label_5e4b1be8-281e-475d-98b0-21c3457e5a46_ActionId">
    <vt:lpwstr>7b7eabbe-ae1e-4aba-ab2f-3a47b043cb6d</vt:lpwstr>
  </property>
  <property fmtid="{D5CDD505-2E9C-101B-9397-08002B2CF9AE}" pid="9" name="MSIP_Label_5e4b1be8-281e-475d-98b0-21c3457e5a46_ContentBits">
    <vt:lpwstr>0</vt:lpwstr>
  </property>
</Properties>
</file>