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28569" w14:textId="175F5E31" w:rsidR="00FD7961" w:rsidRPr="006E67AE" w:rsidRDefault="006E67AE" w:rsidP="00D01D5A">
      <w:pPr>
        <w:spacing w:after="0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6E67AE">
        <w:rPr>
          <w:rFonts w:ascii="Arial" w:hAnsi="Arial" w:cs="Arial"/>
          <w:b/>
          <w:sz w:val="24"/>
          <w:szCs w:val="24"/>
          <w:u w:val="single"/>
          <w:lang w:val="en-GB"/>
        </w:rPr>
        <w:t>Supplementary figures to</w:t>
      </w:r>
    </w:p>
    <w:p w14:paraId="12539263" w14:textId="77777777" w:rsidR="006E67AE" w:rsidRDefault="006E67AE" w:rsidP="00D01D5A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</w:p>
    <w:p w14:paraId="4C73D70F" w14:textId="40289085" w:rsidR="006E67AE" w:rsidRDefault="007B2485" w:rsidP="006E67AE">
      <w:pPr>
        <w:spacing w:after="0" w:line="480" w:lineRule="auto"/>
        <w:rPr>
          <w:rFonts w:ascii="Arial" w:eastAsia="Times New Roman" w:hAnsi="Arial" w:cs="Arial"/>
          <w:b/>
          <w:color w:val="000000" w:themeColor="text1"/>
          <w:sz w:val="28"/>
          <w:szCs w:val="24"/>
          <w:lang w:val="en-GB" w:eastAsia="en-GB"/>
        </w:rPr>
      </w:pPr>
      <w:bookmarkStart w:id="0" w:name="_Hlk181269878"/>
      <w:r>
        <w:rPr>
          <w:rFonts w:ascii="Arial" w:eastAsia="Times New Roman" w:hAnsi="Arial" w:cs="Arial"/>
          <w:b/>
          <w:color w:val="000000" w:themeColor="text1"/>
          <w:sz w:val="28"/>
          <w:szCs w:val="24"/>
          <w:lang w:val="en-GB" w:eastAsia="en-GB"/>
        </w:rPr>
        <w:t>Early intervention a</w:t>
      </w:r>
      <w:r w:rsidR="006E67AE">
        <w:rPr>
          <w:rFonts w:ascii="Arial" w:eastAsia="Times New Roman" w:hAnsi="Arial" w:cs="Arial"/>
          <w:b/>
          <w:color w:val="000000" w:themeColor="text1"/>
          <w:sz w:val="28"/>
          <w:szCs w:val="24"/>
          <w:lang w:val="en-GB" w:eastAsia="en-GB"/>
        </w:rPr>
        <w:t>nti-A</w:t>
      </w:r>
      <w:r w:rsidR="006E67AE">
        <w:rPr>
          <w:rFonts w:ascii="Arial" w:eastAsia="Times New Roman" w:hAnsi="Arial" w:cs="Arial"/>
          <w:b/>
          <w:color w:val="000000" w:themeColor="text1"/>
          <w:sz w:val="28"/>
          <w:szCs w:val="24"/>
          <w:lang w:val="en-GB" w:eastAsia="en-GB"/>
        </w:rPr>
        <w:sym w:font="Symbol" w:char="F062"/>
      </w:r>
      <w:r w:rsidR="006E67AE">
        <w:rPr>
          <w:rFonts w:ascii="Arial" w:eastAsia="Times New Roman" w:hAnsi="Arial" w:cs="Arial"/>
          <w:b/>
          <w:color w:val="000000" w:themeColor="text1"/>
          <w:sz w:val="28"/>
          <w:szCs w:val="24"/>
          <w:lang w:val="en-GB" w:eastAsia="en-GB"/>
        </w:rPr>
        <w:t xml:space="preserve"> immunotherapy attenuates microglial activation without inducing exhaustion at residual plaques</w:t>
      </w:r>
    </w:p>
    <w:p w14:paraId="130E41C7" w14:textId="489FDEFE" w:rsidR="006E67AE" w:rsidRDefault="006E67AE" w:rsidP="006E67AE">
      <w:pPr>
        <w:spacing w:before="100" w:beforeAutospacing="1" w:after="100" w:afterAutospacing="1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Lis de Weerd</w:t>
      </w:r>
      <w:proofErr w:type="gramStart"/>
      <w:r>
        <w:rPr>
          <w:rFonts w:ascii="Arial" w:hAnsi="Arial" w:cs="Arial"/>
          <w:sz w:val="24"/>
          <w:szCs w:val="24"/>
          <w:vertAlign w:val="superscript"/>
          <w:lang w:val="en-GB"/>
        </w:rPr>
        <w:t>1,#</w:t>
      </w:r>
      <w:proofErr w:type="gramEnd"/>
      <w:r>
        <w:rPr>
          <w:rFonts w:ascii="Arial" w:hAnsi="Arial" w:cs="Arial"/>
          <w:sz w:val="24"/>
          <w:szCs w:val="24"/>
          <w:lang w:val="en-GB"/>
        </w:rPr>
        <w:t>, Selina Hummel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2</w:t>
      </w:r>
      <w:r>
        <w:rPr>
          <w:rFonts w:ascii="Arial" w:hAnsi="Arial" w:cs="Arial"/>
          <w:sz w:val="24"/>
          <w:szCs w:val="24"/>
          <w:lang w:val="en-GB"/>
        </w:rPr>
        <w:t>, Stephan A. Müller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1,7</w:t>
      </w:r>
      <w:r>
        <w:rPr>
          <w:rFonts w:ascii="Arial" w:hAnsi="Arial" w:cs="Arial"/>
          <w:sz w:val="24"/>
          <w:szCs w:val="24"/>
          <w:lang w:val="en-GB"/>
        </w:rPr>
        <w:t>, Iñaki Paris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1,§</w:t>
      </w:r>
      <w:r>
        <w:rPr>
          <w:rFonts w:ascii="Arial" w:hAnsi="Arial" w:cs="Arial"/>
          <w:sz w:val="24"/>
          <w:szCs w:val="24"/>
          <w:lang w:val="en-GB"/>
        </w:rPr>
        <w:t>, Thomas Sandmann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>
        <w:rPr>
          <w:rFonts w:ascii="Arial" w:hAnsi="Arial" w:cs="Arial"/>
          <w:sz w:val="24"/>
          <w:szCs w:val="24"/>
          <w:lang w:val="en-GB"/>
        </w:rPr>
        <w:t xml:space="preserve">, 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>Marie Eichholtz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6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, </w:t>
      </w:r>
      <w:r>
        <w:rPr>
          <w:rFonts w:ascii="Arial" w:hAnsi="Arial" w:cs="Arial"/>
          <w:sz w:val="24"/>
          <w:szCs w:val="24"/>
          <w:lang w:val="en-GB"/>
        </w:rPr>
        <w:t>Robin Gröger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2</w:t>
      </w:r>
      <w:r>
        <w:rPr>
          <w:rFonts w:ascii="Arial" w:hAnsi="Arial" w:cs="Arial"/>
          <w:sz w:val="24"/>
          <w:szCs w:val="24"/>
          <w:lang w:val="en-GB"/>
        </w:rPr>
        <w:t xml:space="preserve">, Amelie </w:t>
      </w:r>
      <w:r w:rsidR="007B2485">
        <w:rPr>
          <w:rFonts w:ascii="Arial" w:hAnsi="Arial" w:cs="Arial"/>
          <w:sz w:val="24"/>
          <w:szCs w:val="24"/>
          <w:lang w:val="en-GB"/>
        </w:rPr>
        <w:t xml:space="preserve">L. </w:t>
      </w:r>
      <w:r>
        <w:rPr>
          <w:rFonts w:ascii="Arial" w:hAnsi="Arial" w:cs="Arial"/>
          <w:sz w:val="24"/>
          <w:szCs w:val="24"/>
          <w:lang w:val="en-GB"/>
        </w:rPr>
        <w:t>Englert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2</w:t>
      </w:r>
      <w:r>
        <w:rPr>
          <w:rFonts w:ascii="Arial" w:hAnsi="Arial" w:cs="Arial"/>
          <w:sz w:val="24"/>
          <w:szCs w:val="24"/>
          <w:lang w:val="en-GB"/>
        </w:rPr>
        <w:t>, Stephan Wagner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2</w:t>
      </w:r>
      <w:r>
        <w:rPr>
          <w:rFonts w:ascii="Arial" w:hAnsi="Arial" w:cs="Arial"/>
          <w:sz w:val="24"/>
          <w:szCs w:val="24"/>
          <w:lang w:val="en-GB"/>
        </w:rPr>
        <w:t>, Connie Ha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>
        <w:rPr>
          <w:rFonts w:ascii="Arial" w:hAnsi="Arial" w:cs="Arial"/>
          <w:sz w:val="24"/>
          <w:szCs w:val="24"/>
          <w:lang w:val="en-GB"/>
        </w:rPr>
        <w:t>, Sonnet S. Davis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>
        <w:rPr>
          <w:rFonts w:ascii="Arial" w:hAnsi="Arial" w:cs="Arial"/>
          <w:sz w:val="24"/>
          <w:szCs w:val="24"/>
          <w:lang w:val="en-GB"/>
        </w:rPr>
        <w:t>, Valerie Warkins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Dan Xia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>
        <w:rPr>
          <w:rFonts w:ascii="Arial" w:hAnsi="Arial" w:cs="Arial"/>
          <w:sz w:val="24"/>
          <w:szCs w:val="24"/>
          <w:lang w:val="en-GB"/>
        </w:rPr>
        <w:t>, Brigitte Nuscher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4</w:t>
      </w:r>
      <w:r>
        <w:rPr>
          <w:rFonts w:ascii="Arial" w:hAnsi="Arial" w:cs="Arial"/>
          <w:sz w:val="24"/>
          <w:szCs w:val="24"/>
          <w:lang w:val="en-GB"/>
        </w:rPr>
        <w:t xml:space="preserve">, 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>Anna Berghofer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>, Marvin Reich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1,</w:t>
      </w:r>
      <w:r>
        <w:rPr>
          <w:rFonts w:ascii="Roboto" w:hAnsi="Roboto" w:cs="Arial"/>
          <w:color w:val="000000" w:themeColor="text1"/>
          <w:sz w:val="24"/>
          <w:szCs w:val="24"/>
          <w:vertAlign w:val="superscript"/>
          <w:lang w:val="en-GB"/>
        </w:rPr>
        <w:t>†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>, Astrid</w:t>
      </w:r>
      <w:r w:rsidR="00F83FB0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F.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Feiten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4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>, Kai Schlepckow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>, Michael Willem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4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, </w:t>
      </w:r>
      <w:r>
        <w:rPr>
          <w:rFonts w:ascii="Arial" w:hAnsi="Arial" w:cs="Arial"/>
          <w:sz w:val="24"/>
          <w:szCs w:val="24"/>
          <w:lang w:val="en-GB"/>
        </w:rPr>
        <w:t>Stefan F. Lichtenthaler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1,5,7</w:t>
      </w:r>
      <w:r>
        <w:rPr>
          <w:rFonts w:ascii="Arial" w:hAnsi="Arial" w:cs="Arial"/>
          <w:sz w:val="24"/>
          <w:szCs w:val="24"/>
          <w:lang w:val="en-GB"/>
        </w:rPr>
        <w:t>, Joseph W. Lewcock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>
        <w:rPr>
          <w:rFonts w:ascii="Arial" w:hAnsi="Arial" w:cs="Arial"/>
          <w:sz w:val="24"/>
          <w:szCs w:val="24"/>
          <w:lang w:val="en-GB"/>
        </w:rPr>
        <w:t>, Kathryn M. Monroe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>
        <w:rPr>
          <w:rFonts w:ascii="Arial" w:hAnsi="Arial" w:cs="Arial"/>
          <w:sz w:val="24"/>
          <w:szCs w:val="24"/>
          <w:lang w:val="en-GB"/>
        </w:rPr>
        <w:t>, Matthias Brendel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1,2,5</w:t>
      </w:r>
      <w:r>
        <w:rPr>
          <w:rFonts w:ascii="Arial" w:hAnsi="Arial" w:cs="Arial"/>
          <w:sz w:val="24"/>
          <w:szCs w:val="24"/>
          <w:lang w:val="en-GB"/>
        </w:rPr>
        <w:t>, Christian Haass</w:t>
      </w:r>
      <w:r>
        <w:rPr>
          <w:rFonts w:ascii="Arial" w:hAnsi="Arial" w:cs="Arial"/>
          <w:sz w:val="24"/>
          <w:szCs w:val="24"/>
          <w:vertAlign w:val="superscript"/>
          <w:lang w:val="en-GB"/>
        </w:rPr>
        <w:t>1,4,5,#</w:t>
      </w:r>
    </w:p>
    <w:p w14:paraId="24FE3547" w14:textId="77777777" w:rsidR="006E67AE" w:rsidRDefault="006E67AE" w:rsidP="006E67AE">
      <w:pPr>
        <w:spacing w:after="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vertAlign w:val="superscript"/>
          <w:lang w:val="en-GB"/>
        </w:rPr>
        <w:t xml:space="preserve">1 </w:t>
      </w:r>
      <w:r>
        <w:rPr>
          <w:rFonts w:ascii="Arial" w:hAnsi="Arial" w:cs="Arial"/>
          <w:sz w:val="24"/>
          <w:szCs w:val="24"/>
          <w:lang w:val="en-GB"/>
        </w:rPr>
        <w:t>German Center for Neurodegenerative Diseases (DZNE), Munich, Germany.</w:t>
      </w:r>
    </w:p>
    <w:p w14:paraId="474EB14B" w14:textId="77777777" w:rsidR="006E67AE" w:rsidRDefault="006E67AE" w:rsidP="006E67AE">
      <w:pPr>
        <w:spacing w:after="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vertAlign w:val="superscript"/>
          <w:lang w:val="en-GB"/>
        </w:rPr>
        <w:t xml:space="preserve">2 </w:t>
      </w:r>
      <w:r>
        <w:rPr>
          <w:rFonts w:ascii="Arial" w:hAnsi="Arial" w:cs="Arial"/>
          <w:sz w:val="24"/>
          <w:szCs w:val="24"/>
          <w:lang w:val="en-GB"/>
        </w:rPr>
        <w:t>Department of Nuclear Medicine, University Hospital of Munich, Ludwig Maximilians University, Munich, Germany.</w:t>
      </w:r>
    </w:p>
    <w:p w14:paraId="30F4758B" w14:textId="77777777" w:rsidR="006E67AE" w:rsidRDefault="006E67AE" w:rsidP="006E67AE">
      <w:pPr>
        <w:spacing w:after="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vertAlign w:val="superscript"/>
          <w:lang w:val="en-GB"/>
        </w:rPr>
        <w:t xml:space="preserve">3 </w:t>
      </w:r>
      <w:r>
        <w:rPr>
          <w:rFonts w:ascii="Arial" w:hAnsi="Arial" w:cs="Arial"/>
          <w:sz w:val="24"/>
          <w:szCs w:val="24"/>
          <w:lang w:val="en-GB"/>
        </w:rPr>
        <w:t>Denali Therapeutics, Inc., South San Francisco, USA.</w:t>
      </w:r>
    </w:p>
    <w:p w14:paraId="2D4E3388" w14:textId="77777777" w:rsidR="006E67AE" w:rsidRDefault="006E67AE" w:rsidP="006E67AE">
      <w:pPr>
        <w:spacing w:after="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vertAlign w:val="superscript"/>
          <w:lang w:val="en-GB"/>
        </w:rPr>
        <w:t xml:space="preserve">4 </w:t>
      </w:r>
      <w:r>
        <w:rPr>
          <w:rFonts w:ascii="Arial" w:hAnsi="Arial" w:cs="Arial"/>
          <w:sz w:val="24"/>
          <w:szCs w:val="24"/>
          <w:lang w:val="en-GB"/>
        </w:rPr>
        <w:t>Metabolic Biochemistry, Biomedical Center, Faculty of Medicine, Ludwig-Maximilians Universität (LMU), Munich, Germany.</w:t>
      </w:r>
    </w:p>
    <w:p w14:paraId="2C1BC0AC" w14:textId="77777777" w:rsidR="006E67AE" w:rsidRDefault="006E67AE" w:rsidP="006E67AE">
      <w:pPr>
        <w:spacing w:after="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vertAlign w:val="superscript"/>
          <w:lang w:val="en-GB"/>
        </w:rPr>
        <w:t xml:space="preserve">5 </w:t>
      </w:r>
      <w:r>
        <w:rPr>
          <w:rFonts w:ascii="Arial" w:hAnsi="Arial" w:cs="Arial"/>
          <w:sz w:val="24"/>
          <w:szCs w:val="24"/>
          <w:lang w:val="en-GB"/>
        </w:rPr>
        <w:t>Munich Cluster for Systems Neurology (SyNergy), Munich, Germany.</w:t>
      </w:r>
    </w:p>
    <w:p w14:paraId="3FBB5F46" w14:textId="77777777" w:rsidR="006E67AE" w:rsidRDefault="006E67AE" w:rsidP="006E67AE">
      <w:pPr>
        <w:spacing w:after="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vertAlign w:val="superscript"/>
          <w:lang w:val="en-GB"/>
        </w:rPr>
        <w:t xml:space="preserve">6 </w:t>
      </w:r>
      <w:r>
        <w:rPr>
          <w:rFonts w:ascii="Arial" w:hAnsi="Arial" w:cs="Arial"/>
          <w:sz w:val="24"/>
          <w:szCs w:val="24"/>
          <w:lang w:val="en-GB"/>
        </w:rPr>
        <w:t>Biochemistry Master’s Program, Gene Center Munichs, Ludwig-Maximilians University (LMU), Munich, Germany.</w:t>
      </w:r>
    </w:p>
    <w:p w14:paraId="1242E3A3" w14:textId="77777777" w:rsidR="006E67AE" w:rsidRDefault="006E67AE" w:rsidP="006E67AE">
      <w:pPr>
        <w:spacing w:after="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vertAlign w:val="superscript"/>
          <w:lang w:val="en-GB"/>
        </w:rPr>
        <w:t>7</w:t>
      </w:r>
      <w:r>
        <w:rPr>
          <w:rFonts w:ascii="Arial" w:hAnsi="Arial" w:cs="Arial"/>
          <w:sz w:val="24"/>
          <w:szCs w:val="24"/>
          <w:lang w:val="en-GB"/>
        </w:rPr>
        <w:t xml:space="preserve"> Neuroproteomics, School of Medicine and Health, Klinikum Rechts der Isar, Technical University of Munich (TUM), Munich, Germany.</w:t>
      </w:r>
      <w:bookmarkEnd w:id="0"/>
      <w:r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24D28567" w14:textId="662A38A0" w:rsidR="006E67AE" w:rsidRDefault="006E67AE" w:rsidP="00D01D5A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</w:p>
    <w:p w14:paraId="1C7BD0B6" w14:textId="5E2EF351" w:rsidR="007B2485" w:rsidRPr="003E6A9A" w:rsidRDefault="007B2485" w:rsidP="007B2485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3E6A9A">
        <w:rPr>
          <w:rFonts w:ascii="Roboto" w:hAnsi="Roboto" w:cs="Arial"/>
          <w:sz w:val="24"/>
          <w:szCs w:val="24"/>
          <w:vertAlign w:val="superscript"/>
          <w:lang w:val="en-GB"/>
        </w:rPr>
        <w:t>†</w:t>
      </w:r>
      <w:r w:rsidRPr="003E6A9A">
        <w:rPr>
          <w:rFonts w:ascii="Arial" w:hAnsi="Arial" w:cs="Arial"/>
          <w:sz w:val="24"/>
          <w:szCs w:val="24"/>
          <w:vertAlign w:val="superscript"/>
          <w:lang w:val="en-GB"/>
        </w:rPr>
        <w:t xml:space="preserve"> </w:t>
      </w:r>
      <w:r w:rsidRPr="003E6A9A">
        <w:rPr>
          <w:rFonts w:ascii="Arial" w:hAnsi="Arial" w:cs="Arial"/>
          <w:sz w:val="24"/>
          <w:szCs w:val="24"/>
          <w:lang w:val="en-GB"/>
        </w:rPr>
        <w:t>Current address: Department of Neurology and Neurological Sciences, Stanford University School of Medicine, Stanford University, Stanford, CA, USA</w:t>
      </w:r>
    </w:p>
    <w:p w14:paraId="550296C8" w14:textId="77777777" w:rsidR="007B2485" w:rsidRPr="003E6A9A" w:rsidRDefault="007B2485" w:rsidP="007B2485">
      <w:pPr>
        <w:tabs>
          <w:tab w:val="left" w:pos="3660"/>
        </w:tabs>
        <w:spacing w:after="0"/>
        <w:rPr>
          <w:rFonts w:ascii="Arial" w:hAnsi="Arial" w:cs="Arial"/>
          <w:sz w:val="24"/>
          <w:szCs w:val="24"/>
          <w:lang w:val="en-GB"/>
        </w:rPr>
      </w:pPr>
      <w:r w:rsidRPr="003E6A9A">
        <w:rPr>
          <w:rFonts w:ascii="Arial" w:hAnsi="Arial" w:cs="Arial"/>
          <w:sz w:val="24"/>
          <w:szCs w:val="24"/>
          <w:lang w:val="en-GB"/>
        </w:rPr>
        <w:tab/>
      </w:r>
    </w:p>
    <w:p w14:paraId="5F5F4721" w14:textId="77777777" w:rsidR="007B2485" w:rsidRPr="003E6A9A" w:rsidRDefault="007B2485" w:rsidP="007B2485">
      <w:pPr>
        <w:rPr>
          <w:rFonts w:ascii="Arial" w:hAnsi="Arial" w:cs="Arial"/>
          <w:sz w:val="24"/>
          <w:szCs w:val="24"/>
          <w:lang w:val="en-GB"/>
        </w:rPr>
      </w:pPr>
      <w:r w:rsidRPr="003E6A9A">
        <w:rPr>
          <w:rFonts w:ascii="Arial" w:hAnsi="Arial" w:cs="Arial"/>
          <w:sz w:val="24"/>
          <w:szCs w:val="24"/>
          <w:vertAlign w:val="superscript"/>
          <w:lang w:val="en-GB"/>
        </w:rPr>
        <w:t>#</w:t>
      </w:r>
      <w:r w:rsidRPr="003E6A9A">
        <w:rPr>
          <w:rFonts w:ascii="Arial" w:hAnsi="Arial" w:cs="Arial"/>
          <w:sz w:val="24"/>
          <w:szCs w:val="24"/>
          <w:lang w:val="en-GB"/>
        </w:rPr>
        <w:t xml:space="preserve"> Corresponding authors: </w:t>
      </w:r>
    </w:p>
    <w:p w14:paraId="06718971" w14:textId="77C05AD2" w:rsidR="007B2485" w:rsidRPr="003E6A9A" w:rsidRDefault="007B2485" w:rsidP="007B2485">
      <w:pPr>
        <w:rPr>
          <w:rFonts w:ascii="Arial" w:hAnsi="Arial" w:cs="Arial"/>
          <w:sz w:val="24"/>
          <w:szCs w:val="24"/>
          <w:lang w:val="en-GB"/>
        </w:rPr>
      </w:pPr>
      <w:r w:rsidRPr="003E6A9A">
        <w:rPr>
          <w:rFonts w:ascii="Arial" w:hAnsi="Arial" w:cs="Arial"/>
          <w:sz w:val="24"/>
          <w:szCs w:val="24"/>
          <w:lang w:val="en-GB"/>
        </w:rPr>
        <w:t>Christian Haass, PhD</w:t>
      </w:r>
      <w:r w:rsidRPr="003E6A9A">
        <w:rPr>
          <w:rFonts w:ascii="Arial" w:hAnsi="Arial" w:cs="Arial"/>
          <w:sz w:val="24"/>
          <w:szCs w:val="24"/>
          <w:lang w:val="en-GB"/>
        </w:rPr>
        <w:br/>
        <w:t xml:space="preserve">Email: </w:t>
      </w:r>
      <w:hyperlink r:id="rId5" w:history="1">
        <w:r w:rsidR="00437970" w:rsidRPr="00C91C29">
          <w:rPr>
            <w:rStyle w:val="Hyperlink"/>
            <w:rFonts w:ascii="Arial" w:hAnsi="Arial" w:cs="Arial"/>
            <w:sz w:val="24"/>
            <w:szCs w:val="24"/>
            <w:lang w:val="en-GB"/>
          </w:rPr>
          <w:t>christian.haass@mail03.med.uni-muenchen.de</w:t>
        </w:r>
      </w:hyperlink>
    </w:p>
    <w:p w14:paraId="4CB25791" w14:textId="77777777" w:rsidR="007B2485" w:rsidRPr="003E6A9A" w:rsidRDefault="007B2485" w:rsidP="007B2485">
      <w:pPr>
        <w:rPr>
          <w:rFonts w:ascii="Arial" w:hAnsi="Arial" w:cs="Arial"/>
          <w:sz w:val="24"/>
          <w:szCs w:val="24"/>
          <w:lang w:val="nl-NL"/>
        </w:rPr>
      </w:pPr>
      <w:r w:rsidRPr="003E6A9A">
        <w:rPr>
          <w:rFonts w:ascii="Arial" w:hAnsi="Arial" w:cs="Arial"/>
          <w:sz w:val="24"/>
          <w:szCs w:val="24"/>
          <w:lang w:val="nl-NL"/>
        </w:rPr>
        <w:t>Lis de Weerd</w:t>
      </w:r>
      <w:r w:rsidRPr="003E6A9A">
        <w:rPr>
          <w:rFonts w:ascii="Arial" w:hAnsi="Arial" w:cs="Arial"/>
          <w:sz w:val="24"/>
          <w:szCs w:val="24"/>
          <w:lang w:val="nl-NL"/>
        </w:rPr>
        <w:br/>
        <w:t xml:space="preserve">Email: </w:t>
      </w:r>
      <w:hyperlink r:id="rId6" w:history="1">
        <w:r w:rsidRPr="003E6A9A">
          <w:rPr>
            <w:rStyle w:val="Hyperlink"/>
            <w:rFonts w:ascii="Arial" w:hAnsi="Arial" w:cs="Arial"/>
            <w:sz w:val="24"/>
            <w:szCs w:val="24"/>
            <w:lang w:val="nl-NL"/>
          </w:rPr>
          <w:t>lis.deweerd@dzne.de</w:t>
        </w:r>
      </w:hyperlink>
    </w:p>
    <w:p w14:paraId="7CCB40A4" w14:textId="77777777" w:rsidR="007B2485" w:rsidRDefault="007B2485" w:rsidP="00D01D5A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</w:p>
    <w:p w14:paraId="35878E5D" w14:textId="4C64E2E4" w:rsidR="00D01D5A" w:rsidRPr="005A3F02" w:rsidRDefault="00D01D5A" w:rsidP="00D01D5A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 w:rsidRPr="005A3F02">
        <w:rPr>
          <w:rFonts w:ascii="Arial" w:hAnsi="Arial" w:cs="Arial"/>
          <w:b/>
          <w:sz w:val="24"/>
          <w:szCs w:val="24"/>
          <w:lang w:val="en-GB"/>
        </w:rPr>
        <w:br w:type="page"/>
      </w:r>
    </w:p>
    <w:p w14:paraId="227BE814" w14:textId="77777777" w:rsidR="00437970" w:rsidRDefault="00437970" w:rsidP="00467246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02B405B3" wp14:editId="44F7D222">
            <wp:extent cx="5731510" cy="758571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82507" w14:textId="77777777" w:rsidR="00437970" w:rsidRDefault="00437970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br w:type="page"/>
      </w:r>
    </w:p>
    <w:p w14:paraId="5FC45621" w14:textId="43E1640C" w:rsidR="00467246" w:rsidRPr="006C3137" w:rsidRDefault="00467246" w:rsidP="00467246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 w:rsidRPr="006C3137">
        <w:rPr>
          <w:rFonts w:ascii="Arial" w:hAnsi="Arial" w:cs="Arial"/>
          <w:b/>
          <w:sz w:val="24"/>
          <w:szCs w:val="24"/>
          <w:lang w:val="en-GB"/>
        </w:rPr>
        <w:lastRenderedPageBreak/>
        <w:t>Figure S1:</w:t>
      </w:r>
      <w:bookmarkStart w:id="1" w:name="_Hlk200636139"/>
      <w:r w:rsidRPr="006C3137">
        <w:rPr>
          <w:rFonts w:ascii="Arial" w:hAnsi="Arial" w:cs="Arial"/>
          <w:b/>
          <w:sz w:val="24"/>
          <w:szCs w:val="24"/>
          <w:lang w:val="en-GB"/>
        </w:rPr>
        <w:t xml:space="preserve"> Progression of amyloid pathology in the APP-SAA mouse model</w:t>
      </w:r>
    </w:p>
    <w:p w14:paraId="72E1027B" w14:textId="1C263690" w:rsidR="00FC3C0D" w:rsidRPr="005A3F02" w:rsidRDefault="00467246" w:rsidP="00FC3C0D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6C3137">
        <w:rPr>
          <w:rFonts w:ascii="Arial" w:hAnsi="Arial" w:cs="Arial"/>
          <w:sz w:val="24"/>
          <w:szCs w:val="24"/>
          <w:lang w:val="en-GB"/>
        </w:rPr>
        <w:t>(</w:t>
      </w:r>
      <w:r w:rsidRPr="006C3137">
        <w:rPr>
          <w:rFonts w:ascii="Arial" w:hAnsi="Arial" w:cs="Arial"/>
          <w:b/>
          <w:sz w:val="24"/>
          <w:szCs w:val="24"/>
          <w:lang w:val="en-GB"/>
        </w:rPr>
        <w:t>A</w:t>
      </w:r>
      <w:r w:rsidRPr="006C3137">
        <w:rPr>
          <w:rFonts w:ascii="Arial" w:hAnsi="Arial" w:cs="Arial"/>
          <w:sz w:val="24"/>
          <w:szCs w:val="24"/>
          <w:lang w:val="en-GB"/>
        </w:rPr>
        <w:t>) Representative immunofluorescent images of sagittal cortical sections showing Aβ (cyan), thiazine (purple), and Lamp1 (orange) and (</w:t>
      </w:r>
      <w:r w:rsidRPr="006C3137">
        <w:rPr>
          <w:rFonts w:ascii="Arial" w:hAnsi="Arial" w:cs="Arial"/>
          <w:b/>
          <w:sz w:val="24"/>
          <w:szCs w:val="24"/>
          <w:lang w:val="en-GB"/>
        </w:rPr>
        <w:t>B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) quantification of percent cortical thiazine area, plaque count and size, and percent cortical Lamp1 area. </w:t>
      </w:r>
      <w:bookmarkEnd w:id="1"/>
      <w:r w:rsidRPr="006C3137">
        <w:rPr>
          <w:rFonts w:ascii="Arial" w:hAnsi="Arial" w:cs="Arial"/>
          <w:sz w:val="24"/>
          <w:szCs w:val="24"/>
          <w:lang w:val="en-GB"/>
        </w:rPr>
        <w:t>(</w:t>
      </w:r>
      <w:r w:rsidRPr="006C3137">
        <w:rPr>
          <w:rFonts w:ascii="Arial" w:hAnsi="Arial" w:cs="Arial"/>
          <w:b/>
          <w:sz w:val="24"/>
          <w:szCs w:val="24"/>
          <w:lang w:val="en-GB"/>
        </w:rPr>
        <w:t>C</w:t>
      </w:r>
      <w:r w:rsidRPr="006C3137">
        <w:rPr>
          <w:rFonts w:ascii="Arial" w:hAnsi="Arial" w:cs="Arial"/>
          <w:sz w:val="24"/>
          <w:szCs w:val="24"/>
          <w:lang w:val="en-GB"/>
        </w:rPr>
        <w:t>) Representative immunofluorescent images of sagittal cortical sections showing Iba1 (cyan), thiazine (purple) and Trem2 (orange) and (</w:t>
      </w:r>
      <w:r w:rsidRPr="006C3137">
        <w:rPr>
          <w:rFonts w:ascii="Arial" w:hAnsi="Arial" w:cs="Arial"/>
          <w:b/>
          <w:sz w:val="24"/>
          <w:szCs w:val="24"/>
          <w:lang w:val="en-GB"/>
        </w:rPr>
        <w:t>D</w:t>
      </w:r>
      <w:r w:rsidRPr="006C3137">
        <w:rPr>
          <w:rFonts w:ascii="Arial" w:hAnsi="Arial" w:cs="Arial"/>
          <w:sz w:val="24"/>
          <w:szCs w:val="24"/>
          <w:lang w:val="en-GB"/>
        </w:rPr>
        <w:t>) quantification of percent cortical area of Iba1, thiazine and Trem2.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E</w:t>
      </w:r>
      <w:r w:rsidRPr="006C3137">
        <w:rPr>
          <w:rFonts w:ascii="Arial" w:hAnsi="Arial" w:cs="Arial"/>
          <w:sz w:val="24"/>
          <w:szCs w:val="24"/>
          <w:lang w:val="en-GB"/>
        </w:rPr>
        <w:t>) ELISA quantification of Trem2 in DEA and RIPA brain lysate.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F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) Representative immunofluorescent images showing Aβ (orange), thiazine (purple), and Iba1 (cyan), and microglia clustering around </w:t>
      </w:r>
      <w:r w:rsidR="009E7D71">
        <w:rPr>
          <w:rFonts w:ascii="Arial" w:hAnsi="Arial" w:cs="Arial"/>
          <w:sz w:val="24"/>
          <w:szCs w:val="24"/>
          <w:lang w:val="en-GB"/>
        </w:rPr>
        <w:t>diffuse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Aβ plaques at 3 months and a comparison to dense plaques at 12 months.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G</w:t>
      </w:r>
      <w:r w:rsidRPr="006C3137">
        <w:rPr>
          <w:rFonts w:ascii="Arial" w:hAnsi="Arial" w:cs="Arial"/>
          <w:sz w:val="24"/>
          <w:szCs w:val="24"/>
          <w:lang w:val="en-GB"/>
        </w:rPr>
        <w:t>) Aβ-triplex ELISA quantification of DEA- and FA-extracted Aβ.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H</w:t>
      </w:r>
      <w:r w:rsidRPr="006C3137">
        <w:rPr>
          <w:rFonts w:ascii="Arial" w:hAnsi="Arial" w:cs="Arial"/>
          <w:sz w:val="24"/>
          <w:szCs w:val="24"/>
          <w:lang w:val="en-GB"/>
        </w:rPr>
        <w:t>) Western blot of DEA and FA fractions for Aβ (antibody 2D8). (</w:t>
      </w:r>
      <w:r w:rsidR="009E7D71">
        <w:rPr>
          <w:rFonts w:ascii="Arial" w:hAnsi="Arial" w:cs="Arial"/>
          <w:b/>
          <w:sz w:val="24"/>
          <w:szCs w:val="24"/>
          <w:lang w:val="en-GB"/>
        </w:rPr>
        <w:t>I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) Schematic of the human APP protein with Swedish, Arctic, and Austrian mutations and anti-Aβ (Aducanumab) binding site indicated. </w:t>
      </w:r>
      <w:bookmarkStart w:id="2" w:name="_Hlk200636271"/>
      <w:r w:rsidRPr="006C3137">
        <w:rPr>
          <w:rFonts w:ascii="Arial" w:hAnsi="Arial" w:cs="Arial"/>
          <w:sz w:val="24"/>
          <w:szCs w:val="24"/>
          <w:lang w:val="en-GB"/>
        </w:rPr>
        <w:t xml:space="preserve">*: P &lt; 0.05; **: P &lt; 0.01; ***: P &lt; 0.001. One-way ANOVA with Tukey’s post hoc test </w:t>
      </w:r>
      <w:bookmarkEnd w:id="2"/>
      <w:r w:rsidRPr="006C3137">
        <w:rPr>
          <w:rFonts w:ascii="Arial" w:hAnsi="Arial" w:cs="Arial"/>
          <w:sz w:val="24"/>
          <w:szCs w:val="24"/>
          <w:lang w:val="en-GB"/>
        </w:rPr>
        <w:t xml:space="preserve">(B, D). Two-way ANOVA with Tukey’s post hoc test (G). Schematic (F) was created with BioRender.com. For (B): </w:t>
      </w:r>
      <w:bookmarkStart w:id="3" w:name="_Hlk200636241"/>
      <w:r w:rsidRPr="006C3137">
        <w:rPr>
          <w:rFonts w:ascii="Arial" w:hAnsi="Arial" w:cs="Arial"/>
          <w:sz w:val="24"/>
          <w:szCs w:val="24"/>
          <w:lang w:val="en-GB"/>
        </w:rPr>
        <w:t xml:space="preserve">3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2 f, 3 m, 6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m, 12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2 f, 2 m.</w:t>
      </w:r>
      <w:bookmarkEnd w:id="3"/>
      <w:r w:rsidRPr="006C3137">
        <w:rPr>
          <w:rFonts w:ascii="Arial" w:hAnsi="Arial" w:cs="Arial"/>
          <w:sz w:val="24"/>
          <w:szCs w:val="24"/>
          <w:lang w:val="en-GB"/>
        </w:rPr>
        <w:t xml:space="preserve"> For (D): 3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2 f, 3 m, 6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m, 12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2 f, 3 m. For (E, G): 3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3 m, 6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9 m, 12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f, 3 m.</w:t>
      </w:r>
    </w:p>
    <w:p w14:paraId="5F364AF9" w14:textId="67DF6A57" w:rsidR="00437970" w:rsidRDefault="00437970">
      <w:pPr>
        <w:rPr>
          <w:rFonts w:ascii="Arial" w:hAnsi="Arial" w:cs="Arial"/>
          <w:noProof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  <w:lang w:val="en-GB"/>
        </w:rPr>
        <w:br w:type="page"/>
      </w:r>
    </w:p>
    <w:p w14:paraId="00FF72C9" w14:textId="7CF86629" w:rsidR="00FC3C0D" w:rsidRPr="005A3F02" w:rsidRDefault="00437970" w:rsidP="00FC3C0D">
      <w:pPr>
        <w:spacing w:after="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  <w:lang w:val="en-GB"/>
        </w:rPr>
        <w:lastRenderedPageBreak/>
        <w:drawing>
          <wp:inline distT="0" distB="0" distL="0" distR="0" wp14:anchorId="60741AE5" wp14:editId="4CCBE408">
            <wp:extent cx="5731510" cy="758571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FE8B5" w14:textId="77777777" w:rsidR="0047146D" w:rsidRDefault="0047146D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br w:type="page"/>
      </w:r>
    </w:p>
    <w:p w14:paraId="7C19C919" w14:textId="759CCFBA" w:rsidR="00467246" w:rsidRPr="006C3137" w:rsidRDefault="00467246" w:rsidP="00467246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6C3137">
        <w:rPr>
          <w:rFonts w:ascii="Arial" w:hAnsi="Arial" w:cs="Arial"/>
          <w:b/>
          <w:sz w:val="24"/>
          <w:szCs w:val="24"/>
          <w:lang w:val="en-GB"/>
        </w:rPr>
        <w:lastRenderedPageBreak/>
        <w:t xml:space="preserve">Figure S2: Chronic </w:t>
      </w:r>
      <w:r w:rsidRPr="006C3137">
        <w:rPr>
          <w:rFonts w:ascii="Arial" w:hAnsi="Arial" w:cs="Arial"/>
          <w:b/>
          <w:bCs/>
          <w:sz w:val="24"/>
          <w:szCs w:val="24"/>
          <w:lang w:val="en-GB"/>
        </w:rPr>
        <w:t>anti-Aβ</w:t>
      </w:r>
      <w:r w:rsidRPr="006C3137">
        <w:rPr>
          <w:rFonts w:ascii="Arial" w:hAnsi="Arial" w:cs="Arial"/>
          <w:b/>
          <w:sz w:val="24"/>
          <w:szCs w:val="24"/>
          <w:lang w:val="en-GB"/>
        </w:rPr>
        <w:t xml:space="preserve"> treatment reduces amyloid-β levels in a dose-dependent manner</w:t>
      </w:r>
      <w:r w:rsidRPr="006C3137">
        <w:rPr>
          <w:rFonts w:ascii="Arial" w:hAnsi="Arial" w:cs="Arial"/>
          <w:b/>
          <w:sz w:val="24"/>
          <w:szCs w:val="24"/>
          <w:lang w:val="en-GB"/>
        </w:rPr>
        <w:br/>
      </w:r>
      <w:r w:rsidRPr="006C3137">
        <w:rPr>
          <w:rFonts w:ascii="Arial" w:hAnsi="Arial" w:cs="Arial"/>
          <w:sz w:val="24"/>
          <w:szCs w:val="24"/>
          <w:lang w:val="en-GB"/>
        </w:rPr>
        <w:t>(</w:t>
      </w:r>
      <w:r w:rsidRPr="006C3137">
        <w:rPr>
          <w:rFonts w:ascii="Arial" w:hAnsi="Arial" w:cs="Arial"/>
          <w:b/>
          <w:sz w:val="24"/>
          <w:szCs w:val="24"/>
          <w:lang w:val="en-GB"/>
        </w:rPr>
        <w:t>A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) Western blot showing full-length APP, CTF-β, and CTF-α in RIPA brain </w:t>
      </w:r>
      <w:r w:rsidR="000904E2">
        <w:rPr>
          <w:rFonts w:ascii="Arial" w:hAnsi="Arial" w:cs="Arial"/>
          <w:sz w:val="24"/>
          <w:szCs w:val="24"/>
          <w:lang w:val="en-GB"/>
        </w:rPr>
        <w:t>extract</w:t>
      </w:r>
      <w:r w:rsidRPr="006C3137">
        <w:rPr>
          <w:rFonts w:ascii="Arial" w:hAnsi="Arial" w:cs="Arial"/>
          <w:sz w:val="24"/>
          <w:szCs w:val="24"/>
          <w:lang w:val="en-GB"/>
        </w:rPr>
        <w:t>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B</w:t>
      </w:r>
      <w:r w:rsidRPr="006C3137">
        <w:rPr>
          <w:rFonts w:ascii="Arial" w:hAnsi="Arial" w:cs="Arial"/>
          <w:sz w:val="24"/>
          <w:szCs w:val="24"/>
          <w:lang w:val="en-GB"/>
        </w:rPr>
        <w:t>) Representative immunofluorescent images of sagittal hippocampus and cortico-amygdala area (COA) sections showing DAPI (grey), thiazine (purple), and Aβ (3552 antibody, orange).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C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) Quantification of percent cortical </w:t>
      </w:r>
      <w:r w:rsidR="000904E2">
        <w:rPr>
          <w:rFonts w:ascii="Arial" w:hAnsi="Arial" w:cs="Arial"/>
          <w:sz w:val="24"/>
          <w:szCs w:val="24"/>
          <w:lang w:val="en-GB"/>
        </w:rPr>
        <w:t>thiazine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and Aβ area and number in the hippocampus and COA.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D</w:t>
      </w:r>
      <w:r w:rsidRPr="006C3137">
        <w:rPr>
          <w:rFonts w:ascii="Arial" w:hAnsi="Arial" w:cs="Arial"/>
          <w:sz w:val="24"/>
          <w:szCs w:val="24"/>
          <w:lang w:val="en-GB"/>
        </w:rPr>
        <w:t>) Isotropic 3D rendering of confocal immunofluorescent images showing thiazine (purple) and Aβ (3552 antibody, orange). Scale bar = 10 µm.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E</w:t>
      </w:r>
      <w:r w:rsidRPr="006C3137">
        <w:rPr>
          <w:rFonts w:ascii="Arial" w:hAnsi="Arial" w:cs="Arial"/>
          <w:sz w:val="24"/>
          <w:szCs w:val="24"/>
          <w:lang w:val="en-GB"/>
        </w:rPr>
        <w:t>) Quantification of mean Aβ/thiazine ratio and mean distance of Aβ to thiazine border.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F</w:t>
      </w:r>
      <w:r w:rsidRPr="006C3137">
        <w:rPr>
          <w:rFonts w:ascii="Arial" w:hAnsi="Arial" w:cs="Arial"/>
          <w:sz w:val="24"/>
          <w:szCs w:val="24"/>
          <w:lang w:val="en-GB"/>
        </w:rPr>
        <w:t>) ELISA quantification of Aβ</w:t>
      </w:r>
      <w:r w:rsidRPr="006C3137">
        <w:rPr>
          <w:rFonts w:ascii="Arial" w:hAnsi="Arial" w:cs="Arial"/>
          <w:sz w:val="24"/>
          <w:szCs w:val="24"/>
          <w:vertAlign w:val="subscript"/>
          <w:lang w:val="en-GB"/>
        </w:rPr>
        <w:t>38</w:t>
      </w:r>
      <w:r w:rsidRPr="006C3137">
        <w:rPr>
          <w:rFonts w:ascii="Arial" w:hAnsi="Arial" w:cs="Arial"/>
          <w:sz w:val="24"/>
          <w:szCs w:val="24"/>
          <w:lang w:val="en-GB"/>
        </w:rPr>
        <w:t>, Aβ</w:t>
      </w:r>
      <w:r w:rsidRPr="006C3137">
        <w:rPr>
          <w:rFonts w:ascii="Arial" w:hAnsi="Arial" w:cs="Arial"/>
          <w:sz w:val="24"/>
          <w:szCs w:val="24"/>
          <w:vertAlign w:val="subscript"/>
          <w:lang w:val="en-GB"/>
        </w:rPr>
        <w:t>40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and Aβ</w:t>
      </w:r>
      <w:r w:rsidRPr="006C3137">
        <w:rPr>
          <w:rFonts w:ascii="Arial" w:hAnsi="Arial" w:cs="Arial"/>
          <w:sz w:val="24"/>
          <w:szCs w:val="24"/>
          <w:vertAlign w:val="subscript"/>
          <w:lang w:val="en-GB"/>
        </w:rPr>
        <w:t>42</w:t>
      </w:r>
      <w:bookmarkStart w:id="4" w:name="OLE_LINK1"/>
      <w:r w:rsidRPr="006C3137">
        <w:rPr>
          <w:rFonts w:ascii="Arial" w:hAnsi="Arial" w:cs="Arial"/>
          <w:sz w:val="24"/>
          <w:szCs w:val="24"/>
          <w:lang w:val="en-GB"/>
        </w:rPr>
        <w:t>, as well as the Aβ</w:t>
      </w:r>
      <w:r w:rsidRPr="006C3137">
        <w:rPr>
          <w:rFonts w:ascii="Arial" w:hAnsi="Arial" w:cs="Arial"/>
          <w:sz w:val="24"/>
          <w:szCs w:val="24"/>
          <w:vertAlign w:val="subscript"/>
          <w:lang w:val="en-GB"/>
        </w:rPr>
        <w:t>42</w:t>
      </w:r>
      <w:bookmarkEnd w:id="4"/>
      <w:r w:rsidRPr="006C3137">
        <w:rPr>
          <w:rFonts w:ascii="Arial" w:hAnsi="Arial" w:cs="Arial"/>
          <w:sz w:val="24"/>
          <w:szCs w:val="24"/>
          <w:vertAlign w:val="subscript"/>
          <w:lang w:val="en-GB"/>
        </w:rPr>
        <w:t xml:space="preserve">/40 </w:t>
      </w:r>
      <w:r w:rsidRPr="002A0BA7">
        <w:rPr>
          <w:rFonts w:ascii="Arial" w:hAnsi="Arial" w:cs="Arial"/>
          <w:sz w:val="24"/>
          <w:szCs w:val="24"/>
          <w:lang w:val="en-GB"/>
        </w:rPr>
        <w:t>and</w:t>
      </w:r>
      <w:r w:rsidRPr="006C3137">
        <w:rPr>
          <w:rFonts w:ascii="Arial" w:hAnsi="Arial" w:cs="Arial"/>
          <w:sz w:val="24"/>
          <w:szCs w:val="24"/>
          <w:vertAlign w:val="subscript"/>
          <w:lang w:val="en-GB"/>
        </w:rPr>
        <w:t xml:space="preserve"> </w:t>
      </w:r>
      <w:r w:rsidRPr="006C3137">
        <w:rPr>
          <w:rFonts w:ascii="Arial" w:hAnsi="Arial" w:cs="Arial"/>
          <w:sz w:val="24"/>
          <w:szCs w:val="24"/>
          <w:lang w:val="en-GB"/>
        </w:rPr>
        <w:t>Aβ</w:t>
      </w:r>
      <w:r w:rsidRPr="006C3137">
        <w:rPr>
          <w:rFonts w:ascii="Arial" w:hAnsi="Arial" w:cs="Arial"/>
          <w:sz w:val="24"/>
          <w:szCs w:val="24"/>
          <w:vertAlign w:val="subscript"/>
          <w:lang w:val="en-GB"/>
        </w:rPr>
        <w:t xml:space="preserve">38/40 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ratio in terminally-collected CSF. *: P &lt; 0.05; **: P &lt; 0.01; ***: P &lt; 0.001. One-way ANOVA with Tukey’s post hoc test (C, E, F). For (C): isotype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f, 3 m, 1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f, 4 m, 3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f, 5 m, 10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f, 4 m (same samples as Fig. 1F, 2F, 5D, F, 6D, F). For (E): isotype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2m, 1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2 m, 3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2 m, 10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2 f, 3 m (same samples as Fig. 6A, B). For (F): isotype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6 m, 1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6 m, 3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6 m, 10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4 m (same samples as Fig. 2A, B, C, Fig. S4A, B, C). </w:t>
      </w:r>
    </w:p>
    <w:p w14:paraId="77F5E74B" w14:textId="77777777" w:rsidR="00437970" w:rsidRDefault="00437970">
      <w:pPr>
        <w:rPr>
          <w:rFonts w:ascii="Arial" w:hAnsi="Arial" w:cs="Arial"/>
          <w:b/>
          <w:noProof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  <w:lang w:val="en-GB"/>
        </w:rPr>
        <w:br w:type="page"/>
      </w:r>
    </w:p>
    <w:p w14:paraId="63736ECB" w14:textId="1CB22254" w:rsidR="0047146D" w:rsidRDefault="00437970" w:rsidP="00467246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  <w:lang w:val="en-GB"/>
        </w:rPr>
        <w:lastRenderedPageBreak/>
        <w:drawing>
          <wp:inline distT="0" distB="0" distL="0" distR="0" wp14:anchorId="78DBAE1B" wp14:editId="0F9B1D9E">
            <wp:extent cx="5731510" cy="758571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7246" w:rsidRPr="00467246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47666A5A" w14:textId="77777777" w:rsidR="0047146D" w:rsidRDefault="0047146D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br w:type="page"/>
      </w:r>
    </w:p>
    <w:p w14:paraId="3CF7EA46" w14:textId="5E6E4553" w:rsidR="00467246" w:rsidRPr="006C3137" w:rsidRDefault="00467246" w:rsidP="00467246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6C3137">
        <w:rPr>
          <w:rFonts w:ascii="Arial" w:hAnsi="Arial" w:cs="Arial"/>
          <w:b/>
          <w:sz w:val="24"/>
          <w:szCs w:val="24"/>
          <w:lang w:val="en-GB"/>
        </w:rPr>
        <w:lastRenderedPageBreak/>
        <w:t xml:space="preserve">Figure S3: APP-SAA KI mice develop CAA and spontaneous microhaemorrhages, which are not increased by chronic </w:t>
      </w:r>
      <w:r w:rsidRPr="006C3137">
        <w:rPr>
          <w:rFonts w:ascii="Arial" w:hAnsi="Arial" w:cs="Arial"/>
          <w:b/>
          <w:bCs/>
          <w:sz w:val="24"/>
          <w:szCs w:val="24"/>
          <w:lang w:val="en-GB"/>
        </w:rPr>
        <w:t>anti-Aβ</w:t>
      </w:r>
      <w:r w:rsidRPr="006C3137">
        <w:rPr>
          <w:rFonts w:ascii="Arial" w:hAnsi="Arial" w:cs="Arial"/>
          <w:b/>
          <w:sz w:val="24"/>
          <w:szCs w:val="24"/>
          <w:lang w:val="en-GB"/>
        </w:rPr>
        <w:t xml:space="preserve"> treatment</w:t>
      </w:r>
      <w:r w:rsidRPr="006C3137">
        <w:rPr>
          <w:rFonts w:ascii="Arial" w:hAnsi="Arial" w:cs="Arial"/>
          <w:b/>
          <w:sz w:val="24"/>
          <w:szCs w:val="24"/>
          <w:lang w:val="en-GB"/>
        </w:rPr>
        <w:br/>
      </w:r>
      <w:r w:rsidRPr="006C3137">
        <w:rPr>
          <w:rFonts w:ascii="Arial" w:hAnsi="Arial" w:cs="Arial"/>
          <w:sz w:val="24"/>
          <w:szCs w:val="24"/>
          <w:lang w:val="en-GB"/>
        </w:rPr>
        <w:t>(</w:t>
      </w:r>
      <w:r w:rsidRPr="006C3137">
        <w:rPr>
          <w:rFonts w:ascii="Arial" w:hAnsi="Arial" w:cs="Arial"/>
          <w:b/>
          <w:sz w:val="24"/>
          <w:szCs w:val="24"/>
          <w:lang w:val="en-GB"/>
        </w:rPr>
        <w:t>A</w:t>
      </w:r>
      <w:r w:rsidRPr="006C3137">
        <w:rPr>
          <w:rFonts w:ascii="Arial" w:hAnsi="Arial" w:cs="Arial"/>
          <w:sz w:val="24"/>
          <w:szCs w:val="24"/>
          <w:lang w:val="en-GB"/>
        </w:rPr>
        <w:t>) Representative immunofluorescence images of CAA as stained with HS169 in APP-SAA KI mice.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B</w:t>
      </w:r>
      <w:r w:rsidRPr="006C3137">
        <w:rPr>
          <w:rFonts w:ascii="Arial" w:hAnsi="Arial" w:cs="Arial"/>
          <w:sz w:val="24"/>
          <w:szCs w:val="24"/>
          <w:lang w:val="en-GB"/>
        </w:rPr>
        <w:t>) Representative immunofluorescent images of sagittal cortical sections showing co-staining of Laminin and HS169.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C</w:t>
      </w:r>
      <w:r w:rsidRPr="006C3137">
        <w:rPr>
          <w:rFonts w:ascii="Arial" w:hAnsi="Arial" w:cs="Arial"/>
          <w:sz w:val="24"/>
          <w:szCs w:val="24"/>
          <w:lang w:val="en-GB"/>
        </w:rPr>
        <w:t>) Quantification of percent cortical HS169 and HS169 in Laminin area.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D</w:t>
      </w:r>
      <w:r w:rsidRPr="006C3137">
        <w:rPr>
          <w:rFonts w:ascii="Arial" w:hAnsi="Arial" w:cs="Arial"/>
          <w:sz w:val="24"/>
          <w:szCs w:val="24"/>
          <w:lang w:val="en-GB"/>
        </w:rPr>
        <w:t>) Representative bright-field images of Prussian blue-positive deposits and microglial cell-shaped foci in anti-Aβ or isotype-treated mice.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E</w:t>
      </w:r>
      <w:r w:rsidRPr="006C3137">
        <w:rPr>
          <w:rFonts w:ascii="Arial" w:hAnsi="Arial" w:cs="Arial"/>
          <w:sz w:val="24"/>
          <w:szCs w:val="24"/>
          <w:lang w:val="en-GB"/>
        </w:rPr>
        <w:t>) Quantification of mean Prussian blue foci count and percent area.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F</w:t>
      </w:r>
      <w:r w:rsidRPr="006C3137">
        <w:rPr>
          <w:rFonts w:ascii="Arial" w:hAnsi="Arial" w:cs="Arial"/>
          <w:sz w:val="24"/>
          <w:szCs w:val="24"/>
          <w:lang w:val="en-GB"/>
        </w:rPr>
        <w:t>) Representative images of Prussian blue-positive deposits and microglial cell-shaped foci in 6- and 12-month-old APP-SAA KI mice.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G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) Quantification of mean Prussian blue foci count and percent area. *: P &lt; 0.05; **: P &lt; 0.01. One-way ANOVA with Tukey’s post hoc test (C, E, G). For (C, E): isotype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f, 2m, 1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3 m, 3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3 m, 10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3 m. For (G): 3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3 m, 6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6 m, 12 months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f, 2 m (same samples as Fig. S1). </w:t>
      </w:r>
    </w:p>
    <w:p w14:paraId="003E59D6" w14:textId="0DE34125" w:rsidR="00FC3C0D" w:rsidRPr="005A3F02" w:rsidRDefault="00FC3C0D" w:rsidP="00FC3C0D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</w:p>
    <w:p w14:paraId="163A76C5" w14:textId="77777777" w:rsidR="00437970" w:rsidRDefault="00437970">
      <w:pPr>
        <w:rPr>
          <w:rFonts w:ascii="Arial" w:hAnsi="Arial" w:cs="Arial"/>
          <w:b/>
          <w:noProof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  <w:lang w:val="en-GB"/>
        </w:rPr>
        <w:br w:type="page"/>
      </w:r>
    </w:p>
    <w:p w14:paraId="28354F0E" w14:textId="671EB8CD" w:rsidR="0047146D" w:rsidRDefault="00437970" w:rsidP="00467246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  <w:lang w:val="en-GB"/>
        </w:rPr>
        <w:lastRenderedPageBreak/>
        <w:drawing>
          <wp:inline distT="0" distB="0" distL="0" distR="0" wp14:anchorId="20A47DA5" wp14:editId="61C2F76E">
            <wp:extent cx="5731510" cy="758571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7246" w:rsidRPr="00467246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0259ED92" w14:textId="77777777" w:rsidR="0047146D" w:rsidRDefault="0047146D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br w:type="page"/>
      </w:r>
    </w:p>
    <w:p w14:paraId="423B47B0" w14:textId="1424BEA3" w:rsidR="00467246" w:rsidRPr="006C3137" w:rsidRDefault="00467246" w:rsidP="00467246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6C3137">
        <w:rPr>
          <w:rFonts w:ascii="Arial" w:hAnsi="Arial" w:cs="Arial"/>
          <w:b/>
          <w:sz w:val="24"/>
          <w:szCs w:val="24"/>
          <w:lang w:val="en-GB"/>
        </w:rPr>
        <w:lastRenderedPageBreak/>
        <w:t xml:space="preserve">Figure S4: CSF proteome changes relative to pre-disease state </w:t>
      </w:r>
      <w:r w:rsidRPr="006C3137">
        <w:rPr>
          <w:rFonts w:ascii="Arial" w:hAnsi="Arial" w:cs="Arial"/>
          <w:sz w:val="24"/>
          <w:szCs w:val="24"/>
          <w:lang w:val="en-GB"/>
        </w:rPr>
        <w:br/>
        <w:t>(</w:t>
      </w:r>
      <w:r w:rsidRPr="006C3137">
        <w:rPr>
          <w:rFonts w:ascii="Arial" w:hAnsi="Arial" w:cs="Arial"/>
          <w:b/>
          <w:sz w:val="24"/>
          <w:szCs w:val="24"/>
          <w:lang w:val="en-GB"/>
        </w:rPr>
        <w:t>A</w:t>
      </w:r>
      <w:r w:rsidRPr="006C3137">
        <w:rPr>
          <w:rFonts w:ascii="Arial" w:hAnsi="Arial" w:cs="Arial"/>
          <w:sz w:val="24"/>
          <w:szCs w:val="24"/>
          <w:lang w:val="en-GB"/>
        </w:rPr>
        <w:t>) Volcano plots showing upregulated and downregulated proteins in CSF comparing isotype or 10 mg/kg anti-Aβ-treated animals vs. 3-month-old untreated controls.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B</w:t>
      </w:r>
      <w:r w:rsidRPr="006C3137">
        <w:rPr>
          <w:rFonts w:ascii="Arial" w:hAnsi="Arial" w:cs="Arial"/>
          <w:sz w:val="24"/>
          <w:szCs w:val="24"/>
          <w:lang w:val="en-GB"/>
        </w:rPr>
        <w:t>) Heatmap showing significantly up- or downregulated proteins in isotype-treated 8.5-month-old mice relative to 3-month-old untreated mice (cut-off p&lt;0.05, log</w:t>
      </w:r>
      <w:r w:rsidRPr="002A0BA7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Pr="006C3137">
        <w:rPr>
          <w:rFonts w:ascii="Arial" w:hAnsi="Arial" w:cs="Arial"/>
          <w:sz w:val="24"/>
          <w:szCs w:val="24"/>
          <w:lang w:val="en-GB"/>
        </w:rPr>
        <w:t>FC &lt; -0.5 or &gt;0.5).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C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) ELISA quantification of terminally-collected </w:t>
      </w:r>
      <w:r w:rsidR="000904E2">
        <w:rPr>
          <w:rFonts w:ascii="Arial" w:hAnsi="Arial" w:cs="Arial"/>
          <w:sz w:val="24"/>
          <w:szCs w:val="24"/>
          <w:lang w:val="en-GB"/>
        </w:rPr>
        <w:t xml:space="preserve">CSF 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Trem2. </w:t>
      </w:r>
      <w:r w:rsidR="000904E2" w:rsidRPr="006C3137">
        <w:rPr>
          <w:rFonts w:ascii="Arial" w:hAnsi="Arial" w:cs="Arial"/>
          <w:sz w:val="24"/>
          <w:szCs w:val="24"/>
          <w:lang w:val="en-GB"/>
        </w:rPr>
        <w:t>(</w:t>
      </w:r>
      <w:r w:rsidR="006556DC">
        <w:rPr>
          <w:rFonts w:ascii="Arial" w:hAnsi="Arial" w:cs="Arial"/>
          <w:b/>
          <w:sz w:val="24"/>
          <w:szCs w:val="24"/>
          <w:lang w:val="en-GB"/>
        </w:rPr>
        <w:t>D</w:t>
      </w:r>
      <w:r w:rsidR="000904E2" w:rsidRPr="006C3137">
        <w:rPr>
          <w:rFonts w:ascii="Arial" w:hAnsi="Arial" w:cs="Arial"/>
          <w:sz w:val="24"/>
          <w:szCs w:val="24"/>
          <w:lang w:val="en-GB"/>
        </w:rPr>
        <w:t>) ELISA quantification of terminally-collected plasma Trem2.</w:t>
      </w:r>
      <w:r w:rsidR="000904E2">
        <w:rPr>
          <w:rFonts w:ascii="Arial" w:hAnsi="Arial" w:cs="Arial"/>
          <w:sz w:val="24"/>
          <w:szCs w:val="24"/>
          <w:lang w:val="en-GB"/>
        </w:rPr>
        <w:t xml:space="preserve"> </w:t>
      </w:r>
      <w:r w:rsidRPr="006C3137">
        <w:rPr>
          <w:rFonts w:ascii="Arial" w:hAnsi="Arial" w:cs="Arial"/>
          <w:sz w:val="24"/>
          <w:szCs w:val="24"/>
          <w:lang w:val="en-GB"/>
        </w:rPr>
        <w:t>*: P &lt; 0.05. Two-way ANOVA with Tukey’s post hoc test (</w:t>
      </w:r>
      <w:r w:rsidR="00F248D6">
        <w:rPr>
          <w:rFonts w:ascii="Arial" w:hAnsi="Arial" w:cs="Arial"/>
          <w:sz w:val="24"/>
          <w:szCs w:val="24"/>
          <w:lang w:val="en-GB"/>
        </w:rPr>
        <w:t xml:space="preserve">C, 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D). For (A, B): untreated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2 f, 3 m, isotype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6 m, 1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6 m, 3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6 m, 10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6 m (same samples as Fig. 2A, B, C, Fig. S2F). For (C, D): isotype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6 m, 1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6 m, 3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6 m, 10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4 m (same samples as Fig. 2A, B, C, Fig. S2F). </w:t>
      </w:r>
    </w:p>
    <w:p w14:paraId="064E953E" w14:textId="7739F8BF" w:rsidR="00FC3C0D" w:rsidRPr="005A3F02" w:rsidRDefault="00FC3C0D" w:rsidP="00FC3C0D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</w:p>
    <w:p w14:paraId="38B114CF" w14:textId="78BC11E8" w:rsidR="00437970" w:rsidRDefault="00437970">
      <w:pPr>
        <w:rPr>
          <w:rFonts w:ascii="Arial" w:hAnsi="Arial" w:cs="Arial"/>
          <w:b/>
          <w:noProof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  <w:lang w:val="en-GB"/>
        </w:rPr>
        <w:br w:type="page"/>
      </w:r>
    </w:p>
    <w:p w14:paraId="6207DC21" w14:textId="05C1A727" w:rsidR="00FC3C0D" w:rsidRPr="005A3F02" w:rsidRDefault="00437970" w:rsidP="00FC3C0D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  <w:lang w:val="en-GB"/>
        </w:rPr>
        <w:lastRenderedPageBreak/>
        <w:drawing>
          <wp:inline distT="0" distB="0" distL="0" distR="0" wp14:anchorId="713640E8" wp14:editId="506C31E5">
            <wp:extent cx="5731510" cy="7585710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8A467" w14:textId="77777777" w:rsidR="0047146D" w:rsidRDefault="0047146D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br w:type="page"/>
      </w:r>
    </w:p>
    <w:p w14:paraId="31E0F0E0" w14:textId="38D98E66" w:rsidR="009F50F1" w:rsidRDefault="00467246" w:rsidP="00467246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6C3137">
        <w:rPr>
          <w:rFonts w:ascii="Arial" w:hAnsi="Arial" w:cs="Arial"/>
          <w:b/>
          <w:sz w:val="24"/>
          <w:szCs w:val="24"/>
          <w:lang w:val="en-GB"/>
        </w:rPr>
        <w:lastRenderedPageBreak/>
        <w:t>Figure S5: Microglial RNA-seq gene expression changes relative to pre-disease state</w:t>
      </w:r>
      <w:r w:rsidRPr="006C3137">
        <w:rPr>
          <w:rFonts w:ascii="Arial" w:hAnsi="Arial" w:cs="Arial"/>
          <w:b/>
          <w:sz w:val="24"/>
          <w:szCs w:val="24"/>
          <w:lang w:val="en-GB"/>
        </w:rPr>
        <w:br/>
      </w:r>
      <w:r w:rsidRPr="006C3137">
        <w:rPr>
          <w:rFonts w:ascii="Arial" w:hAnsi="Arial" w:cs="Arial"/>
          <w:sz w:val="24"/>
          <w:szCs w:val="24"/>
          <w:lang w:val="en-GB"/>
        </w:rPr>
        <w:t>(</w:t>
      </w:r>
      <w:r w:rsidRPr="006C3137">
        <w:rPr>
          <w:rFonts w:ascii="Arial" w:hAnsi="Arial" w:cs="Arial"/>
          <w:b/>
          <w:sz w:val="24"/>
          <w:szCs w:val="24"/>
          <w:lang w:val="en-GB"/>
        </w:rPr>
        <w:t>A</w:t>
      </w:r>
      <w:r w:rsidRPr="006C3137">
        <w:rPr>
          <w:rFonts w:ascii="Arial" w:hAnsi="Arial" w:cs="Arial"/>
          <w:sz w:val="24"/>
          <w:szCs w:val="24"/>
          <w:lang w:val="en-GB"/>
        </w:rPr>
        <w:t>) Heatmap showing differentially expressed genes relative to 4-month-old untreated mice.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B</w:t>
      </w:r>
      <w:r w:rsidRPr="006C3137">
        <w:rPr>
          <w:rFonts w:ascii="Arial" w:hAnsi="Arial" w:cs="Arial"/>
          <w:sz w:val="24"/>
          <w:szCs w:val="24"/>
          <w:lang w:val="en-GB"/>
        </w:rPr>
        <w:t>) Correlation plot of p-values comparing gene expression changes in isolated microglia between WT vs. 8-month-old APP-SAA KI mice from Xia et. al 2022 and changes in this study between 4-month-old untreated vs. 8-month-old isotype-treated APP-SAA KI mice.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C</w:t>
      </w:r>
      <w:r w:rsidRPr="006C3137">
        <w:rPr>
          <w:rFonts w:ascii="Arial" w:hAnsi="Arial" w:cs="Arial"/>
          <w:sz w:val="24"/>
          <w:szCs w:val="24"/>
          <w:lang w:val="en-GB"/>
        </w:rPr>
        <w:t>) Gene set enrichment analysis (GSEA).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D</w:t>
      </w:r>
      <w:r w:rsidRPr="006C3137">
        <w:rPr>
          <w:rFonts w:ascii="Arial" w:hAnsi="Arial" w:cs="Arial"/>
          <w:sz w:val="24"/>
          <w:szCs w:val="24"/>
          <w:lang w:val="en-GB"/>
        </w:rPr>
        <w:t>) Volcano plots showing differentially expressed genes related to GSEA pathways.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E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) Volcano plots showing differentially expressed genes related to microglial states from Chen and Colonna 2021. For (A, B, C, D, E): untreated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2 f, 4 m, isotype </w:t>
      </w:r>
      <w:r w:rsidRPr="006C3137">
        <w:rPr>
          <w:rFonts w:ascii="Arial" w:hAnsi="Arial" w:cs="Arial"/>
          <w:i/>
          <w:sz w:val="24"/>
          <w:szCs w:val="24"/>
          <w:lang w:val="en-GB"/>
        </w:rPr>
        <w:t xml:space="preserve">n 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= 4 f, 2 m, 1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3 m, 3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3 m, 10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3 f, 3 m (same samples as Fig. 3A, B, C, D, F, G).</w:t>
      </w:r>
    </w:p>
    <w:p w14:paraId="243F6934" w14:textId="24E4C69E" w:rsidR="00FC3C0D" w:rsidRPr="009F50F1" w:rsidRDefault="009F50F1" w:rsidP="009F50F1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br w:type="page"/>
      </w:r>
    </w:p>
    <w:p w14:paraId="1BA58381" w14:textId="77777777" w:rsidR="003A665B" w:rsidRDefault="003A665B" w:rsidP="00FC3C0D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</w:p>
    <w:p w14:paraId="6F6C6C2C" w14:textId="79571A48" w:rsidR="003A665B" w:rsidRDefault="00437970" w:rsidP="00FC3C0D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  <w:lang w:val="en-GB"/>
        </w:rPr>
        <w:drawing>
          <wp:inline distT="0" distB="0" distL="0" distR="0" wp14:anchorId="1D9827C1" wp14:editId="6AC987D0">
            <wp:extent cx="5731510" cy="758571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76BAE" w14:textId="1DBAB905" w:rsidR="006B0A57" w:rsidRDefault="006B0A57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br w:type="page"/>
      </w:r>
    </w:p>
    <w:p w14:paraId="6C6CAB57" w14:textId="311E3AA1" w:rsidR="006B0A57" w:rsidRPr="006B0A57" w:rsidRDefault="006B0A57" w:rsidP="006B0A57">
      <w:pPr>
        <w:pStyle w:val="Caption"/>
        <w:spacing w:line="259" w:lineRule="auto"/>
        <w:rPr>
          <w:rFonts w:cs="Arial"/>
          <w:sz w:val="24"/>
          <w:szCs w:val="24"/>
        </w:rPr>
      </w:pPr>
      <w:bookmarkStart w:id="5" w:name="_Ref203558379"/>
      <w:bookmarkStart w:id="6" w:name="_Toc203567886"/>
      <w:r w:rsidRPr="006B0A57">
        <w:rPr>
          <w:rFonts w:cs="Arial"/>
          <w:sz w:val="24"/>
          <w:szCs w:val="24"/>
        </w:rPr>
        <w:lastRenderedPageBreak/>
        <w:t xml:space="preserve">Figure </w:t>
      </w:r>
      <w:bookmarkEnd w:id="5"/>
      <w:r>
        <w:rPr>
          <w:rFonts w:cs="Arial"/>
          <w:sz w:val="24"/>
          <w:szCs w:val="24"/>
        </w:rPr>
        <w:t>S6:</w:t>
      </w:r>
      <w:r w:rsidRPr="006B0A57">
        <w:rPr>
          <w:rFonts w:cs="Arial"/>
          <w:sz w:val="24"/>
          <w:szCs w:val="24"/>
        </w:rPr>
        <w:t xml:space="preserve"> Identification of an anti-Aβ specific transcription signature</w:t>
      </w:r>
      <w:bookmarkEnd w:id="6"/>
    </w:p>
    <w:p w14:paraId="1FF60C56" w14:textId="343B483A" w:rsidR="006B0A57" w:rsidRPr="006B0A57" w:rsidRDefault="006B0A57" w:rsidP="006B0A57">
      <w:pPr>
        <w:spacing w:after="240"/>
        <w:rPr>
          <w:rFonts w:ascii="Arial" w:hAnsi="Arial" w:cs="Arial"/>
          <w:sz w:val="24"/>
          <w:szCs w:val="24"/>
          <w:lang w:val="en-GB"/>
        </w:rPr>
      </w:pPr>
      <w:r w:rsidRPr="006B0A57">
        <w:rPr>
          <w:rFonts w:ascii="Arial" w:hAnsi="Arial" w:cs="Arial"/>
          <w:sz w:val="24"/>
          <w:szCs w:val="24"/>
          <w:lang w:val="en-GB"/>
        </w:rPr>
        <w:t>(</w:t>
      </w:r>
      <w:r w:rsidRPr="006B0A57">
        <w:rPr>
          <w:rFonts w:ascii="Arial" w:hAnsi="Arial" w:cs="Arial"/>
          <w:b/>
          <w:sz w:val="24"/>
          <w:szCs w:val="24"/>
          <w:lang w:val="en-GB"/>
        </w:rPr>
        <w:t>A</w:t>
      </w:r>
      <w:r w:rsidRPr="006B0A57">
        <w:rPr>
          <w:rFonts w:ascii="Arial" w:hAnsi="Arial" w:cs="Arial"/>
          <w:sz w:val="24"/>
          <w:szCs w:val="24"/>
          <w:lang w:val="en-GB"/>
        </w:rPr>
        <w:t xml:space="preserve">) Pie charts showing </w:t>
      </w:r>
      <w:r w:rsidRPr="006B0A57">
        <w:rPr>
          <w:rFonts w:ascii="Arial" w:hAnsi="Arial" w:cs="Arial"/>
          <w:i/>
          <w:sz w:val="24"/>
          <w:szCs w:val="24"/>
          <w:lang w:val="en-GB"/>
        </w:rPr>
        <w:t>n</w:t>
      </w:r>
      <w:r w:rsidRPr="006B0A57">
        <w:rPr>
          <w:rFonts w:ascii="Arial" w:hAnsi="Arial" w:cs="Arial"/>
          <w:sz w:val="24"/>
          <w:szCs w:val="24"/>
          <w:lang w:val="en-GB"/>
        </w:rPr>
        <w:t xml:space="preserve">-number and percentage of genes classified as “Confidently down-regulated” (purple), “Confidently unchanged” (white), “Confidently up-regulated” (pink), “Low confidence” (grey). </w:t>
      </w:r>
      <w:r w:rsidR="006C4C5E" w:rsidRPr="006B0A57">
        <w:rPr>
          <w:rFonts w:ascii="Arial" w:hAnsi="Arial" w:cs="Arial"/>
          <w:sz w:val="24"/>
          <w:szCs w:val="24"/>
          <w:lang w:val="en-GB"/>
        </w:rPr>
        <w:t>(</w:t>
      </w:r>
      <w:r w:rsidR="006C4C5E" w:rsidRPr="006B0A57">
        <w:rPr>
          <w:rFonts w:ascii="Arial" w:hAnsi="Arial" w:cs="Arial"/>
          <w:b/>
          <w:sz w:val="24"/>
          <w:szCs w:val="24"/>
          <w:lang w:val="en-GB"/>
        </w:rPr>
        <w:t>B</w:t>
      </w:r>
      <w:r w:rsidR="006C4C5E" w:rsidRPr="006B0A57">
        <w:rPr>
          <w:rFonts w:ascii="Arial" w:hAnsi="Arial" w:cs="Arial"/>
          <w:sz w:val="24"/>
          <w:szCs w:val="24"/>
          <w:lang w:val="en-GB"/>
        </w:rPr>
        <w:t>) Heatmap showing 45 genes that are confidently unchanged with aging and confidently changed with anti-A</w:t>
      </w:r>
      <w:r w:rsidR="006C4C5E" w:rsidRPr="006B0A57">
        <w:rPr>
          <w:rFonts w:ascii="Arial" w:hAnsi="Arial" w:cs="Arial"/>
          <w:sz w:val="24"/>
          <w:szCs w:val="24"/>
        </w:rPr>
        <w:t>β</w:t>
      </w:r>
      <w:r w:rsidR="006C4C5E" w:rsidRPr="006B0A57">
        <w:rPr>
          <w:rFonts w:ascii="Arial" w:hAnsi="Arial" w:cs="Arial"/>
          <w:sz w:val="24"/>
          <w:szCs w:val="24"/>
          <w:lang w:val="en-GB"/>
        </w:rPr>
        <w:t xml:space="preserve"> treatment. </w:t>
      </w:r>
      <w:r w:rsidRPr="006B0A57">
        <w:rPr>
          <w:rFonts w:ascii="Arial" w:hAnsi="Arial" w:cs="Arial"/>
          <w:sz w:val="24"/>
          <w:szCs w:val="24"/>
          <w:lang w:val="en-GB"/>
        </w:rPr>
        <w:t>(</w:t>
      </w:r>
      <w:r w:rsidRPr="006B0A57">
        <w:rPr>
          <w:rFonts w:ascii="Arial" w:hAnsi="Arial" w:cs="Arial"/>
          <w:b/>
          <w:sz w:val="24"/>
          <w:szCs w:val="24"/>
          <w:lang w:val="en-GB"/>
        </w:rPr>
        <w:t>C</w:t>
      </w:r>
      <w:r w:rsidRPr="006B0A57">
        <w:rPr>
          <w:rFonts w:ascii="Arial" w:hAnsi="Arial" w:cs="Arial"/>
          <w:sz w:val="24"/>
          <w:szCs w:val="24"/>
          <w:lang w:val="en-GB"/>
        </w:rPr>
        <w:t>) Boxplots showing examples of genes that</w:t>
      </w:r>
      <w:r w:rsidR="006C4C5E">
        <w:rPr>
          <w:rFonts w:ascii="Arial" w:hAnsi="Arial" w:cs="Arial"/>
          <w:sz w:val="24"/>
          <w:szCs w:val="24"/>
          <w:lang w:val="en-GB"/>
        </w:rPr>
        <w:t xml:space="preserve"> increase or</w:t>
      </w:r>
      <w:r w:rsidRPr="006B0A57">
        <w:rPr>
          <w:rFonts w:ascii="Arial" w:hAnsi="Arial" w:cs="Arial"/>
          <w:sz w:val="24"/>
          <w:szCs w:val="24"/>
          <w:lang w:val="en-GB"/>
        </w:rPr>
        <w:t xml:space="preserve"> decrease expression upon anti-A</w:t>
      </w:r>
      <w:r w:rsidRPr="006B0A57">
        <w:rPr>
          <w:rFonts w:ascii="Arial" w:hAnsi="Arial" w:cs="Arial"/>
          <w:sz w:val="24"/>
          <w:szCs w:val="24"/>
        </w:rPr>
        <w:t>β</w:t>
      </w:r>
      <w:r w:rsidRPr="006B0A57">
        <w:rPr>
          <w:rFonts w:ascii="Arial" w:hAnsi="Arial" w:cs="Arial"/>
          <w:sz w:val="24"/>
          <w:szCs w:val="24"/>
          <w:lang w:val="en-GB"/>
        </w:rPr>
        <w:t xml:space="preserve"> treatment, but not with age. (</w:t>
      </w:r>
      <w:r w:rsidR="006C4C5E">
        <w:rPr>
          <w:rFonts w:ascii="Arial" w:hAnsi="Arial" w:cs="Arial"/>
          <w:b/>
          <w:sz w:val="24"/>
          <w:szCs w:val="24"/>
          <w:lang w:val="en-GB"/>
        </w:rPr>
        <w:t>D</w:t>
      </w:r>
      <w:r w:rsidRPr="006B0A57">
        <w:rPr>
          <w:rFonts w:ascii="Arial" w:hAnsi="Arial" w:cs="Arial"/>
          <w:sz w:val="24"/>
          <w:szCs w:val="24"/>
          <w:lang w:val="en-GB"/>
        </w:rPr>
        <w:t>)</w:t>
      </w:r>
      <w:r w:rsidR="006C4C5E">
        <w:rPr>
          <w:rFonts w:ascii="Arial" w:hAnsi="Arial" w:cs="Arial"/>
          <w:sz w:val="24"/>
          <w:szCs w:val="24"/>
          <w:lang w:val="en-GB"/>
        </w:rPr>
        <w:t xml:space="preserve"> Heatmap showing </w:t>
      </w:r>
      <w:r w:rsidR="009F50F1">
        <w:rPr>
          <w:rFonts w:ascii="Arial" w:hAnsi="Arial" w:cs="Arial"/>
          <w:sz w:val="24"/>
          <w:szCs w:val="24"/>
          <w:lang w:val="en-GB"/>
        </w:rPr>
        <w:t>36</w:t>
      </w:r>
      <w:r w:rsidR="006C4C5E">
        <w:rPr>
          <w:rFonts w:ascii="Arial" w:hAnsi="Arial" w:cs="Arial"/>
          <w:sz w:val="24"/>
          <w:szCs w:val="24"/>
          <w:lang w:val="en-GB"/>
        </w:rPr>
        <w:t xml:space="preserve"> genes that increase or decrease expression with age and further increase or decrease expression upon </w:t>
      </w:r>
      <w:r w:rsidR="006C4C5E" w:rsidRPr="006B0A57">
        <w:rPr>
          <w:rFonts w:ascii="Arial" w:hAnsi="Arial" w:cs="Arial"/>
          <w:sz w:val="24"/>
          <w:szCs w:val="24"/>
          <w:lang w:val="en-GB"/>
        </w:rPr>
        <w:t>anti-A</w:t>
      </w:r>
      <w:r w:rsidR="006C4C5E" w:rsidRPr="006B0A57">
        <w:rPr>
          <w:rFonts w:ascii="Arial" w:hAnsi="Arial" w:cs="Arial"/>
          <w:sz w:val="24"/>
          <w:szCs w:val="24"/>
        </w:rPr>
        <w:t>β</w:t>
      </w:r>
      <w:r w:rsidR="006C4C5E" w:rsidRPr="006B0A57">
        <w:rPr>
          <w:rFonts w:ascii="Arial" w:hAnsi="Arial" w:cs="Arial"/>
          <w:sz w:val="24"/>
          <w:szCs w:val="24"/>
          <w:lang w:val="en-GB"/>
        </w:rPr>
        <w:t xml:space="preserve"> treatment</w:t>
      </w:r>
      <w:r w:rsidRPr="006B0A57">
        <w:rPr>
          <w:rFonts w:ascii="Arial" w:hAnsi="Arial" w:cs="Arial"/>
          <w:sz w:val="24"/>
          <w:szCs w:val="24"/>
          <w:lang w:val="en-GB"/>
        </w:rPr>
        <w:t xml:space="preserve">. Untreated </w:t>
      </w:r>
      <w:r w:rsidRPr="006B0A57">
        <w:rPr>
          <w:rFonts w:ascii="Arial" w:hAnsi="Arial" w:cs="Arial"/>
          <w:i/>
          <w:iCs/>
          <w:sz w:val="24"/>
          <w:szCs w:val="24"/>
          <w:lang w:val="en-GB"/>
        </w:rPr>
        <w:t>n</w:t>
      </w:r>
      <w:r w:rsidRPr="006B0A57">
        <w:rPr>
          <w:rFonts w:ascii="Arial" w:hAnsi="Arial" w:cs="Arial"/>
          <w:sz w:val="24"/>
          <w:szCs w:val="24"/>
          <w:lang w:val="en-GB"/>
        </w:rPr>
        <w:t xml:space="preserve"> = 2 f, 4 m, isotype </w:t>
      </w:r>
      <w:r w:rsidRPr="006B0A57">
        <w:rPr>
          <w:rFonts w:ascii="Arial" w:hAnsi="Arial" w:cs="Arial"/>
          <w:i/>
          <w:iCs/>
          <w:sz w:val="24"/>
          <w:szCs w:val="24"/>
          <w:lang w:val="en-GB"/>
        </w:rPr>
        <w:t>n</w:t>
      </w:r>
      <w:r w:rsidRPr="006B0A57">
        <w:rPr>
          <w:rFonts w:ascii="Arial" w:hAnsi="Arial" w:cs="Arial"/>
          <w:sz w:val="24"/>
          <w:szCs w:val="24"/>
          <w:lang w:val="en-GB"/>
        </w:rPr>
        <w:t xml:space="preserve"> = 4 f, 2 m, 1 mg/kg </w:t>
      </w:r>
      <w:r w:rsidRPr="006B0A57">
        <w:rPr>
          <w:rFonts w:ascii="Arial" w:hAnsi="Arial" w:cs="Arial"/>
          <w:i/>
          <w:iCs/>
          <w:sz w:val="24"/>
          <w:szCs w:val="24"/>
          <w:lang w:val="en-GB"/>
        </w:rPr>
        <w:t>n</w:t>
      </w:r>
      <w:r w:rsidRPr="006B0A57">
        <w:rPr>
          <w:rFonts w:ascii="Arial" w:hAnsi="Arial" w:cs="Arial"/>
          <w:sz w:val="24"/>
          <w:szCs w:val="24"/>
          <w:lang w:val="en-GB"/>
        </w:rPr>
        <w:t xml:space="preserve"> = 3 f, 3 m, 3 mg/kg </w:t>
      </w:r>
      <w:r w:rsidRPr="006B0A57">
        <w:rPr>
          <w:rFonts w:ascii="Arial" w:hAnsi="Arial" w:cs="Arial"/>
          <w:i/>
          <w:iCs/>
          <w:sz w:val="24"/>
          <w:szCs w:val="24"/>
          <w:lang w:val="en-GB"/>
        </w:rPr>
        <w:t>n</w:t>
      </w:r>
      <w:r w:rsidRPr="006B0A57">
        <w:rPr>
          <w:rFonts w:ascii="Arial" w:hAnsi="Arial" w:cs="Arial"/>
          <w:sz w:val="24"/>
          <w:szCs w:val="24"/>
          <w:lang w:val="en-GB"/>
        </w:rPr>
        <w:t xml:space="preserve"> = 3 f, 3 m, 10 mg/kg </w:t>
      </w:r>
      <w:r w:rsidRPr="006B0A57">
        <w:rPr>
          <w:rFonts w:ascii="Arial" w:hAnsi="Arial" w:cs="Arial"/>
          <w:i/>
          <w:iCs/>
          <w:sz w:val="24"/>
          <w:szCs w:val="24"/>
          <w:lang w:val="en-GB"/>
        </w:rPr>
        <w:t>n</w:t>
      </w:r>
      <w:r w:rsidRPr="006B0A57">
        <w:rPr>
          <w:rFonts w:ascii="Arial" w:hAnsi="Arial" w:cs="Arial"/>
          <w:sz w:val="24"/>
          <w:szCs w:val="24"/>
          <w:lang w:val="en-GB"/>
        </w:rPr>
        <w:t xml:space="preserve"> = 3 f, 3 m.</w:t>
      </w:r>
    </w:p>
    <w:p w14:paraId="5F3CCC5A" w14:textId="282CA976" w:rsidR="006B0A57" w:rsidRDefault="006B0A57" w:rsidP="00581BB5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br w:type="page"/>
      </w:r>
    </w:p>
    <w:p w14:paraId="22AFADC8" w14:textId="7FD2AB12" w:rsidR="0047146D" w:rsidRDefault="00437970" w:rsidP="00467246">
      <w:pPr>
        <w:spacing w:after="0"/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val="en-GB"/>
        </w:rPr>
        <w:lastRenderedPageBreak/>
        <w:drawing>
          <wp:inline distT="0" distB="0" distL="0" distR="0" wp14:anchorId="4FF9CEBE" wp14:editId="33B2BB55">
            <wp:extent cx="5731510" cy="758571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7246" w:rsidRPr="00467246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 </w:t>
      </w:r>
    </w:p>
    <w:p w14:paraId="53F5762A" w14:textId="77777777" w:rsidR="0047146D" w:rsidRDefault="0047146D">
      <w:pPr>
        <w:rPr>
          <w:rFonts w:ascii="Arial" w:hAnsi="Arial" w:cs="Arial"/>
          <w:b/>
          <w:color w:val="000000" w:themeColor="text1"/>
          <w:sz w:val="24"/>
          <w:szCs w:val="24"/>
          <w:lang w:val="en-GB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br w:type="page"/>
      </w:r>
    </w:p>
    <w:p w14:paraId="0695CC1B" w14:textId="1B432EED" w:rsidR="00467246" w:rsidRPr="006C3137" w:rsidRDefault="00467246" w:rsidP="00467246">
      <w:pPr>
        <w:spacing w:after="0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6C313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lastRenderedPageBreak/>
        <w:t>Figure S</w:t>
      </w:r>
      <w:r w:rsidR="006B0A5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7</w:t>
      </w:r>
      <w:r w:rsidRPr="006C313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: Chronic </w:t>
      </w:r>
      <w:r w:rsidRPr="006C3137">
        <w:rPr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t>anti-Aβ</w:t>
      </w:r>
      <w:r w:rsidRPr="006C313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 xml:space="preserve"> treatment does not induce lipid changes in microglia</w:t>
      </w:r>
    </w:p>
    <w:p w14:paraId="3BC3CD59" w14:textId="77777777" w:rsidR="00467246" w:rsidRPr="006C3137" w:rsidRDefault="00467246" w:rsidP="00467246">
      <w:pPr>
        <w:spacing w:after="0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>(</w:t>
      </w:r>
      <w:r w:rsidRPr="006C313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A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>) Heatmap showing differentially regulated lipids relative to isotype control-treated mice. (</w:t>
      </w:r>
      <w:r w:rsidRPr="006C313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B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>) Volcano plots showing lipid changes in isolated microglia comparing 8-month-old treated mice vs. 4-month-old APP-SAA KI mice (</w:t>
      </w:r>
      <w:r w:rsidRPr="006C313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C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>) Volcano plots showing lipid changes in isolated microglia comparing 8-month-old treated mice vs. isotype-treated APP-SAA KI mice (</w:t>
      </w:r>
      <w:r w:rsidRPr="006C313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D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>) Boxplots showing relative abundance of selected lipids (GM3 and CE). (</w:t>
      </w:r>
      <w:r w:rsidRPr="006C3137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E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) Boxplots showing relative abundance of GM3 and CE from the dataset of Xia </w:t>
      </w:r>
      <w:r w:rsidRPr="006C3137">
        <w:rPr>
          <w:rFonts w:ascii="Arial" w:hAnsi="Arial" w:cs="Arial"/>
          <w:i/>
          <w:color w:val="000000" w:themeColor="text1"/>
          <w:sz w:val="24"/>
          <w:szCs w:val="24"/>
          <w:lang w:val="en-GB"/>
        </w:rPr>
        <w:t>et al.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2022, who analysed sorted microglia from 8-month-old WT and APP-SAA mice sorted by MX-04</w:t>
      </w:r>
      <w:r w:rsidRPr="006C3137"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-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or MX-04</w:t>
      </w:r>
      <w:r w:rsidRPr="006C3137"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+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. For (A, B, C, D): untreated </w:t>
      </w:r>
      <w:r w:rsidRPr="006C3137">
        <w:rPr>
          <w:rFonts w:ascii="Arial" w:hAnsi="Arial" w:cs="Arial"/>
          <w:i/>
          <w:color w:val="000000" w:themeColor="text1"/>
          <w:sz w:val="24"/>
          <w:szCs w:val="24"/>
          <w:lang w:val="en-GB"/>
        </w:rPr>
        <w:t>n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= 4 f, 4 m, isotype </w:t>
      </w:r>
      <w:r w:rsidRPr="006C3137">
        <w:rPr>
          <w:rFonts w:ascii="Arial" w:hAnsi="Arial" w:cs="Arial"/>
          <w:i/>
          <w:color w:val="000000" w:themeColor="text1"/>
          <w:sz w:val="24"/>
          <w:szCs w:val="24"/>
          <w:lang w:val="en-GB"/>
        </w:rPr>
        <w:t>n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= 2 f, 5 m, 1 mg/kg </w:t>
      </w:r>
      <w:r w:rsidRPr="006C3137">
        <w:rPr>
          <w:rFonts w:ascii="Arial" w:hAnsi="Arial" w:cs="Arial"/>
          <w:i/>
          <w:color w:val="000000" w:themeColor="text1"/>
          <w:sz w:val="24"/>
          <w:szCs w:val="24"/>
          <w:lang w:val="en-GB"/>
        </w:rPr>
        <w:t>n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= 1 f, 4 m, 3 mg/kg </w:t>
      </w:r>
      <w:r w:rsidRPr="006C3137">
        <w:rPr>
          <w:rFonts w:ascii="Arial" w:hAnsi="Arial" w:cs="Arial"/>
          <w:i/>
          <w:color w:val="000000" w:themeColor="text1"/>
          <w:sz w:val="24"/>
          <w:szCs w:val="24"/>
          <w:lang w:val="en-GB"/>
        </w:rPr>
        <w:t>n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= 3 f, 3 m, 10 mg/kg </w:t>
      </w:r>
      <w:r w:rsidRPr="006C3137">
        <w:rPr>
          <w:rFonts w:ascii="Arial" w:hAnsi="Arial" w:cs="Arial"/>
          <w:i/>
          <w:color w:val="000000" w:themeColor="text1"/>
          <w:sz w:val="24"/>
          <w:szCs w:val="24"/>
          <w:lang w:val="en-GB"/>
        </w:rPr>
        <w:t>n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= 3 f, 4 m. </w:t>
      </w:r>
      <w:bookmarkStart w:id="7" w:name="_Hlk199773916"/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>For (E): WT, MX-04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-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  <w:r w:rsidRPr="006C3137">
        <w:rPr>
          <w:rFonts w:ascii="Arial" w:hAnsi="Arial" w:cs="Arial"/>
          <w:i/>
          <w:color w:val="000000" w:themeColor="text1"/>
          <w:sz w:val="24"/>
          <w:szCs w:val="24"/>
          <w:lang w:val="en-GB"/>
        </w:rPr>
        <w:t>n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= 7 f, 3 m, HOM, MX-04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-</w:t>
      </w:r>
      <w:r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  <w:r w:rsidRPr="006C3137">
        <w:rPr>
          <w:rFonts w:ascii="Arial" w:hAnsi="Arial" w:cs="Arial"/>
          <w:i/>
          <w:color w:val="000000" w:themeColor="text1"/>
          <w:sz w:val="24"/>
          <w:szCs w:val="24"/>
          <w:lang w:val="en-GB"/>
        </w:rPr>
        <w:t>n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= 8 f, 2 m, HOM, MX-04</w:t>
      </w:r>
      <w:r w:rsidRPr="006C3137">
        <w:rPr>
          <w:rFonts w:ascii="Arial" w:hAnsi="Arial" w:cs="Arial"/>
          <w:color w:val="000000" w:themeColor="text1"/>
          <w:sz w:val="24"/>
          <w:szCs w:val="24"/>
          <w:vertAlign w:val="superscript"/>
          <w:lang w:val="en-GB"/>
        </w:rPr>
        <w:t>+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</w:t>
      </w:r>
      <w:r w:rsidRPr="006C3137">
        <w:rPr>
          <w:rFonts w:ascii="Arial" w:hAnsi="Arial" w:cs="Arial"/>
          <w:i/>
          <w:color w:val="000000" w:themeColor="text1"/>
          <w:sz w:val="24"/>
          <w:szCs w:val="24"/>
          <w:lang w:val="en-GB"/>
        </w:rPr>
        <w:t>n</w:t>
      </w:r>
      <w:r w:rsidRPr="006C3137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 = 8 f, 2 m. </w:t>
      </w:r>
      <w:bookmarkEnd w:id="7"/>
    </w:p>
    <w:p w14:paraId="2FB3B068" w14:textId="61A9A93F" w:rsidR="00FC3C0D" w:rsidRPr="00F81F1D" w:rsidRDefault="00FC3C0D" w:rsidP="00FC3C0D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</w:p>
    <w:p w14:paraId="787FAF0D" w14:textId="0EC9BF3A" w:rsidR="0047146D" w:rsidRDefault="00437970" w:rsidP="00467246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  <w:lang w:val="en-GB"/>
        </w:rPr>
        <w:lastRenderedPageBreak/>
        <w:drawing>
          <wp:inline distT="0" distB="0" distL="0" distR="0" wp14:anchorId="6CB9C1ED" wp14:editId="4625D03E">
            <wp:extent cx="5731510" cy="758571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3C0D" w:rsidRPr="005A3F02">
        <w:rPr>
          <w:rFonts w:ascii="Arial" w:hAnsi="Arial" w:cs="Arial"/>
          <w:b/>
          <w:sz w:val="24"/>
          <w:szCs w:val="24"/>
          <w:lang w:val="en-GB"/>
        </w:rPr>
        <w:br/>
      </w:r>
    </w:p>
    <w:p w14:paraId="15F2A9D2" w14:textId="77777777" w:rsidR="0047146D" w:rsidRDefault="0047146D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br w:type="page"/>
      </w:r>
    </w:p>
    <w:p w14:paraId="68F900CE" w14:textId="75FBF847" w:rsidR="00467246" w:rsidRPr="006C3137" w:rsidRDefault="00467246" w:rsidP="00467246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6C3137">
        <w:rPr>
          <w:rFonts w:ascii="Arial" w:hAnsi="Arial" w:cs="Arial"/>
          <w:b/>
          <w:sz w:val="24"/>
          <w:szCs w:val="24"/>
          <w:lang w:val="en-GB"/>
        </w:rPr>
        <w:lastRenderedPageBreak/>
        <w:t>Figure S</w:t>
      </w:r>
      <w:r w:rsidR="006B0A57">
        <w:rPr>
          <w:rFonts w:ascii="Arial" w:hAnsi="Arial" w:cs="Arial"/>
          <w:b/>
          <w:sz w:val="24"/>
          <w:szCs w:val="24"/>
          <w:lang w:val="en-GB"/>
        </w:rPr>
        <w:t>8</w:t>
      </w:r>
      <w:r w:rsidRPr="006C3137">
        <w:rPr>
          <w:rFonts w:ascii="Arial" w:hAnsi="Arial" w:cs="Arial"/>
          <w:b/>
          <w:sz w:val="24"/>
          <w:szCs w:val="24"/>
          <w:lang w:val="en-GB"/>
        </w:rPr>
        <w:t xml:space="preserve">: Chronic </w:t>
      </w:r>
      <w:r w:rsidRPr="006C3137">
        <w:rPr>
          <w:rFonts w:ascii="Arial" w:hAnsi="Arial" w:cs="Arial"/>
          <w:b/>
          <w:bCs/>
          <w:sz w:val="24"/>
          <w:szCs w:val="24"/>
          <w:lang w:val="en-GB"/>
        </w:rPr>
        <w:t>anti-Aβ</w:t>
      </w:r>
      <w:r w:rsidRPr="006C3137">
        <w:rPr>
          <w:rFonts w:ascii="Arial" w:hAnsi="Arial" w:cs="Arial"/>
          <w:b/>
          <w:sz w:val="24"/>
          <w:szCs w:val="24"/>
          <w:lang w:val="en-GB"/>
        </w:rPr>
        <w:t xml:space="preserve"> treatment decreases microglial DAM activation</w:t>
      </w:r>
      <w:r w:rsidRPr="006C3137">
        <w:rPr>
          <w:rFonts w:ascii="Arial" w:hAnsi="Arial" w:cs="Arial"/>
          <w:b/>
          <w:sz w:val="24"/>
          <w:szCs w:val="24"/>
          <w:lang w:val="en-GB"/>
        </w:rPr>
        <w:br/>
      </w:r>
      <w:r w:rsidRPr="006C3137">
        <w:rPr>
          <w:rFonts w:ascii="Arial" w:hAnsi="Arial" w:cs="Arial"/>
          <w:sz w:val="24"/>
          <w:szCs w:val="24"/>
          <w:lang w:val="en-GB"/>
        </w:rPr>
        <w:t>(</w:t>
      </w:r>
      <w:r w:rsidRPr="006C3137">
        <w:rPr>
          <w:rFonts w:ascii="Arial" w:hAnsi="Arial" w:cs="Arial"/>
          <w:b/>
          <w:sz w:val="24"/>
          <w:szCs w:val="24"/>
          <w:lang w:val="en-GB"/>
        </w:rPr>
        <w:t>A</w:t>
      </w:r>
      <w:r w:rsidRPr="006C3137">
        <w:rPr>
          <w:rFonts w:ascii="Arial" w:hAnsi="Arial" w:cs="Arial"/>
          <w:sz w:val="24"/>
          <w:szCs w:val="24"/>
          <w:lang w:val="en-GB"/>
        </w:rPr>
        <w:t>) Representative epifluorescence images of DAPI (grey), Iba1 (cyan), thiazine (purple), and ApoE (orange).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B</w:t>
      </w:r>
      <w:r w:rsidRPr="006C3137">
        <w:rPr>
          <w:rFonts w:ascii="Arial" w:hAnsi="Arial" w:cs="Arial"/>
          <w:sz w:val="24"/>
          <w:szCs w:val="24"/>
          <w:lang w:val="en-GB"/>
        </w:rPr>
        <w:t>) Quantification of percent cortical ApoE and ApoE in Iba1, as well as concentric plaque analysis of ApoE in Iba1.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C</w:t>
      </w:r>
      <w:r w:rsidRPr="006C3137">
        <w:rPr>
          <w:rFonts w:ascii="Arial" w:hAnsi="Arial" w:cs="Arial"/>
          <w:sz w:val="24"/>
          <w:szCs w:val="24"/>
          <w:lang w:val="en-GB"/>
        </w:rPr>
        <w:t>) Representative epifluorescence images of P2ry12 (cyan) and thiazine (purple) (</w:t>
      </w:r>
      <w:r w:rsidRPr="006C3137">
        <w:rPr>
          <w:rFonts w:ascii="Arial" w:hAnsi="Arial" w:cs="Arial"/>
          <w:b/>
          <w:sz w:val="24"/>
          <w:szCs w:val="24"/>
          <w:lang w:val="en-GB"/>
        </w:rPr>
        <w:t>D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) Quantification of percent cortical P2ry12, as well as concentric plaque analysis of P2ry12. *: P &lt; 0.05, **: P &lt; 0.01, ***: P &lt; 0.001. One-way ANOVA with Tukey’s post hoc test (B, D). For (B, D): isotype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f, 2 m, 1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3 m, 3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3 m, 10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2 m.</w:t>
      </w:r>
    </w:p>
    <w:p w14:paraId="390AF74D" w14:textId="33A0D48D" w:rsidR="00FC3C0D" w:rsidRPr="005A3F02" w:rsidRDefault="00FC3C0D" w:rsidP="00FC3C0D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</w:p>
    <w:p w14:paraId="02761A49" w14:textId="169059A4" w:rsidR="0047146D" w:rsidRDefault="00437970" w:rsidP="00467246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  <w:lang w:val="en-GB"/>
        </w:rPr>
        <w:lastRenderedPageBreak/>
        <w:drawing>
          <wp:inline distT="0" distB="0" distL="0" distR="0" wp14:anchorId="3ACBB0BC" wp14:editId="0039D826">
            <wp:extent cx="5731510" cy="758571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7246" w:rsidRPr="00467246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781629C5" w14:textId="77777777" w:rsidR="0047146D" w:rsidRDefault="0047146D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br w:type="page"/>
      </w:r>
    </w:p>
    <w:p w14:paraId="4FE035CE" w14:textId="26C36D8E" w:rsidR="00467246" w:rsidRPr="006C3137" w:rsidRDefault="00467246" w:rsidP="00467246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 w:rsidRPr="006C3137">
        <w:rPr>
          <w:rFonts w:ascii="Arial" w:hAnsi="Arial" w:cs="Arial"/>
          <w:b/>
          <w:sz w:val="24"/>
          <w:szCs w:val="24"/>
          <w:lang w:val="en-GB"/>
        </w:rPr>
        <w:lastRenderedPageBreak/>
        <w:t>Figure S</w:t>
      </w:r>
      <w:r w:rsidR="006B0A57">
        <w:rPr>
          <w:rFonts w:ascii="Arial" w:hAnsi="Arial" w:cs="Arial"/>
          <w:b/>
          <w:sz w:val="24"/>
          <w:szCs w:val="24"/>
          <w:lang w:val="en-GB"/>
        </w:rPr>
        <w:t>9</w:t>
      </w:r>
      <w:r w:rsidRPr="006C3137">
        <w:rPr>
          <w:rFonts w:ascii="Arial" w:hAnsi="Arial" w:cs="Arial"/>
          <w:b/>
          <w:sz w:val="24"/>
          <w:szCs w:val="24"/>
          <w:lang w:val="en-GB"/>
        </w:rPr>
        <w:t xml:space="preserve">: Chronic </w:t>
      </w:r>
      <w:r w:rsidRPr="006C3137">
        <w:rPr>
          <w:rFonts w:ascii="Arial" w:hAnsi="Arial" w:cs="Arial"/>
          <w:b/>
          <w:bCs/>
          <w:sz w:val="24"/>
          <w:szCs w:val="24"/>
          <w:lang w:val="en-GB"/>
        </w:rPr>
        <w:t>anti-Aβ</w:t>
      </w:r>
      <w:r w:rsidRPr="006C3137">
        <w:rPr>
          <w:rFonts w:ascii="Arial" w:hAnsi="Arial" w:cs="Arial"/>
          <w:b/>
          <w:sz w:val="24"/>
          <w:szCs w:val="24"/>
          <w:lang w:val="en-GB"/>
        </w:rPr>
        <w:t xml:space="preserve"> treatment does not affect microgliosis and astrogliosis, but increases Gfap around residual plaques</w:t>
      </w:r>
    </w:p>
    <w:p w14:paraId="590921C5" w14:textId="677D03DD" w:rsidR="00FC3C0D" w:rsidRDefault="00467246" w:rsidP="00467246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 w:rsidRPr="006C3137">
        <w:rPr>
          <w:rFonts w:ascii="Arial" w:hAnsi="Arial" w:cs="Arial"/>
          <w:sz w:val="24"/>
          <w:szCs w:val="24"/>
          <w:lang w:val="en-GB"/>
        </w:rPr>
        <w:t>(</w:t>
      </w:r>
      <w:r w:rsidRPr="006C3137">
        <w:rPr>
          <w:rFonts w:ascii="Arial" w:hAnsi="Arial" w:cs="Arial"/>
          <w:b/>
          <w:sz w:val="24"/>
          <w:szCs w:val="24"/>
          <w:lang w:val="en-GB"/>
        </w:rPr>
        <w:t>A</w:t>
      </w:r>
      <w:r w:rsidRPr="006C3137">
        <w:rPr>
          <w:rFonts w:ascii="Arial" w:hAnsi="Arial" w:cs="Arial"/>
          <w:sz w:val="24"/>
          <w:szCs w:val="24"/>
          <w:lang w:val="en-GB"/>
        </w:rPr>
        <w:t>) Quantification of percent cortical Iba1 and concentric-plaque analysis of Iba1.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B</w:t>
      </w:r>
      <w:r w:rsidRPr="006C3137">
        <w:rPr>
          <w:rFonts w:ascii="Arial" w:hAnsi="Arial" w:cs="Arial"/>
          <w:sz w:val="24"/>
          <w:szCs w:val="24"/>
          <w:lang w:val="en-GB"/>
        </w:rPr>
        <w:t>) Representative epifluorescence images of Gfap (cyan) and thiazine (purple). (</w:t>
      </w:r>
      <w:r w:rsidRPr="006C3137">
        <w:rPr>
          <w:rFonts w:ascii="Arial" w:hAnsi="Arial" w:cs="Arial"/>
          <w:b/>
          <w:sz w:val="24"/>
          <w:szCs w:val="24"/>
          <w:lang w:val="en-GB"/>
        </w:rPr>
        <w:t>C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) Quantification of percent cortical Gfap, as well as concentric plaque analysis of Gfap. ***: P &lt; 0.001. One-way ANOVA with Tukey’s post hoc test (A, C). For (A, C): isotype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5 f, 2 m, 1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3 m, 3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3 m, 10 mg/kg </w:t>
      </w:r>
      <w:r w:rsidRPr="006C3137">
        <w:rPr>
          <w:rFonts w:ascii="Arial" w:hAnsi="Arial" w:cs="Arial"/>
          <w:i/>
          <w:sz w:val="24"/>
          <w:szCs w:val="24"/>
          <w:lang w:val="en-GB"/>
        </w:rPr>
        <w:t>n</w:t>
      </w:r>
      <w:r w:rsidRPr="006C3137">
        <w:rPr>
          <w:rFonts w:ascii="Arial" w:hAnsi="Arial" w:cs="Arial"/>
          <w:sz w:val="24"/>
          <w:szCs w:val="24"/>
          <w:lang w:val="en-GB"/>
        </w:rPr>
        <w:t xml:space="preserve"> = 4 f, 3 m.</w:t>
      </w:r>
    </w:p>
    <w:p w14:paraId="4E617A73" w14:textId="77777777" w:rsidR="00FC3C0D" w:rsidRDefault="00FC3C0D" w:rsidP="00FC3C0D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</w:p>
    <w:p w14:paraId="1E44EB3F" w14:textId="72DB5FEF" w:rsidR="008B76B5" w:rsidRPr="00D01D5A" w:rsidRDefault="008B76B5" w:rsidP="00D01D5A">
      <w:pPr>
        <w:spacing w:after="0"/>
        <w:rPr>
          <w:rFonts w:ascii="Arial" w:hAnsi="Arial" w:cs="Arial"/>
          <w:sz w:val="24"/>
          <w:szCs w:val="24"/>
          <w:lang w:val="en-GB"/>
        </w:rPr>
      </w:pPr>
    </w:p>
    <w:sectPr w:rsidR="008B76B5" w:rsidRPr="00D01D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D5A"/>
    <w:rsid w:val="00052801"/>
    <w:rsid w:val="00077507"/>
    <w:rsid w:val="00083A16"/>
    <w:rsid w:val="000904E2"/>
    <w:rsid w:val="000A7157"/>
    <w:rsid w:val="000C0F47"/>
    <w:rsid w:val="000D0F16"/>
    <w:rsid w:val="00104214"/>
    <w:rsid w:val="00107308"/>
    <w:rsid w:val="00130624"/>
    <w:rsid w:val="00167B34"/>
    <w:rsid w:val="0020219E"/>
    <w:rsid w:val="00221AED"/>
    <w:rsid w:val="00232781"/>
    <w:rsid w:val="00235F8F"/>
    <w:rsid w:val="002C253D"/>
    <w:rsid w:val="00300D76"/>
    <w:rsid w:val="00334FD1"/>
    <w:rsid w:val="003A13A2"/>
    <w:rsid w:val="003A16F7"/>
    <w:rsid w:val="003A665B"/>
    <w:rsid w:val="003C4076"/>
    <w:rsid w:val="003E2850"/>
    <w:rsid w:val="00411E70"/>
    <w:rsid w:val="00414B9A"/>
    <w:rsid w:val="004307F4"/>
    <w:rsid w:val="00431BBE"/>
    <w:rsid w:val="00437970"/>
    <w:rsid w:val="00467246"/>
    <w:rsid w:val="0047146D"/>
    <w:rsid w:val="0048250F"/>
    <w:rsid w:val="00493682"/>
    <w:rsid w:val="004A09E9"/>
    <w:rsid w:val="004B349D"/>
    <w:rsid w:val="004D4A01"/>
    <w:rsid w:val="005117B3"/>
    <w:rsid w:val="00514933"/>
    <w:rsid w:val="00532D62"/>
    <w:rsid w:val="005351C9"/>
    <w:rsid w:val="00543E85"/>
    <w:rsid w:val="00581BB5"/>
    <w:rsid w:val="00582219"/>
    <w:rsid w:val="00600F93"/>
    <w:rsid w:val="00645359"/>
    <w:rsid w:val="006556DC"/>
    <w:rsid w:val="0065785B"/>
    <w:rsid w:val="006678E0"/>
    <w:rsid w:val="00677408"/>
    <w:rsid w:val="00690CC0"/>
    <w:rsid w:val="006B0A57"/>
    <w:rsid w:val="006C4C5E"/>
    <w:rsid w:val="006C73FE"/>
    <w:rsid w:val="006E67AE"/>
    <w:rsid w:val="00730896"/>
    <w:rsid w:val="007A0D48"/>
    <w:rsid w:val="007B2485"/>
    <w:rsid w:val="007B2C55"/>
    <w:rsid w:val="0080470A"/>
    <w:rsid w:val="00823164"/>
    <w:rsid w:val="008B76B5"/>
    <w:rsid w:val="008C6488"/>
    <w:rsid w:val="008C6A11"/>
    <w:rsid w:val="00911A38"/>
    <w:rsid w:val="00937E5D"/>
    <w:rsid w:val="009440C9"/>
    <w:rsid w:val="00987EB9"/>
    <w:rsid w:val="009D519D"/>
    <w:rsid w:val="009E7D71"/>
    <w:rsid w:val="009F1B91"/>
    <w:rsid w:val="009F50F1"/>
    <w:rsid w:val="00A01D76"/>
    <w:rsid w:val="00A201E1"/>
    <w:rsid w:val="00A52821"/>
    <w:rsid w:val="00A92715"/>
    <w:rsid w:val="00AC0A3E"/>
    <w:rsid w:val="00AC1CAB"/>
    <w:rsid w:val="00AD6775"/>
    <w:rsid w:val="00B16BA3"/>
    <w:rsid w:val="00B40F5D"/>
    <w:rsid w:val="00B722D3"/>
    <w:rsid w:val="00BD0F10"/>
    <w:rsid w:val="00BF5AFD"/>
    <w:rsid w:val="00CA2A3A"/>
    <w:rsid w:val="00CB44AD"/>
    <w:rsid w:val="00CD1E8B"/>
    <w:rsid w:val="00CD65AC"/>
    <w:rsid w:val="00CE0A07"/>
    <w:rsid w:val="00D01D5A"/>
    <w:rsid w:val="00D040EB"/>
    <w:rsid w:val="00D047B4"/>
    <w:rsid w:val="00D848D9"/>
    <w:rsid w:val="00DC4AE2"/>
    <w:rsid w:val="00DE5324"/>
    <w:rsid w:val="00E01B63"/>
    <w:rsid w:val="00E03484"/>
    <w:rsid w:val="00E3188F"/>
    <w:rsid w:val="00E3528C"/>
    <w:rsid w:val="00E87124"/>
    <w:rsid w:val="00ED261E"/>
    <w:rsid w:val="00EE56C5"/>
    <w:rsid w:val="00F248D6"/>
    <w:rsid w:val="00F51ED3"/>
    <w:rsid w:val="00F81731"/>
    <w:rsid w:val="00F81F1D"/>
    <w:rsid w:val="00F82E77"/>
    <w:rsid w:val="00F83FB0"/>
    <w:rsid w:val="00F86276"/>
    <w:rsid w:val="00FC3C0D"/>
    <w:rsid w:val="00F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D908"/>
  <w15:chartTrackingRefBased/>
  <w15:docId w15:val="{457A721C-6C00-4405-BBE4-10F0BDC0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D5A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D5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1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19D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19D"/>
    <w:rPr>
      <w:b/>
      <w:bCs/>
      <w:sz w:val="20"/>
      <w:szCs w:val="2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19D"/>
    <w:rPr>
      <w:rFonts w:ascii="Segoe UI" w:hAnsi="Segoe UI" w:cs="Segoe UI"/>
      <w:sz w:val="18"/>
      <w:szCs w:val="18"/>
      <w:lang w:val="de-DE"/>
    </w:rPr>
  </w:style>
  <w:style w:type="character" w:styleId="Hyperlink">
    <w:name w:val="Hyperlink"/>
    <w:basedOn w:val="DefaultParagraphFont"/>
    <w:uiPriority w:val="99"/>
    <w:unhideWhenUsed/>
    <w:rsid w:val="007B2485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qFormat/>
    <w:rsid w:val="006B0A57"/>
    <w:pPr>
      <w:spacing w:before="240" w:after="0" w:line="240" w:lineRule="auto"/>
    </w:pPr>
    <w:rPr>
      <w:rFonts w:ascii="Arial" w:eastAsia="Times New Roman" w:hAnsi="Arial" w:cs="Times New Roman"/>
      <w:b/>
      <w:sz w:val="18"/>
      <w:szCs w:val="20"/>
      <w:lang w:val="en-GB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482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9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lis.deweerd@dzne.de" TargetMode="External"/><Relationship Id="rId11" Type="http://schemas.openxmlformats.org/officeDocument/2006/relationships/image" Target="media/image5.jpeg"/><Relationship Id="rId5" Type="http://schemas.openxmlformats.org/officeDocument/2006/relationships/hyperlink" Target="mailto:christian.haass@mail03.med.uni-muenchen.de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498A1-1932-4568-9459-D947AC283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 de Weerd</dc:creator>
  <cp:keywords/>
  <dc:description/>
  <cp:lastModifiedBy>Lis de Weerd</cp:lastModifiedBy>
  <cp:revision>17</cp:revision>
  <cp:lastPrinted>2025-02-25T16:20:00Z</cp:lastPrinted>
  <dcterms:created xsi:type="dcterms:W3CDTF">2025-03-28T14:47:00Z</dcterms:created>
  <dcterms:modified xsi:type="dcterms:W3CDTF">2025-07-30T19:15:00Z</dcterms:modified>
</cp:coreProperties>
</file>