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2E120" w14:textId="71E91020" w:rsidR="003B213C" w:rsidRPr="0087749D" w:rsidRDefault="003B213C" w:rsidP="00424710">
      <w:pPr>
        <w:pStyle w:val="NormalWeb"/>
        <w:spacing w:line="480" w:lineRule="auto"/>
        <w:jc w:val="both"/>
      </w:pPr>
      <w:r w:rsidRPr="0087749D">
        <w:rPr>
          <w:b/>
          <w:bCs/>
        </w:rPr>
        <w:t>Supplemental Appendix 1.</w:t>
      </w:r>
      <w:r w:rsidRPr="0087749D">
        <w:t xml:space="preserve"> </w:t>
      </w:r>
    </w:p>
    <w:p w14:paraId="7E7343E4" w14:textId="0142A2E3" w:rsidR="003B213C" w:rsidRPr="0087749D" w:rsidRDefault="003B213C" w:rsidP="00424710">
      <w:pPr>
        <w:pStyle w:val="NormalWeb"/>
        <w:spacing w:line="480" w:lineRule="auto"/>
        <w:jc w:val="center"/>
        <w:rPr>
          <w:b/>
          <w:bCs/>
        </w:rPr>
      </w:pPr>
      <w:r w:rsidRPr="0087749D">
        <w:rPr>
          <w:b/>
          <w:bCs/>
        </w:rPr>
        <w:t>ASSESSMENTS OF TRIAL INFORMATION FOR TABLE</w:t>
      </w:r>
      <w:r w:rsidR="00D7620D">
        <w:rPr>
          <w:b/>
          <w:bCs/>
        </w:rPr>
        <w:t>S</w:t>
      </w:r>
      <w:r w:rsidRPr="0087749D">
        <w:rPr>
          <w:b/>
          <w:bCs/>
        </w:rPr>
        <w:t xml:space="preserve"> 1</w:t>
      </w:r>
      <w:r w:rsidR="00D7620D">
        <w:rPr>
          <w:b/>
          <w:bCs/>
        </w:rPr>
        <w:t xml:space="preserve"> &amp; 2</w:t>
      </w:r>
    </w:p>
    <w:p w14:paraId="2992BF86" w14:textId="2E9470F9" w:rsidR="00D7620D" w:rsidRDefault="003B213C" w:rsidP="000320DF">
      <w:pPr>
        <w:spacing w:line="480" w:lineRule="auto"/>
        <w:rPr>
          <w:rFonts w:ascii="Times New Roman" w:hAnsi="Times New Roman" w:cs="Times New Roman"/>
        </w:rPr>
      </w:pPr>
      <w:r w:rsidRPr="0087749D">
        <w:rPr>
          <w:rFonts w:ascii="Times New Roman" w:hAnsi="Times New Roman" w:cs="Times New Roman"/>
        </w:rPr>
        <w:t xml:space="preserve">We assessed available information for each trial to best provide summary values for Table 1. This information </w:t>
      </w:r>
      <w:r w:rsidR="004F7FCE" w:rsidRPr="0087749D">
        <w:rPr>
          <w:rFonts w:ascii="Times New Roman" w:hAnsi="Times New Roman" w:cs="Times New Roman"/>
        </w:rPr>
        <w:t>is mostly derived from</w:t>
      </w:r>
      <w:r w:rsidRPr="0087749D">
        <w:rPr>
          <w:rFonts w:ascii="Times New Roman" w:hAnsi="Times New Roman" w:cs="Times New Roman"/>
        </w:rPr>
        <w:t xml:space="preserve"> publications (e.g., published protocols and results) and information provided in clinicaltrials.gov. </w:t>
      </w:r>
      <w:r w:rsidR="000320DF" w:rsidRPr="000320DF">
        <w:rPr>
          <w:rFonts w:ascii="Times New Roman" w:hAnsi="Times New Roman" w:cs="Times New Roman"/>
        </w:rPr>
        <w:t>We used both FAST and the NIA-AA 2024 criteria as unifying variables for cognitive decline and dementia stage, as it is they are precise (i.e., have more tiers) than other options and staging can be approximated based on a variety of assessments. FAST and NIA-AA criteria are nearly equivalent. Both are focused on clinical assessment; clinical assessment is required for meta-analyses as few trials ascertain biomarkers. Furthermore, universal/standard biomarker thresholds have yet to be established. For patients with no symptoms, a FAST score of 1 encompasses an NIA-AA score of either 0 (absence of biomarkers) or of 1 (presence of biomarkers). The FAST score range of 2-3 is equivalent to the NIA-AA range 2-4. A FAST score of 4 is equivalent to an NIA-AA score of 5. A FAST score of 5 is equivalent to an NIA-AA score of 6. Individuals with AD in NIA-AA Stage 0 have biomarkers for AD (in addition to genetic disposition), but they are undetectable. As technologies improve and become more widely deployed, more patients that may currently be assigned to Stage 0 will be assigned to Stage 1, although at some point staging will likely be updated to account for advances in technology and real-world clinical adoption of these technologies. FAST scoring does not use biomarkers so avoids the current clinical non-uniformity associated with biomarker-based staging. Unification based on one or both scoring systems is needed; few trials use the same assessments for their inclusion/exclusion criteria</w:t>
      </w:r>
      <w:r w:rsidRPr="0087749D">
        <w:rPr>
          <w:rFonts w:ascii="Times New Roman" w:hAnsi="Times New Roman" w:cs="Times New Roman"/>
        </w:rPr>
        <w:t>.</w:t>
      </w:r>
      <w:r w:rsidR="00795684">
        <w:rPr>
          <w:rFonts w:ascii="Times New Roman" w:hAnsi="Times New Roman" w:cs="Times New Roman"/>
        </w:rPr>
        <w:t xml:space="preserve"> Trials with inclusion criteria that included </w:t>
      </w:r>
      <w:r w:rsidR="00795684" w:rsidRPr="00795684">
        <w:rPr>
          <w:rFonts w:ascii="Times New Roman" w:hAnsi="Times New Roman" w:cs="Times New Roman"/>
          <w:u w:val="single"/>
        </w:rPr>
        <w:t>all</w:t>
      </w:r>
      <w:r w:rsidR="00795684">
        <w:rPr>
          <w:rFonts w:ascii="Times New Roman" w:hAnsi="Times New Roman" w:cs="Times New Roman"/>
        </w:rPr>
        <w:t xml:space="preserve"> older individuals without any other AD-relevant criteria were excluded (see also </w:t>
      </w:r>
      <w:r w:rsidR="00795684" w:rsidRPr="00795684">
        <w:rPr>
          <w:rFonts w:ascii="Times New Roman" w:hAnsi="Times New Roman" w:cs="Times New Roman"/>
          <w:b/>
          <w:bCs/>
        </w:rPr>
        <w:lastRenderedPageBreak/>
        <w:t>Supplemental Appendix 2</w:t>
      </w:r>
      <w:r w:rsidR="00795684">
        <w:rPr>
          <w:rFonts w:ascii="Times New Roman" w:hAnsi="Times New Roman" w:cs="Times New Roman"/>
        </w:rPr>
        <w:t>) as we considered these to not be “Alzheimer’s disease” (AD) trials. Trials that included AD risk factors (other than age) as inclusion criteria were included even if most or all participants were FAST stage 1; we considered these to be trials of presymptomatic AD.</w:t>
      </w:r>
      <w:r w:rsidR="00D7620D">
        <w:rPr>
          <w:rFonts w:ascii="Times New Roman" w:hAnsi="Times New Roman" w:cs="Times New Roman"/>
        </w:rPr>
        <w:t xml:space="preserve"> </w:t>
      </w:r>
    </w:p>
    <w:p w14:paraId="1883B529" w14:textId="36728E84" w:rsidR="00D7620D" w:rsidRDefault="00D7620D" w:rsidP="00D7620D">
      <w:pPr>
        <w:spacing w:line="480" w:lineRule="auto"/>
        <w:rPr>
          <w:rFonts w:ascii="Times New Roman" w:hAnsi="Times New Roman" w:cs="Times New Roman"/>
        </w:rPr>
      </w:pPr>
      <w:r>
        <w:rPr>
          <w:rFonts w:ascii="Times New Roman" w:hAnsi="Times New Roman" w:cs="Times New Roman"/>
        </w:rPr>
        <w:t xml:space="preserve">Estimates of relative </w:t>
      </w:r>
      <w:r w:rsidR="00A90E76">
        <w:rPr>
          <w:rFonts w:ascii="Times New Roman" w:hAnsi="Times New Roman" w:cs="Times New Roman"/>
        </w:rPr>
        <w:t xml:space="preserve">effect size </w:t>
      </w:r>
      <w:r>
        <w:rPr>
          <w:rFonts w:ascii="Times New Roman" w:hAnsi="Times New Roman" w:cs="Times New Roman"/>
        </w:rPr>
        <w:t>and Cohen’s d effect size were often difficult; authors rarely report effect sizes. Cohen’s d (or nearly equivalently Hedge’s g) effect sizes were available from publications for COMBAT</w:t>
      </w:r>
      <w:r w:rsidR="007B22BB">
        <w:rPr>
          <w:rFonts w:ascii="Times New Roman" w:hAnsi="Times New Roman" w:cs="Times New Roman"/>
        </w:rPr>
        <w:t xml:space="preserve"> &amp; </w:t>
      </w:r>
      <w:r>
        <w:rPr>
          <w:rFonts w:ascii="Times New Roman" w:hAnsi="Times New Roman" w:cs="Times New Roman"/>
        </w:rPr>
        <w:t>FINGER; we used these three reported values in Table 2. For all other cases we did our best to estimate Cohen’s d based on the means of the two arms and the standard deviation of the outcome measure. Means of outcome measures were almost universally available f</w:t>
      </w:r>
      <w:r w:rsidR="00DC4E5D">
        <w:rPr>
          <w:rFonts w:ascii="Times New Roman" w:hAnsi="Times New Roman" w:cs="Times New Roman"/>
        </w:rPr>
        <w:t>ro</w:t>
      </w:r>
      <w:r>
        <w:rPr>
          <w:rFonts w:ascii="Times New Roman" w:hAnsi="Times New Roman" w:cs="Times New Roman"/>
        </w:rPr>
        <w:t>m publications; standard deviations in many cases had to be estimated. As a result, our estimates for Cohen’s d might be off by a factor of 2 or more. However, such imprecision has little effect on any perspective or conclusion we present.</w:t>
      </w:r>
      <w:r w:rsidR="00A90E76">
        <w:rPr>
          <w:rFonts w:ascii="Times New Roman" w:hAnsi="Times New Roman" w:cs="Times New Roman"/>
        </w:rPr>
        <w:t xml:space="preserve"> Our estimates of relative effect size also suffer from imprecision for two reasons: (1) the precise meaning and interpretation of “relative effect size” varies depending on the type of variable </w:t>
      </w:r>
      <w:r w:rsidR="00FC7EFC">
        <w:rPr>
          <w:rFonts w:ascii="Times New Roman" w:hAnsi="Times New Roman" w:cs="Times New Roman"/>
        </w:rPr>
        <w:t xml:space="preserve">(e.g., normalized or linearized) </w:t>
      </w:r>
      <w:r w:rsidR="00A90E76">
        <w:rPr>
          <w:rFonts w:ascii="Times New Roman" w:hAnsi="Times New Roman" w:cs="Times New Roman"/>
        </w:rPr>
        <w:t xml:space="preserve">and the directional change from baseline of the two trial arms, and (2) absolute values of the primary outcome variables are not reported in all publications. </w:t>
      </w:r>
      <w:proofErr w:type="gramStart"/>
      <w:r w:rsidR="00A90E76">
        <w:rPr>
          <w:rFonts w:ascii="Times New Roman" w:hAnsi="Times New Roman" w:cs="Times New Roman"/>
        </w:rPr>
        <w:t>Generally speaking, relative</w:t>
      </w:r>
      <w:proofErr w:type="gramEnd"/>
      <w:r w:rsidR="00A90E76">
        <w:rPr>
          <w:rFonts w:ascii="Times New Roman" w:hAnsi="Times New Roman" w:cs="Times New Roman"/>
        </w:rPr>
        <w:t xml:space="preserve"> effect sizes are deprecated </w:t>
      </w:r>
      <w:r w:rsidR="00FC7EFC">
        <w:rPr>
          <w:rFonts w:ascii="Times New Roman" w:hAnsi="Times New Roman" w:cs="Times New Roman"/>
        </w:rPr>
        <w:t>as</w:t>
      </w:r>
      <w:r w:rsidR="00A90E76">
        <w:rPr>
          <w:rFonts w:ascii="Times New Roman" w:hAnsi="Times New Roman" w:cs="Times New Roman"/>
        </w:rPr>
        <w:t xml:space="preserve"> statistics. However, they are often reported in the context of AD clinical trials and a subset of readers will expect to see them. One of our goals for computing and tabulating </w:t>
      </w:r>
      <w:r w:rsidR="00FC7EFC">
        <w:rPr>
          <w:rFonts w:ascii="Times New Roman" w:hAnsi="Times New Roman" w:cs="Times New Roman"/>
        </w:rPr>
        <w:t xml:space="preserve">relative effect sizes </w:t>
      </w:r>
      <w:r w:rsidR="00A90E76">
        <w:rPr>
          <w:rFonts w:ascii="Times New Roman" w:hAnsi="Times New Roman" w:cs="Times New Roman"/>
        </w:rPr>
        <w:t>in Table 2 is to demonstrate their unreliability for most purposes, including comparative purposes.</w:t>
      </w:r>
    </w:p>
    <w:p w14:paraId="6C55D924" w14:textId="6443CFB1" w:rsidR="00EB114D" w:rsidRDefault="00EB114D" w:rsidP="00D7620D">
      <w:pPr>
        <w:spacing w:line="480" w:lineRule="auto"/>
        <w:rPr>
          <w:rFonts w:ascii="Times New Roman" w:hAnsi="Times New Roman" w:cs="Times New Roman"/>
        </w:rPr>
      </w:pPr>
      <w:r>
        <w:rPr>
          <w:rFonts w:ascii="Times New Roman" w:hAnsi="Times New Roman" w:cs="Times New Roman"/>
          <w:b/>
          <w:bCs/>
        </w:rPr>
        <w:t>AgeWell.de</w:t>
      </w:r>
      <w:r w:rsidRPr="00ED6874">
        <w:rPr>
          <w:rFonts w:ascii="Times New Roman" w:hAnsi="Times New Roman" w:cs="Times New Roman"/>
          <w:b/>
          <w:bCs/>
        </w:rPr>
        <w:t>.</w:t>
      </w:r>
      <w:r>
        <w:rPr>
          <w:rFonts w:ascii="Times New Roman" w:hAnsi="Times New Roman" w:cs="Times New Roman"/>
        </w:rPr>
        <w:t xml:space="preserve"> </w:t>
      </w:r>
      <w:r w:rsidR="0022367D">
        <w:rPr>
          <w:rFonts w:ascii="Times New Roman" w:hAnsi="Times New Roman" w:cs="Times New Roman"/>
        </w:rPr>
        <w:t>P</w:t>
      </w:r>
      <w:r w:rsidR="0022367D" w:rsidRPr="00EB36B9">
        <w:rPr>
          <w:rFonts w:ascii="Times New Roman" w:hAnsi="Times New Roman" w:cs="Times New Roman"/>
        </w:rPr>
        <w:t xml:space="preserve">articipants in AgeWell.de had a mean Montreal Cognitive Assessment </w:t>
      </w:r>
      <w:r w:rsidR="0022367D">
        <w:rPr>
          <w:rFonts w:ascii="Times New Roman" w:hAnsi="Times New Roman" w:cs="Times New Roman"/>
        </w:rPr>
        <w:t xml:space="preserve">(MoCA) </w:t>
      </w:r>
      <w:r w:rsidR="0022367D" w:rsidRPr="00EB36B9">
        <w:rPr>
          <w:rFonts w:ascii="Times New Roman" w:hAnsi="Times New Roman" w:cs="Times New Roman"/>
        </w:rPr>
        <w:t>score of 24.5 points at baseline</w:t>
      </w:r>
      <w:r w:rsidR="0022367D">
        <w:rPr>
          <w:rFonts w:ascii="Times New Roman" w:hAnsi="Times New Roman" w:cs="Times New Roman"/>
        </w:rPr>
        <w:t>, consistent with a median FAST score of 1.</w:t>
      </w:r>
      <w:r w:rsidR="00B23269">
        <w:rPr>
          <w:rFonts w:ascii="Times New Roman" w:hAnsi="Times New Roman" w:cs="Times New Roman"/>
        </w:rPr>
        <w:t xml:space="preserve"> </w:t>
      </w:r>
    </w:p>
    <w:p w14:paraId="4D1E2A3E" w14:textId="100D39CD" w:rsidR="00EB114D" w:rsidRDefault="00EB114D" w:rsidP="00424710">
      <w:pPr>
        <w:spacing w:line="480" w:lineRule="auto"/>
        <w:jc w:val="both"/>
        <w:rPr>
          <w:rFonts w:ascii="Times New Roman" w:hAnsi="Times New Roman" w:cs="Times New Roman"/>
        </w:rPr>
      </w:pPr>
      <w:r w:rsidRPr="00A96199">
        <w:rPr>
          <w:rFonts w:ascii="Times New Roman" w:hAnsi="Times New Roman" w:cs="Times New Roman"/>
          <w:b/>
          <w:bCs/>
        </w:rPr>
        <w:lastRenderedPageBreak/>
        <w:t>Aliabad-e Katul</w:t>
      </w:r>
      <w:r w:rsidRPr="00ED6874">
        <w:rPr>
          <w:rFonts w:ascii="Times New Roman" w:hAnsi="Times New Roman" w:cs="Times New Roman"/>
          <w:b/>
          <w:bCs/>
        </w:rPr>
        <w:t>.</w:t>
      </w:r>
      <w:r>
        <w:rPr>
          <w:rFonts w:ascii="Times New Roman" w:hAnsi="Times New Roman" w:cs="Times New Roman"/>
        </w:rPr>
        <w:t xml:space="preserve"> Elderly women (ages </w:t>
      </w:r>
      <w:r w:rsidRPr="00ED6874">
        <w:rPr>
          <w:rFonts w:ascii="Times New Roman" w:hAnsi="Times New Roman" w:cs="Times New Roman"/>
        </w:rPr>
        <w:t>60 to 85</w:t>
      </w:r>
      <w:r>
        <w:rPr>
          <w:rFonts w:ascii="Times New Roman" w:hAnsi="Times New Roman" w:cs="Times New Roman"/>
        </w:rPr>
        <w:t xml:space="preserve"> years) with MCI in Iran (</w:t>
      </w:r>
      <w:r w:rsidRPr="00424710">
        <w:rPr>
          <w:rFonts w:ascii="Times New Roman" w:hAnsi="Times New Roman" w:cs="Times New Roman"/>
        </w:rPr>
        <w:t xml:space="preserve">Damirchi </w:t>
      </w:r>
      <w:r>
        <w:rPr>
          <w:rFonts w:ascii="Times New Roman" w:hAnsi="Times New Roman" w:cs="Times New Roman"/>
        </w:rPr>
        <w:t xml:space="preserve">et al., 2018) were recruited as assessed by </w:t>
      </w:r>
      <w:r w:rsidRPr="00ED6874">
        <w:rPr>
          <w:rFonts w:ascii="Times New Roman" w:hAnsi="Times New Roman" w:cs="Times New Roman"/>
        </w:rPr>
        <w:t>MMSE 18-23</w:t>
      </w:r>
      <w:r>
        <w:rPr>
          <w:rFonts w:ascii="Times New Roman" w:hAnsi="Times New Roman" w:cs="Times New Roman"/>
        </w:rPr>
        <w:t xml:space="preserve"> (approximately FAST stage 4-5).</w:t>
      </w:r>
    </w:p>
    <w:p w14:paraId="7BE9084A" w14:textId="708E9BE7" w:rsidR="00D51068" w:rsidRPr="00D51068" w:rsidRDefault="00D51068" w:rsidP="00D51068">
      <w:pPr>
        <w:spacing w:line="480" w:lineRule="auto"/>
        <w:jc w:val="both"/>
        <w:rPr>
          <w:rFonts w:ascii="Times New Roman" w:hAnsi="Times New Roman" w:cs="Times New Roman"/>
        </w:rPr>
      </w:pPr>
      <w:r w:rsidRPr="00D51068">
        <w:rPr>
          <w:rFonts w:ascii="Times New Roman" w:hAnsi="Times New Roman" w:cs="Times New Roman"/>
          <w:b/>
          <w:bCs/>
        </w:rPr>
        <w:t>Bae (aka, Effect of the population-based approach for prevention of dementia).</w:t>
      </w:r>
      <w:r>
        <w:rPr>
          <w:rFonts w:ascii="Times New Roman" w:hAnsi="Times New Roman" w:cs="Times New Roman"/>
        </w:rPr>
        <w:t xml:space="preserve"> </w:t>
      </w:r>
      <w:r w:rsidRPr="00D51068">
        <w:rPr>
          <w:rFonts w:ascii="Times New Roman" w:hAnsi="Times New Roman" w:cs="Times New Roman"/>
        </w:rPr>
        <w:t>We refer to this trial (dementia (UMIN-CTR Clinical Trial UMIN000026479) with the shorthand “</w:t>
      </w:r>
      <w:r>
        <w:rPr>
          <w:rFonts w:ascii="Times New Roman" w:hAnsi="Times New Roman" w:cs="Times New Roman"/>
        </w:rPr>
        <w:t>Bae</w:t>
      </w:r>
      <w:r w:rsidRPr="00D51068">
        <w:rPr>
          <w:rFonts w:ascii="Times New Roman" w:hAnsi="Times New Roman" w:cs="Times New Roman"/>
        </w:rPr>
        <w:t>”, the first author of the 20</w:t>
      </w:r>
      <w:r>
        <w:rPr>
          <w:rFonts w:ascii="Times New Roman" w:hAnsi="Times New Roman" w:cs="Times New Roman"/>
        </w:rPr>
        <w:t>19</w:t>
      </w:r>
      <w:r w:rsidRPr="00D51068">
        <w:rPr>
          <w:rFonts w:ascii="Times New Roman" w:hAnsi="Times New Roman" w:cs="Times New Roman"/>
        </w:rPr>
        <w:t xml:space="preserve"> results paper (</w:t>
      </w:r>
      <w:r>
        <w:rPr>
          <w:rFonts w:ascii="Times New Roman" w:hAnsi="Times New Roman" w:cs="Times New Roman"/>
        </w:rPr>
        <w:t>Bae</w:t>
      </w:r>
      <w:r w:rsidRPr="00D51068">
        <w:rPr>
          <w:rFonts w:ascii="Times New Roman" w:hAnsi="Times New Roman" w:cs="Times New Roman"/>
        </w:rPr>
        <w:t xml:space="preserve"> et al., 20</w:t>
      </w:r>
      <w:r>
        <w:rPr>
          <w:rFonts w:ascii="Times New Roman" w:hAnsi="Times New Roman" w:cs="Times New Roman"/>
        </w:rPr>
        <w:t>19</w:t>
      </w:r>
      <w:r w:rsidRPr="00D51068">
        <w:rPr>
          <w:rFonts w:ascii="Times New Roman" w:hAnsi="Times New Roman" w:cs="Times New Roman"/>
        </w:rPr>
        <w:t>), consistent with the nomenclature of Soldevila-Domenech et al. (2025). Inclusion criteria included diagnosis with mild cognitive impairment, consistent with FAST stage 3.</w:t>
      </w:r>
    </w:p>
    <w:p w14:paraId="1500A43A" w14:textId="0FC0907E" w:rsidR="00D51068" w:rsidRPr="00424710" w:rsidRDefault="002F6A1A" w:rsidP="00424710">
      <w:pPr>
        <w:spacing w:line="480" w:lineRule="auto"/>
        <w:jc w:val="both"/>
        <w:rPr>
          <w:rFonts w:ascii="Times New Roman" w:hAnsi="Times New Roman" w:cs="Times New Roman"/>
        </w:rPr>
      </w:pPr>
      <w:r w:rsidRPr="002F6A1A">
        <w:rPr>
          <w:rFonts w:ascii="Times New Roman" w:hAnsi="Times New Roman" w:cs="Times New Roman"/>
          <w:b/>
          <w:bCs/>
        </w:rPr>
        <w:t>BioRAND.</w:t>
      </w:r>
      <w:r>
        <w:rPr>
          <w:rFonts w:ascii="Times New Roman" w:hAnsi="Times New Roman" w:cs="Times New Roman"/>
        </w:rPr>
        <w:t xml:space="preserve"> BioRAND (</w:t>
      </w:r>
      <w:r w:rsidRPr="002F6A1A">
        <w:rPr>
          <w:rFonts w:ascii="Times New Roman" w:hAnsi="Times New Roman" w:cs="Times New Roman"/>
        </w:rPr>
        <w:t>Niotis</w:t>
      </w:r>
      <w:r>
        <w:rPr>
          <w:rFonts w:ascii="Times New Roman" w:hAnsi="Times New Roman" w:cs="Times New Roman"/>
        </w:rPr>
        <w:t xml:space="preserve"> et al., 2025; </w:t>
      </w:r>
      <w:r w:rsidRPr="002F6A1A">
        <w:rPr>
          <w:rFonts w:ascii="Times New Roman" w:hAnsi="Times New Roman" w:cs="Times New Roman"/>
        </w:rPr>
        <w:t>https://ind.org/newsroom/the-biorepository-study-for-neurodegenerative-diseases</w:t>
      </w:r>
      <w:r>
        <w:rPr>
          <w:rFonts w:ascii="Times New Roman" w:hAnsi="Times New Roman" w:cs="Times New Roman"/>
        </w:rPr>
        <w:t xml:space="preserve">) is a cohort with ongoing recruitment. Metadata has yet to be published in a full peer reviewed manuscript. Inclusion criteria include </w:t>
      </w:r>
      <w:r w:rsidRPr="002F6A1A">
        <w:rPr>
          <w:rFonts w:ascii="Times New Roman" w:hAnsi="Times New Roman" w:cs="Times New Roman"/>
        </w:rPr>
        <w:t>subjects with family history of NDD with no/minimal neurological symptoms</w:t>
      </w:r>
      <w:r>
        <w:rPr>
          <w:rFonts w:ascii="Times New Roman" w:hAnsi="Times New Roman" w:cs="Times New Roman"/>
        </w:rPr>
        <w:t>, which we represent as FAST stage 1.</w:t>
      </w:r>
      <w:r w:rsidR="00E41805">
        <w:rPr>
          <w:rFonts w:ascii="Times New Roman" w:hAnsi="Times New Roman" w:cs="Times New Roman"/>
        </w:rPr>
        <w:t xml:space="preserve"> Numbers of participants are expected to increase over time; duration of participation is expected to increase and vary between participants. Individuals are non-randomly designated as cases and controls.</w:t>
      </w:r>
    </w:p>
    <w:p w14:paraId="34783B2E" w14:textId="7777777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CEDAR.</w:t>
      </w:r>
      <w:r w:rsidRPr="0087749D">
        <w:rPr>
          <w:rFonts w:ascii="Times New Roman" w:hAnsi="Times New Roman" w:cs="Times New Roman"/>
        </w:rPr>
        <w:t xml:space="preserve"> CEDAR aimed to recruit participants at risk for AD dementia. Inclusion criteria included: (1) Family history of Alzheimer's disease (AD), and (2) No or minimal cognitive complaints. Exclusion criteria included MCI or dementia. Some individuals with SCI may have been FAST stage 2. We summarize this in Table 1 as FAST Stage 1 at enrollment.</w:t>
      </w:r>
    </w:p>
    <w:p w14:paraId="03832C5B" w14:textId="22E7D821" w:rsidR="00EB114D" w:rsidRDefault="00EB114D" w:rsidP="00424710">
      <w:pPr>
        <w:spacing w:line="480" w:lineRule="auto"/>
        <w:rPr>
          <w:rFonts w:ascii="Times New Roman" w:hAnsi="Times New Roman" w:cs="Times New Roman"/>
        </w:rPr>
      </w:pPr>
      <w:r w:rsidRPr="0087749D">
        <w:rPr>
          <w:rFonts w:ascii="Times New Roman" w:hAnsi="Times New Roman" w:cs="Times New Roman"/>
          <w:b/>
          <w:bCs/>
        </w:rPr>
        <w:t>COCOA.</w:t>
      </w:r>
      <w:r w:rsidRPr="0087749D">
        <w:rPr>
          <w:rFonts w:ascii="Times New Roman" w:hAnsi="Times New Roman" w:cs="Times New Roman"/>
        </w:rPr>
        <w:t xml:space="preserve"> At baseline, 26% of COCOA participants were FAST 2, 40% were FAST 3, and 33% were FAST 4 (Roach et al., 2023). We summarize this in Table 1 as FAST Stage </w:t>
      </w:r>
      <w:r w:rsidR="0022367D">
        <w:rPr>
          <w:rFonts w:ascii="Times New Roman" w:hAnsi="Times New Roman" w:cs="Times New Roman"/>
        </w:rPr>
        <w:t>2</w:t>
      </w:r>
      <w:r w:rsidRPr="0087749D">
        <w:rPr>
          <w:rFonts w:ascii="Times New Roman" w:hAnsi="Times New Roman" w:cs="Times New Roman"/>
        </w:rPr>
        <w:t xml:space="preserve"> at enrollment.</w:t>
      </w:r>
    </w:p>
    <w:p w14:paraId="53F3ED16" w14:textId="727A5258" w:rsidR="00EB114D" w:rsidRPr="0087749D" w:rsidRDefault="00EB114D" w:rsidP="00424710">
      <w:pPr>
        <w:spacing w:line="480" w:lineRule="auto"/>
        <w:rPr>
          <w:rFonts w:ascii="Times New Roman" w:hAnsi="Times New Roman" w:cs="Times New Roman"/>
          <w:b/>
          <w:bCs/>
        </w:rPr>
      </w:pPr>
      <w:r w:rsidRPr="00EB114D">
        <w:rPr>
          <w:rFonts w:ascii="Times New Roman" w:hAnsi="Times New Roman" w:cs="Times New Roman"/>
          <w:b/>
          <w:bCs/>
        </w:rPr>
        <w:t>COMBAT.</w:t>
      </w:r>
      <w:r>
        <w:rPr>
          <w:rFonts w:ascii="Times New Roman" w:hAnsi="Times New Roman" w:cs="Times New Roman"/>
        </w:rPr>
        <w:t xml:space="preserve"> </w:t>
      </w:r>
      <w:r w:rsidR="0022367D">
        <w:rPr>
          <w:rFonts w:ascii="Times New Roman" w:hAnsi="Times New Roman" w:cs="Times New Roman"/>
        </w:rPr>
        <w:t xml:space="preserve">Inclusion criteria included </w:t>
      </w:r>
      <w:r w:rsidR="0022367D" w:rsidRPr="0022367D">
        <w:rPr>
          <w:rFonts w:ascii="Times New Roman" w:hAnsi="Times New Roman" w:cs="Times New Roman"/>
        </w:rPr>
        <w:t>having subjective cognitive complaints as indicated by the self-rated Ascertain Dementia 8-Item Questionnaire (AD-8) score greater than or equal to 2</w:t>
      </w:r>
      <w:r w:rsidR="0022367D">
        <w:rPr>
          <w:rFonts w:ascii="Times New Roman" w:hAnsi="Times New Roman" w:cs="Times New Roman"/>
        </w:rPr>
        <w:t xml:space="preserve"> (</w:t>
      </w:r>
      <w:r w:rsidR="0022367D" w:rsidRPr="0022367D">
        <w:rPr>
          <w:rFonts w:ascii="Times New Roman" w:hAnsi="Times New Roman" w:cs="Times New Roman"/>
        </w:rPr>
        <w:t>Liu</w:t>
      </w:r>
      <w:r w:rsidR="0022367D">
        <w:rPr>
          <w:rFonts w:ascii="Times New Roman" w:hAnsi="Times New Roman" w:cs="Times New Roman"/>
        </w:rPr>
        <w:t xml:space="preserve"> </w:t>
      </w:r>
      <w:r w:rsidR="0022367D">
        <w:rPr>
          <w:rFonts w:ascii="Times New Roman" w:hAnsi="Times New Roman" w:cs="Times New Roman"/>
        </w:rPr>
        <w:lastRenderedPageBreak/>
        <w:t>et al., 2025), consistent with FAST stage 2.</w:t>
      </w:r>
      <w:r w:rsidR="00342AA0">
        <w:rPr>
          <w:rFonts w:ascii="Times New Roman" w:hAnsi="Times New Roman" w:cs="Times New Roman"/>
        </w:rPr>
        <w:t xml:space="preserve"> Participants in the modified intention to treat cohort had an average age of </w:t>
      </w:r>
      <w:r w:rsidR="00342AA0" w:rsidRPr="00342AA0">
        <w:rPr>
          <w:rFonts w:ascii="Times New Roman" w:hAnsi="Times New Roman" w:cs="Times New Roman"/>
        </w:rPr>
        <w:t>69.7</w:t>
      </w:r>
      <w:r w:rsidR="00342AA0">
        <w:rPr>
          <w:rFonts w:ascii="Times New Roman" w:hAnsi="Times New Roman" w:cs="Times New Roman"/>
        </w:rPr>
        <w:t xml:space="preserve"> years in the intervention arm and 73.1 years in the control arm.</w:t>
      </w:r>
    </w:p>
    <w:p w14:paraId="5A494DF6" w14:textId="7777777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 xml:space="preserve">ENLIGHTEN. </w:t>
      </w:r>
      <w:r w:rsidRPr="0087749D">
        <w:rPr>
          <w:rFonts w:ascii="Times New Roman" w:hAnsi="Times New Roman" w:cs="Times New Roman"/>
        </w:rPr>
        <w:t>ENLIGHTEN aimed to recruit older adults with cognitive impairment not dementia (CIND) who were at risk for further cognitive decline due to their sedentary lifestyle and cardiovascular risk factors. Inclusion criteria included: (1) subjective cognitive complaints: Score of ≥0.5 on the Mail-in Cognitive Function Screening Instrument, and (2) objective cognitive impairment: Either a score of 19-25 on the Montreal Cognitive Assessment (MoCA) or a score of ≤12 on letter fluency or ≤15 on animal fluency. Exclusion criteria included dementia. We summarize this in Table 1 as FAST Stage 2-3 at enrollment.</w:t>
      </w:r>
    </w:p>
    <w:p w14:paraId="4940CB54" w14:textId="77777777" w:rsidR="00EB114D" w:rsidRDefault="00EB114D" w:rsidP="00424710">
      <w:pPr>
        <w:spacing w:line="480" w:lineRule="auto"/>
        <w:rPr>
          <w:rFonts w:ascii="Times New Roman" w:hAnsi="Times New Roman" w:cs="Times New Roman"/>
        </w:rPr>
      </w:pPr>
      <w:r w:rsidRPr="0087749D">
        <w:rPr>
          <w:rFonts w:ascii="Times New Roman" w:hAnsi="Times New Roman" w:cs="Times New Roman"/>
          <w:b/>
          <w:bCs/>
        </w:rPr>
        <w:t>Evanthea.</w:t>
      </w:r>
      <w:r w:rsidRPr="0087749D">
        <w:rPr>
          <w:rFonts w:ascii="Times New Roman" w:hAnsi="Times New Roman" w:cs="Times New Roman"/>
        </w:rPr>
        <w:t xml:space="preserve"> Inclusion criteria for the Evanthea trial (</w:t>
      </w:r>
      <w:hyperlink r:id="rId5" w:history="1">
        <w:r w:rsidRPr="0087749D">
          <w:rPr>
            <w:rStyle w:val="Hyperlink"/>
            <w:rFonts w:ascii="Times New Roman" w:hAnsi="Times New Roman" w:cs="Times New Roman"/>
          </w:rPr>
          <w:t>clinicaltrials.gov/study/NCT05894954</w:t>
        </w:r>
      </w:hyperlink>
      <w:r w:rsidRPr="0087749D">
        <w:rPr>
          <w:rFonts w:ascii="Times New Roman" w:hAnsi="Times New Roman" w:cs="Times New Roman"/>
        </w:rPr>
        <w:t>) included cognitive impairment or early-stage dementia as demonstrated by combination of AQ-21 score &gt;4 and either MoCA 18-26 or greater than or equal 2 scores in the bottom 50th percentile for NCI or Executive Function, Verbal, Visual, or Composite sub-tests. We summarize this in Table 1 as FAST Stage 3 at enrollment.</w:t>
      </w:r>
    </w:p>
    <w:p w14:paraId="55C5441C" w14:textId="7777777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FINGER.</w:t>
      </w:r>
      <w:r w:rsidRPr="0087749D">
        <w:rPr>
          <w:rFonts w:ascii="Times New Roman" w:hAnsi="Times New Roman" w:cs="Times New Roman"/>
        </w:rPr>
        <w:t xml:space="preserve"> FINGER aimed to recruit participants from previous population-based survey cohorts in Finland, specifically targeting individuals at increased risk of cognitive decline but without substantial cognitive impairment. These cognitive criteria selected individuals with cognitive performance at the mean level or slightly lower than expected for their age according to Finnish population norms, but without substantial cognitive decline (Ngandu et al., 2015). Participants had to meet at least one of the following criteria at the screening visit: (1) Word List Learning task (10 words × 3) ≤19 words, (2), Word List Recall ≤75%, (3) MMSE ≤26/30 points. A participant at the mean cognitive performance for their age would be FAST 1, but some participants could have had subjective impairment (FAST 2), and some scores on the MMSE or </w:t>
      </w:r>
      <w:r w:rsidRPr="0087749D">
        <w:rPr>
          <w:rFonts w:ascii="Times New Roman" w:hAnsi="Times New Roman" w:cs="Times New Roman"/>
        </w:rPr>
        <w:lastRenderedPageBreak/>
        <w:t>other tests could have evidenced objective impairment (FAST 3). We summarize this in Table 1 as FAST Stage 1-2 at enrollment.</w:t>
      </w:r>
    </w:p>
    <w:p w14:paraId="19212A41" w14:textId="77777777" w:rsidR="001F0B32" w:rsidRDefault="00EB114D" w:rsidP="00424710">
      <w:pPr>
        <w:spacing w:line="480" w:lineRule="auto"/>
        <w:rPr>
          <w:rFonts w:ascii="Times New Roman" w:hAnsi="Times New Roman" w:cs="Times New Roman"/>
        </w:rPr>
      </w:pPr>
      <w:r w:rsidRPr="0087749D">
        <w:rPr>
          <w:rFonts w:ascii="Times New Roman" w:hAnsi="Times New Roman" w:cs="Times New Roman"/>
          <w:b/>
          <w:bCs/>
        </w:rPr>
        <w:t>ITHNCLR.</w:t>
      </w:r>
      <w:r w:rsidRPr="0087749D">
        <w:rPr>
          <w:rFonts w:ascii="Times New Roman" w:hAnsi="Times New Roman" w:cs="Times New Roman"/>
        </w:rPr>
        <w:t xml:space="preserve"> Inclusion criteria for the ITHNCLR study included a MoCA score of 12–23. We summarize this in Table 1 as FAST Stage 3-4 at enrollment.</w:t>
      </w:r>
    </w:p>
    <w:p w14:paraId="0BD2C3E9" w14:textId="6E133B72" w:rsidR="00EB114D" w:rsidRPr="0087749D" w:rsidRDefault="001F0B32" w:rsidP="00424710">
      <w:pPr>
        <w:spacing w:line="480" w:lineRule="auto"/>
        <w:rPr>
          <w:rFonts w:ascii="Times New Roman" w:hAnsi="Times New Roman" w:cs="Times New Roman"/>
          <w:b/>
          <w:bCs/>
        </w:rPr>
      </w:pPr>
      <w:r w:rsidRPr="001F0B32">
        <w:rPr>
          <w:rFonts w:ascii="Times New Roman" w:hAnsi="Times New Roman" w:cs="Times New Roman"/>
          <w:b/>
          <w:bCs/>
        </w:rPr>
        <w:t>JMINT.</w:t>
      </w:r>
      <w:r>
        <w:rPr>
          <w:rFonts w:ascii="Times New Roman" w:hAnsi="Times New Roman" w:cs="Times New Roman"/>
        </w:rPr>
        <w:t xml:space="preserve"> </w:t>
      </w:r>
      <w:r w:rsidRPr="0087749D">
        <w:rPr>
          <w:rFonts w:ascii="Times New Roman" w:hAnsi="Times New Roman" w:cs="Times New Roman"/>
        </w:rPr>
        <w:t xml:space="preserve">Inclusion criteria for the </w:t>
      </w:r>
      <w:r>
        <w:rPr>
          <w:rFonts w:ascii="Times New Roman" w:hAnsi="Times New Roman" w:cs="Times New Roman"/>
        </w:rPr>
        <w:t>JMINT</w:t>
      </w:r>
      <w:r w:rsidRPr="0087749D">
        <w:rPr>
          <w:rFonts w:ascii="Times New Roman" w:hAnsi="Times New Roman" w:cs="Times New Roman"/>
        </w:rPr>
        <w:t xml:space="preserve"> study included </w:t>
      </w:r>
      <w:r>
        <w:rPr>
          <w:rFonts w:ascii="Times New Roman" w:hAnsi="Times New Roman" w:cs="Times New Roman"/>
        </w:rPr>
        <w:t>MCI</w:t>
      </w:r>
      <w:r w:rsidRPr="0087749D">
        <w:rPr>
          <w:rFonts w:ascii="Times New Roman" w:hAnsi="Times New Roman" w:cs="Times New Roman"/>
        </w:rPr>
        <w:t>. We summarize this in Table 1 as FAST Stage 3 at enrollment.</w:t>
      </w:r>
    </w:p>
    <w:p w14:paraId="2FB27E0A" w14:textId="7777777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LETHE.</w:t>
      </w:r>
      <w:r w:rsidRPr="0087749D">
        <w:rPr>
          <w:rFonts w:ascii="Times New Roman" w:hAnsi="Times New Roman" w:cs="Times New Roman"/>
        </w:rPr>
        <w:t xml:space="preserve"> Inclusion criteria for the LETHE trial were increased dementia risk and no substantial cognitive impairment. We summarize this in Table 1 as FAST Stage 1 at enrollment.</w:t>
      </w:r>
    </w:p>
    <w:p w14:paraId="6D9A088B" w14:textId="2E7F231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LIEAD.</w:t>
      </w:r>
      <w:r w:rsidRPr="0087749D">
        <w:rPr>
          <w:rFonts w:ascii="Times New Roman" w:hAnsi="Times New Roman" w:cs="Times New Roman"/>
        </w:rPr>
        <w:t xml:space="preserve"> Inclusion criteria for the Lifestyle Intervention for Early Alzheimer's Disease (LIEAD) (Ornish-D et al., 2024) trial included a diagnosis of MCI or early dementia due to AD process, with a MoCA score of 18 or higher (National Institute on Aging–Alzheimer’s Association </w:t>
      </w:r>
      <w:proofErr w:type="spellStart"/>
      <w:r w:rsidRPr="0087749D">
        <w:rPr>
          <w:rFonts w:ascii="Times New Roman" w:hAnsi="Times New Roman" w:cs="Times New Roman"/>
        </w:rPr>
        <w:t>McKhann</w:t>
      </w:r>
      <w:proofErr w:type="spellEnd"/>
      <w:r w:rsidRPr="0087749D">
        <w:rPr>
          <w:rFonts w:ascii="Times New Roman" w:hAnsi="Times New Roman" w:cs="Times New Roman"/>
        </w:rPr>
        <w:t xml:space="preserve"> and Albert 2011 criteria); moderate </w:t>
      </w:r>
      <w:r w:rsidR="007F588F" w:rsidRPr="0087749D">
        <w:rPr>
          <w:rFonts w:ascii="Times New Roman" w:hAnsi="Times New Roman" w:cs="Times New Roman"/>
        </w:rPr>
        <w:t>o</w:t>
      </w:r>
      <w:r w:rsidR="007F588F">
        <w:rPr>
          <w:rFonts w:ascii="Times New Roman" w:hAnsi="Times New Roman" w:cs="Times New Roman"/>
        </w:rPr>
        <w:t>r</w:t>
      </w:r>
      <w:r w:rsidR="007F588F" w:rsidRPr="0087749D">
        <w:rPr>
          <w:rFonts w:ascii="Times New Roman" w:hAnsi="Times New Roman" w:cs="Times New Roman"/>
        </w:rPr>
        <w:t xml:space="preserve"> </w:t>
      </w:r>
      <w:r w:rsidRPr="0087749D">
        <w:rPr>
          <w:rFonts w:ascii="Times New Roman" w:hAnsi="Times New Roman" w:cs="Times New Roman"/>
        </w:rPr>
        <w:t xml:space="preserve">severe dementia was excluded. We summarize this in Table 1 as FAST Stage </w:t>
      </w:r>
      <w:r w:rsidR="007F588F">
        <w:rPr>
          <w:rFonts w:ascii="Times New Roman" w:hAnsi="Times New Roman" w:cs="Times New Roman"/>
        </w:rPr>
        <w:t>4</w:t>
      </w:r>
      <w:r w:rsidR="007F588F" w:rsidRPr="0087749D">
        <w:rPr>
          <w:rFonts w:ascii="Times New Roman" w:hAnsi="Times New Roman" w:cs="Times New Roman"/>
        </w:rPr>
        <w:t xml:space="preserve"> </w:t>
      </w:r>
      <w:r w:rsidRPr="0087749D">
        <w:rPr>
          <w:rFonts w:ascii="Times New Roman" w:hAnsi="Times New Roman" w:cs="Times New Roman"/>
        </w:rPr>
        <w:t>at enrollment.</w:t>
      </w:r>
    </w:p>
    <w:p w14:paraId="49469E34" w14:textId="7777777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 xml:space="preserve">MAPT. </w:t>
      </w:r>
      <w:r w:rsidRPr="0087749D">
        <w:rPr>
          <w:rFonts w:ascii="Times New Roman" w:hAnsi="Times New Roman" w:cs="Times New Roman"/>
        </w:rPr>
        <w:t>The French Multidomain Alzheimer Preventive Trial (MAPT) aimed to enroll frail elderly individuals with good functional and cognitive status but at risk of cognitive decline. Participants were recruited through advertisements, general practitioners, and memory clinics in France. Inclusion criteria included at least one of: (1) Spontaneous memory complaint expressed to a general practitioner, (2) Limitation in one instrumental activity of daily living (IADL), (3) slow walking speed. Exclusion criteria included: (1) MMSE score &lt; 24, and (2) dementia. Some of these individuals with just slow walking gait could be FAST 1, and some with low MMSE scores might be FAST 3. We summarize this in Table 1 as FAST Stage 2 at enrollment.</w:t>
      </w:r>
    </w:p>
    <w:p w14:paraId="0E4982EC" w14:textId="7777777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lastRenderedPageBreak/>
        <w:t>MYB.</w:t>
      </w:r>
      <w:r w:rsidRPr="0087749D">
        <w:rPr>
          <w:rFonts w:ascii="Times New Roman" w:hAnsi="Times New Roman" w:cs="Times New Roman"/>
        </w:rPr>
        <w:t xml:space="preserve"> The Maintain Your Brain (MYB) trial was an internet-based study involving over 6,000 participants from the Sax Institute's 45 and Up Study in Australia. Inclusion criteria for MYB included dementia risk factors (e.g., high blood pressure or less than 13 years of education); exclusion criteria included dementia. We summarize this in Table 1 as FAST Stage 1 at enrollment.</w:t>
      </w:r>
    </w:p>
    <w:p w14:paraId="35304092" w14:textId="7777777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PREVENTION.</w:t>
      </w:r>
      <w:r w:rsidRPr="0087749D">
        <w:rPr>
          <w:rFonts w:ascii="Times New Roman" w:hAnsi="Times New Roman" w:cs="Times New Roman"/>
        </w:rPr>
        <w:t xml:space="preserve"> At baseline, 22% of PREVENTION participants were FAST 2, 77% were FAST 3, and 21% were FAST 4. We summarize this in Table 1 as FAST Stage 3 at enrollment.</w:t>
      </w:r>
    </w:p>
    <w:p w14:paraId="1729FAA8" w14:textId="77777777"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RECODE.</w:t>
      </w:r>
      <w:r w:rsidRPr="0087749D">
        <w:rPr>
          <w:rFonts w:ascii="Times New Roman" w:hAnsi="Times New Roman" w:cs="Times New Roman"/>
        </w:rPr>
        <w:t xml:space="preserve"> Inclusion criteria for the Reversal of Cognitive Decline (RECODE) study (Toups et al., 2022) included (1) cognitive impairment, as demonstrated by a combination of Alzheimer’s Questionnaire (AQ21)&gt;5 and either Montreal Cognitive Assessment (MoCA) of 19–26 or CNS Vital Signs &lt;50th percentile in at least two subtests or &lt;70th percentile for the Neurocognitive Index (NCI). Exclusion criteria included MoCA score &lt;19. We summarize this in Table 1 as FAST Stage 3 at enrollment.</w:t>
      </w:r>
    </w:p>
    <w:p w14:paraId="4081BBCC" w14:textId="349C827A" w:rsidR="00EB114D" w:rsidRDefault="00EB114D" w:rsidP="00424710">
      <w:pPr>
        <w:spacing w:line="480" w:lineRule="auto"/>
        <w:rPr>
          <w:rFonts w:ascii="Times New Roman" w:hAnsi="Times New Roman" w:cs="Times New Roman"/>
        </w:rPr>
      </w:pPr>
      <w:r w:rsidRPr="0087749D">
        <w:rPr>
          <w:rFonts w:ascii="Times New Roman" w:hAnsi="Times New Roman" w:cs="Times New Roman"/>
          <w:b/>
          <w:bCs/>
        </w:rPr>
        <w:t>SMARRT.</w:t>
      </w:r>
      <w:r w:rsidRPr="0087749D">
        <w:rPr>
          <w:rFonts w:ascii="Times New Roman" w:hAnsi="Times New Roman" w:cs="Times New Roman"/>
        </w:rPr>
        <w:t xml:space="preserve"> Inclusion criteria for SMARRT </w:t>
      </w:r>
      <w:r>
        <w:rPr>
          <w:rFonts w:ascii="Times New Roman" w:hAnsi="Times New Roman" w:cs="Times New Roman"/>
        </w:rPr>
        <w:t>(</w:t>
      </w:r>
      <w:r w:rsidRPr="006464FB">
        <w:rPr>
          <w:rFonts w:ascii="Times New Roman" w:hAnsi="Times New Roman" w:cs="Times New Roman"/>
        </w:rPr>
        <w:t>Yaffe et al., 2023</w:t>
      </w:r>
      <w:r>
        <w:rPr>
          <w:rFonts w:ascii="Times New Roman" w:hAnsi="Times New Roman" w:cs="Times New Roman"/>
        </w:rPr>
        <w:t xml:space="preserve">) </w:t>
      </w:r>
      <w:r w:rsidRPr="0087749D">
        <w:rPr>
          <w:rFonts w:ascii="Times New Roman" w:hAnsi="Times New Roman" w:cs="Times New Roman"/>
        </w:rPr>
        <w:t>included low-to-normal cognitive performance based on Brief CASI score 25 to 32, inclusive.</w:t>
      </w:r>
      <w:r>
        <w:rPr>
          <w:rFonts w:ascii="Times New Roman" w:hAnsi="Times New Roman" w:cs="Times New Roman"/>
        </w:rPr>
        <w:t xml:space="preserve"> </w:t>
      </w:r>
      <w:r w:rsidRPr="0087749D">
        <w:rPr>
          <w:rFonts w:ascii="Times New Roman" w:hAnsi="Times New Roman" w:cs="Times New Roman"/>
        </w:rPr>
        <w:t>We summarize this in Table 1 as FAST Stage 1 at enrollment.</w:t>
      </w:r>
      <w:r>
        <w:rPr>
          <w:rFonts w:ascii="Times New Roman" w:hAnsi="Times New Roman" w:cs="Times New Roman"/>
        </w:rPr>
        <w:t xml:space="preserve"> Inclusion criteria also included high risk for dementia</w:t>
      </w:r>
      <w:r w:rsidRPr="0087749D">
        <w:rPr>
          <w:rFonts w:ascii="Times New Roman" w:hAnsi="Times New Roman" w:cs="Times New Roman"/>
        </w:rPr>
        <w:t xml:space="preserve"> </w:t>
      </w:r>
      <w:r>
        <w:rPr>
          <w:rFonts w:ascii="Times New Roman" w:hAnsi="Times New Roman" w:cs="Times New Roman"/>
        </w:rPr>
        <w:t xml:space="preserve">based on </w:t>
      </w:r>
      <w:r w:rsidRPr="00795684">
        <w:rPr>
          <w:rFonts w:ascii="Times New Roman" w:hAnsi="Times New Roman" w:cs="Times New Roman"/>
        </w:rPr>
        <w:t>≥2 of 8 targeted risk factors</w:t>
      </w:r>
      <w:r>
        <w:rPr>
          <w:rFonts w:ascii="Times New Roman" w:hAnsi="Times New Roman" w:cs="Times New Roman"/>
        </w:rPr>
        <w:t xml:space="preserve">: </w:t>
      </w:r>
      <w:r w:rsidRPr="00795684">
        <w:rPr>
          <w:rFonts w:ascii="Times New Roman" w:hAnsi="Times New Roman" w:cs="Times New Roman"/>
        </w:rPr>
        <w:t>(1) physical inactivity, (2) uncontrolled hypertension, (3) poor sleep, (4) taking a prescription medication that may adversely affect cognition, (5) high depressive symptoms, (6) uncontrolled diabetes, (7) social isolation, and (8) currently smoking</w:t>
      </w:r>
      <w:r>
        <w:rPr>
          <w:rFonts w:ascii="Times New Roman" w:hAnsi="Times New Roman" w:cs="Times New Roman"/>
        </w:rPr>
        <w:t>.</w:t>
      </w:r>
    </w:p>
    <w:p w14:paraId="40B66686" w14:textId="3921F922" w:rsidR="003C63F7" w:rsidRPr="001A4322" w:rsidRDefault="003C63F7" w:rsidP="00424710">
      <w:pPr>
        <w:spacing w:line="480" w:lineRule="auto"/>
        <w:rPr>
          <w:rFonts w:ascii="Times New Roman" w:hAnsi="Times New Roman" w:cs="Times New Roman"/>
        </w:rPr>
      </w:pPr>
      <w:r w:rsidRPr="007A3D93">
        <w:rPr>
          <w:rFonts w:ascii="Times New Roman" w:hAnsi="Times New Roman" w:cs="Times New Roman"/>
          <w:b/>
          <w:bCs/>
        </w:rPr>
        <w:t>The Taiwan Health promotion Intervention Study for Community Elders E</w:t>
      </w:r>
      <w:r>
        <w:rPr>
          <w:rFonts w:ascii="Times New Roman" w:hAnsi="Times New Roman" w:cs="Times New Roman"/>
          <w:b/>
          <w:bCs/>
        </w:rPr>
        <w:t>fficacy</w:t>
      </w:r>
      <w:r w:rsidRPr="007A3D93">
        <w:rPr>
          <w:rFonts w:ascii="Times New Roman" w:hAnsi="Times New Roman" w:cs="Times New Roman"/>
          <w:b/>
          <w:bCs/>
        </w:rPr>
        <w:t xml:space="preserve"> Study (THISCE-E</w:t>
      </w:r>
      <w:r>
        <w:rPr>
          <w:rFonts w:ascii="Times New Roman" w:hAnsi="Times New Roman" w:cs="Times New Roman"/>
          <w:b/>
          <w:bCs/>
        </w:rPr>
        <w:t>FF</w:t>
      </w:r>
      <w:r w:rsidRPr="007A3D93">
        <w:rPr>
          <w:rFonts w:ascii="Times New Roman" w:hAnsi="Times New Roman" w:cs="Times New Roman"/>
          <w:b/>
          <w:bCs/>
        </w:rPr>
        <w:t>).</w:t>
      </w:r>
      <w:r>
        <w:rPr>
          <w:rFonts w:ascii="Times New Roman" w:hAnsi="Times New Roman" w:cs="Times New Roman"/>
        </w:rPr>
        <w:t xml:space="preserve"> </w:t>
      </w:r>
      <w:r w:rsidRPr="007A3D93">
        <w:rPr>
          <w:rFonts w:ascii="Times New Roman" w:hAnsi="Times New Roman" w:cs="Times New Roman"/>
        </w:rPr>
        <w:t>THISCE</w:t>
      </w:r>
      <w:r>
        <w:rPr>
          <w:rFonts w:ascii="Times New Roman" w:hAnsi="Times New Roman" w:cs="Times New Roman"/>
        </w:rPr>
        <w:t>-EFF was a 2014 Taiwanese 2014 study (Chen et al., 2020). Inclusion criteria included</w:t>
      </w:r>
      <w:r w:rsidRPr="003C63F7">
        <w:rPr>
          <w:rFonts w:ascii="Times New Roman" w:hAnsi="Times New Roman" w:cs="Times New Roman"/>
        </w:rPr>
        <w:t xml:space="preserve"> subjective memory impairment </w:t>
      </w:r>
      <w:r>
        <w:rPr>
          <w:rFonts w:ascii="Times New Roman" w:hAnsi="Times New Roman" w:cs="Times New Roman"/>
        </w:rPr>
        <w:t xml:space="preserve">(SCI) </w:t>
      </w:r>
      <w:r w:rsidRPr="003C63F7">
        <w:rPr>
          <w:rFonts w:ascii="Times New Roman" w:hAnsi="Times New Roman" w:cs="Times New Roman"/>
        </w:rPr>
        <w:t xml:space="preserve">and/or loss of ≥ 1 instrumental activities </w:t>
      </w:r>
      <w:r w:rsidRPr="003C63F7">
        <w:rPr>
          <w:rFonts w:ascii="Times New Roman" w:hAnsi="Times New Roman" w:cs="Times New Roman"/>
        </w:rPr>
        <w:lastRenderedPageBreak/>
        <w:t>of daily living (IADL), and/or timed 6 m walk speed ≤ 1 m/s</w:t>
      </w:r>
      <w:r>
        <w:rPr>
          <w:rFonts w:ascii="Times New Roman" w:hAnsi="Times New Roman" w:cs="Times New Roman"/>
        </w:rPr>
        <w:t>. It is not clear from the</w:t>
      </w:r>
      <w:r w:rsidR="004E62FD">
        <w:rPr>
          <w:rFonts w:ascii="Times New Roman" w:hAnsi="Times New Roman" w:cs="Times New Roman"/>
        </w:rPr>
        <w:t xml:space="preserve"> Chen et al.</w:t>
      </w:r>
      <w:r>
        <w:rPr>
          <w:rFonts w:ascii="Times New Roman" w:hAnsi="Times New Roman" w:cs="Times New Roman"/>
        </w:rPr>
        <w:t xml:space="preserve"> report how many enrolled individuals met the option of SCI, but it seems reasonable to estimate that this cohort had an average FAST stage 1. </w:t>
      </w:r>
    </w:p>
    <w:p w14:paraId="4C0E66DD" w14:textId="037AA4DD" w:rsidR="00EB114D" w:rsidRPr="0087749D" w:rsidRDefault="00EB114D" w:rsidP="00424710">
      <w:pPr>
        <w:spacing w:line="480" w:lineRule="auto"/>
        <w:rPr>
          <w:rFonts w:ascii="Times New Roman" w:hAnsi="Times New Roman" w:cs="Times New Roman"/>
          <w:b/>
          <w:bCs/>
        </w:rPr>
      </w:pPr>
      <w:r w:rsidRPr="0087749D">
        <w:rPr>
          <w:rFonts w:ascii="Times New Roman" w:hAnsi="Times New Roman" w:cs="Times New Roman"/>
          <w:b/>
          <w:bCs/>
        </w:rPr>
        <w:t>US POINTER.</w:t>
      </w:r>
      <w:r w:rsidRPr="0087749D">
        <w:rPr>
          <w:rFonts w:ascii="Times New Roman" w:hAnsi="Times New Roman" w:cs="Times New Roman"/>
        </w:rPr>
        <w:t xml:space="preserve"> Inclusion criteria for the Alzheimer's Association U.S. Study to Protect Brain Health Through Lifestyle Intervention to Reduce Risk (U.S. POINTER) included a Modified Telephone Interview for Cognitive Status (</w:t>
      </w:r>
      <w:proofErr w:type="spellStart"/>
      <w:r w:rsidRPr="0087749D">
        <w:rPr>
          <w:rFonts w:ascii="Times New Roman" w:hAnsi="Times New Roman" w:cs="Times New Roman"/>
        </w:rPr>
        <w:t>mTICS</w:t>
      </w:r>
      <w:proofErr w:type="spellEnd"/>
      <w:r w:rsidRPr="0087749D">
        <w:rPr>
          <w:rFonts w:ascii="Times New Roman" w:hAnsi="Times New Roman" w:cs="Times New Roman"/>
        </w:rPr>
        <w:t xml:space="preserve">) score &gt;32 and Global Clinical Dementia Rating (CDR) scale score ≤0.5. </w:t>
      </w:r>
      <w:r w:rsidR="005D311E">
        <w:rPr>
          <w:rFonts w:ascii="Times New Roman" w:hAnsi="Times New Roman" w:cs="Times New Roman"/>
        </w:rPr>
        <w:t xml:space="preserve">Baseline statistics for the enrolled participants include approximately 5% characterized as “mild cognitive impairment”, approximately 20% with CDR-SB 0.5, and an average </w:t>
      </w:r>
      <w:r w:rsidR="005D311E" w:rsidRPr="005D311E">
        <w:rPr>
          <w:rFonts w:ascii="Times New Roman" w:hAnsi="Times New Roman" w:cs="Times New Roman"/>
        </w:rPr>
        <w:t>The Modified Telephone Interview for Cognitive Status (</w:t>
      </w:r>
      <w:proofErr w:type="spellStart"/>
      <w:r w:rsidR="005D311E" w:rsidRPr="005D311E">
        <w:rPr>
          <w:rFonts w:ascii="Times New Roman" w:hAnsi="Times New Roman" w:cs="Times New Roman"/>
        </w:rPr>
        <w:t>TICSm</w:t>
      </w:r>
      <w:proofErr w:type="spellEnd"/>
      <w:r w:rsidR="005D311E" w:rsidRPr="005D311E">
        <w:rPr>
          <w:rFonts w:ascii="Times New Roman" w:hAnsi="Times New Roman" w:cs="Times New Roman"/>
        </w:rPr>
        <w:t>)</w:t>
      </w:r>
      <w:r w:rsidR="005D311E">
        <w:rPr>
          <w:rFonts w:ascii="Times New Roman" w:hAnsi="Times New Roman" w:cs="Times New Roman"/>
        </w:rPr>
        <w:t xml:space="preserve"> score of 37.6</w:t>
      </w:r>
      <w:r w:rsidR="001948C7">
        <w:rPr>
          <w:rFonts w:ascii="Times New Roman" w:hAnsi="Times New Roman" w:cs="Times New Roman"/>
        </w:rPr>
        <w:t xml:space="preserve"> (Baker et al., 2025)</w:t>
      </w:r>
      <w:r w:rsidR="005D311E">
        <w:rPr>
          <w:rFonts w:ascii="Times New Roman" w:hAnsi="Times New Roman" w:cs="Times New Roman"/>
        </w:rPr>
        <w:t xml:space="preserve">. </w:t>
      </w:r>
      <w:r w:rsidRPr="0087749D">
        <w:rPr>
          <w:rFonts w:ascii="Times New Roman" w:hAnsi="Times New Roman" w:cs="Times New Roman"/>
        </w:rPr>
        <w:t xml:space="preserve">We summarize this in Table 1 as FAST Stage </w:t>
      </w:r>
      <w:r w:rsidR="001C00F9">
        <w:rPr>
          <w:rFonts w:ascii="Times New Roman" w:hAnsi="Times New Roman" w:cs="Times New Roman"/>
        </w:rPr>
        <w:t>1</w:t>
      </w:r>
      <w:r w:rsidR="005D311E" w:rsidRPr="0087749D">
        <w:rPr>
          <w:rFonts w:ascii="Times New Roman" w:hAnsi="Times New Roman" w:cs="Times New Roman"/>
        </w:rPr>
        <w:t xml:space="preserve"> </w:t>
      </w:r>
      <w:r w:rsidRPr="0087749D">
        <w:rPr>
          <w:rFonts w:ascii="Times New Roman" w:hAnsi="Times New Roman" w:cs="Times New Roman"/>
        </w:rPr>
        <w:t>at enrollment.</w:t>
      </w:r>
    </w:p>
    <w:p w14:paraId="5F8CF963" w14:textId="77777777" w:rsidR="00EB114D" w:rsidRDefault="00EB114D" w:rsidP="00424710">
      <w:pPr>
        <w:spacing w:line="480" w:lineRule="auto"/>
        <w:rPr>
          <w:rFonts w:ascii="Times New Roman" w:hAnsi="Times New Roman" w:cs="Times New Roman"/>
        </w:rPr>
      </w:pPr>
      <w:r w:rsidRPr="0087749D">
        <w:rPr>
          <w:rFonts w:ascii="Times New Roman" w:hAnsi="Times New Roman" w:cs="Times New Roman"/>
          <w:b/>
          <w:bCs/>
        </w:rPr>
        <w:t>Xinzhuang.</w:t>
      </w:r>
      <w:r w:rsidRPr="0087749D">
        <w:rPr>
          <w:rFonts w:ascii="Times New Roman" w:hAnsi="Times New Roman" w:cs="Times New Roman"/>
        </w:rPr>
        <w:t xml:space="preserve"> Inclusion criteria for the trial reported by Fan et al. (2024), which took place in Xinzhuang, included diagnosis of MCI according to the Peterson criteria: (1) Cognitive concern or complaint by the subject or proxy, with Clinical Dementia Rating (CDR) = 0.5, (2) Objective impairment in at least 1 cognitive domain (performance 1.5 SD below the mean using Chinese population norms), (3) normal functional activities, and (4) Absence of dementia. We summarize this in Table 1 as FAST Stage 3 at enrollment.</w:t>
      </w:r>
    </w:p>
    <w:p w14:paraId="288D378D" w14:textId="68B0D572" w:rsidR="003C63F7" w:rsidRPr="003C63F7" w:rsidRDefault="003C63F7" w:rsidP="00424710">
      <w:pPr>
        <w:spacing w:line="480" w:lineRule="auto"/>
        <w:rPr>
          <w:rFonts w:ascii="Times New Roman" w:hAnsi="Times New Roman" w:cs="Times New Roman"/>
        </w:rPr>
      </w:pPr>
      <w:r>
        <w:rPr>
          <w:rFonts w:ascii="Times New Roman" w:hAnsi="Times New Roman" w:cs="Times New Roman"/>
          <w:b/>
          <w:bCs/>
        </w:rPr>
        <w:t>Yang (aka, “</w:t>
      </w:r>
      <w:r w:rsidRPr="00152F88">
        <w:rPr>
          <w:rFonts w:ascii="Times New Roman" w:hAnsi="Times New Roman" w:cs="Times New Roman"/>
          <w:b/>
          <w:bCs/>
        </w:rPr>
        <w:t>A study examining the effectiveness of a multi-modal intervention to slow down the progression of mild cognitive impairment</w:t>
      </w:r>
      <w:r>
        <w:rPr>
          <w:rFonts w:ascii="Times New Roman" w:hAnsi="Times New Roman" w:cs="Times New Roman"/>
          <w:b/>
          <w:bCs/>
        </w:rPr>
        <w:t xml:space="preserve">”). </w:t>
      </w:r>
      <w:r w:rsidRPr="001A4322">
        <w:rPr>
          <w:rFonts w:ascii="Times New Roman" w:hAnsi="Times New Roman" w:cs="Times New Roman"/>
        </w:rPr>
        <w:t xml:space="preserve">We refer to this trial </w:t>
      </w:r>
      <w:r>
        <w:rPr>
          <w:rFonts w:ascii="Times New Roman" w:hAnsi="Times New Roman" w:cs="Times New Roman"/>
        </w:rPr>
        <w:t>(</w:t>
      </w:r>
      <w:r w:rsidRPr="001A4322">
        <w:rPr>
          <w:rFonts w:ascii="Times New Roman" w:hAnsi="Times New Roman" w:cs="Times New Roman"/>
        </w:rPr>
        <w:t>Chinese clinical trial registration number ChiCTR1900026042</w:t>
      </w:r>
      <w:r>
        <w:rPr>
          <w:rFonts w:ascii="Times New Roman" w:hAnsi="Times New Roman" w:cs="Times New Roman"/>
        </w:rPr>
        <w:t xml:space="preserve">) </w:t>
      </w:r>
      <w:r w:rsidRPr="001A4322">
        <w:rPr>
          <w:rFonts w:ascii="Times New Roman" w:hAnsi="Times New Roman" w:cs="Times New Roman"/>
        </w:rPr>
        <w:t xml:space="preserve">with the shorthand “Yang”, the first author of the 2022 results paper (Yang et al., 2022), consistent with the nomenclature of Soldevila-Domenech </w:t>
      </w:r>
      <w:r>
        <w:rPr>
          <w:rFonts w:ascii="Times New Roman" w:hAnsi="Times New Roman" w:cs="Times New Roman"/>
        </w:rPr>
        <w:t>et al. (</w:t>
      </w:r>
      <w:r w:rsidRPr="001A4322">
        <w:rPr>
          <w:rFonts w:ascii="Times New Roman" w:hAnsi="Times New Roman" w:cs="Times New Roman"/>
        </w:rPr>
        <w:t>2025</w:t>
      </w:r>
      <w:r>
        <w:rPr>
          <w:rFonts w:ascii="Times New Roman" w:hAnsi="Times New Roman" w:cs="Times New Roman"/>
        </w:rPr>
        <w:t xml:space="preserve">). Inclusion criteria included diagnosis with </w:t>
      </w:r>
      <w:r w:rsidRPr="001A4322">
        <w:rPr>
          <w:rFonts w:ascii="Times New Roman" w:hAnsi="Times New Roman" w:cs="Times New Roman"/>
        </w:rPr>
        <w:t>mild cognitive impairment</w:t>
      </w:r>
      <w:r>
        <w:rPr>
          <w:rFonts w:ascii="Times New Roman" w:hAnsi="Times New Roman" w:cs="Times New Roman"/>
        </w:rPr>
        <w:t>, consistent with FAST stage 3.</w:t>
      </w:r>
    </w:p>
    <w:p w14:paraId="79770F67" w14:textId="014AB23A" w:rsidR="00EE31ED" w:rsidRPr="0087749D" w:rsidRDefault="00ED4C19" w:rsidP="00424710">
      <w:pPr>
        <w:spacing w:before="960" w:line="480" w:lineRule="auto"/>
        <w:rPr>
          <w:rFonts w:ascii="Times New Roman" w:hAnsi="Times New Roman" w:cs="Times New Roman"/>
          <w:b/>
          <w:bCs/>
        </w:rPr>
      </w:pPr>
      <w:r w:rsidRPr="0087749D">
        <w:rPr>
          <w:rFonts w:ascii="Times New Roman" w:hAnsi="Times New Roman" w:cs="Times New Roman"/>
          <w:b/>
          <w:bCs/>
        </w:rPr>
        <w:lastRenderedPageBreak/>
        <w:t>Additional References not Cited in Main Text</w:t>
      </w:r>
    </w:p>
    <w:p w14:paraId="2186AAB0" w14:textId="4FD4AE76" w:rsidR="00EE31ED" w:rsidRPr="0087749D" w:rsidRDefault="00EE31ED" w:rsidP="00424710">
      <w:pPr>
        <w:spacing w:line="480" w:lineRule="auto"/>
        <w:rPr>
          <w:rFonts w:ascii="Times New Roman" w:hAnsi="Times New Roman" w:cs="Times New Roman"/>
        </w:rPr>
      </w:pPr>
      <w:r w:rsidRPr="0087749D">
        <w:rPr>
          <w:rFonts w:ascii="Times New Roman" w:hAnsi="Times New Roman" w:cs="Times New Roman"/>
        </w:rPr>
        <w:t xml:space="preserve">Ngandu T, </w:t>
      </w:r>
      <w:proofErr w:type="spellStart"/>
      <w:r w:rsidRPr="0087749D">
        <w:rPr>
          <w:rFonts w:ascii="Times New Roman" w:hAnsi="Times New Roman" w:cs="Times New Roman"/>
        </w:rPr>
        <w:t>Lehtisalo</w:t>
      </w:r>
      <w:proofErr w:type="spellEnd"/>
      <w:r w:rsidRPr="0087749D">
        <w:rPr>
          <w:rFonts w:ascii="Times New Roman" w:hAnsi="Times New Roman" w:cs="Times New Roman"/>
        </w:rPr>
        <w:t xml:space="preserve"> J, Solomon A, </w:t>
      </w:r>
      <w:proofErr w:type="spellStart"/>
      <w:r w:rsidRPr="0087749D">
        <w:rPr>
          <w:rFonts w:ascii="Times New Roman" w:hAnsi="Times New Roman" w:cs="Times New Roman"/>
        </w:rPr>
        <w:t>Levälahti</w:t>
      </w:r>
      <w:proofErr w:type="spellEnd"/>
      <w:r w:rsidRPr="0087749D">
        <w:rPr>
          <w:rFonts w:ascii="Times New Roman" w:hAnsi="Times New Roman" w:cs="Times New Roman"/>
        </w:rPr>
        <w:t xml:space="preserve"> E, </w:t>
      </w:r>
      <w:proofErr w:type="spellStart"/>
      <w:r w:rsidRPr="0087749D">
        <w:rPr>
          <w:rFonts w:ascii="Times New Roman" w:hAnsi="Times New Roman" w:cs="Times New Roman"/>
        </w:rPr>
        <w:t>Ahtiluoto</w:t>
      </w:r>
      <w:proofErr w:type="spellEnd"/>
      <w:r w:rsidRPr="0087749D">
        <w:rPr>
          <w:rFonts w:ascii="Times New Roman" w:hAnsi="Times New Roman" w:cs="Times New Roman"/>
        </w:rPr>
        <w:t xml:space="preserve"> S, Antikainen R, Bäckman L, Hänninen T, Jula A, Laatikainen T, Lindström J, </w:t>
      </w:r>
      <w:proofErr w:type="spellStart"/>
      <w:r w:rsidRPr="0087749D">
        <w:rPr>
          <w:rFonts w:ascii="Times New Roman" w:hAnsi="Times New Roman" w:cs="Times New Roman"/>
        </w:rPr>
        <w:t>Mangialasche</w:t>
      </w:r>
      <w:proofErr w:type="spellEnd"/>
      <w:r w:rsidRPr="0087749D">
        <w:rPr>
          <w:rFonts w:ascii="Times New Roman" w:hAnsi="Times New Roman" w:cs="Times New Roman"/>
        </w:rPr>
        <w:t xml:space="preserve"> F, Paajanen T, </w:t>
      </w:r>
      <w:proofErr w:type="spellStart"/>
      <w:r w:rsidRPr="0087749D">
        <w:rPr>
          <w:rFonts w:ascii="Times New Roman" w:hAnsi="Times New Roman" w:cs="Times New Roman"/>
        </w:rPr>
        <w:t>Pajala</w:t>
      </w:r>
      <w:proofErr w:type="spellEnd"/>
      <w:r w:rsidRPr="0087749D">
        <w:rPr>
          <w:rFonts w:ascii="Times New Roman" w:hAnsi="Times New Roman" w:cs="Times New Roman"/>
        </w:rPr>
        <w:t xml:space="preserve"> S, Peltonen M, </w:t>
      </w:r>
      <w:proofErr w:type="spellStart"/>
      <w:r w:rsidRPr="0087749D">
        <w:rPr>
          <w:rFonts w:ascii="Times New Roman" w:hAnsi="Times New Roman" w:cs="Times New Roman"/>
        </w:rPr>
        <w:t>Rauramaa</w:t>
      </w:r>
      <w:proofErr w:type="spellEnd"/>
      <w:r w:rsidRPr="0087749D">
        <w:rPr>
          <w:rFonts w:ascii="Times New Roman" w:hAnsi="Times New Roman" w:cs="Times New Roman"/>
        </w:rPr>
        <w:t xml:space="preserve"> R, Stigsdotter-Neely A, Strandberg T, </w:t>
      </w:r>
      <w:proofErr w:type="spellStart"/>
      <w:r w:rsidRPr="0087749D">
        <w:rPr>
          <w:rFonts w:ascii="Times New Roman" w:hAnsi="Times New Roman" w:cs="Times New Roman"/>
        </w:rPr>
        <w:t>Tuomilehto</w:t>
      </w:r>
      <w:proofErr w:type="spellEnd"/>
      <w:r w:rsidRPr="0087749D">
        <w:rPr>
          <w:rFonts w:ascii="Times New Roman" w:hAnsi="Times New Roman" w:cs="Times New Roman"/>
        </w:rPr>
        <w:t xml:space="preserve"> J, Soininen H, Kivipelto M. A </w:t>
      </w:r>
      <w:proofErr w:type="gramStart"/>
      <w:r w:rsidRPr="0087749D">
        <w:rPr>
          <w:rFonts w:ascii="Times New Roman" w:hAnsi="Times New Roman" w:cs="Times New Roman"/>
        </w:rPr>
        <w:t>2 year</w:t>
      </w:r>
      <w:proofErr w:type="gramEnd"/>
      <w:r w:rsidRPr="0087749D">
        <w:rPr>
          <w:rFonts w:ascii="Times New Roman" w:hAnsi="Times New Roman" w:cs="Times New Roman"/>
        </w:rPr>
        <w:t xml:space="preserve"> multidomain intervention of diet, exercise, cognitive training, and vascular risk monitoring versus control to prevent cognitive decline in at-risk elderly people (FINGER): a </w:t>
      </w:r>
      <w:proofErr w:type="spellStart"/>
      <w:r w:rsidRPr="0087749D">
        <w:rPr>
          <w:rFonts w:ascii="Times New Roman" w:hAnsi="Times New Roman" w:cs="Times New Roman"/>
        </w:rPr>
        <w:t>randomised</w:t>
      </w:r>
      <w:proofErr w:type="spellEnd"/>
      <w:r w:rsidRPr="0087749D">
        <w:rPr>
          <w:rFonts w:ascii="Times New Roman" w:hAnsi="Times New Roman" w:cs="Times New Roman"/>
        </w:rPr>
        <w:t xml:space="preserve"> controlled trial. Lancet. 2015 Jun 6;385(9984):2255-63. doi: 10.1016/S0140-6736(15)60461-5. Epub 2015 Mar 12. PMID: 25771249.</w:t>
      </w:r>
    </w:p>
    <w:sectPr w:rsidR="00EE31ED" w:rsidRPr="0087749D" w:rsidSect="00B953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54A97"/>
    <w:multiLevelType w:val="multilevel"/>
    <w:tmpl w:val="9BB05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A35F30"/>
    <w:multiLevelType w:val="multilevel"/>
    <w:tmpl w:val="EFECD9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6E2F10"/>
    <w:multiLevelType w:val="multilevel"/>
    <w:tmpl w:val="6DD62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ED14BE"/>
    <w:multiLevelType w:val="multilevel"/>
    <w:tmpl w:val="C1B6D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6737441">
    <w:abstractNumId w:val="1"/>
  </w:num>
  <w:num w:numId="2" w16cid:durableId="530918907">
    <w:abstractNumId w:val="3"/>
  </w:num>
  <w:num w:numId="3" w16cid:durableId="429085712">
    <w:abstractNumId w:val="0"/>
  </w:num>
  <w:num w:numId="4" w16cid:durableId="207303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ED"/>
    <w:rsid w:val="00001D2A"/>
    <w:rsid w:val="000320DF"/>
    <w:rsid w:val="000660B9"/>
    <w:rsid w:val="00087A32"/>
    <w:rsid w:val="000C2BA9"/>
    <w:rsid w:val="000D5912"/>
    <w:rsid w:val="00133D8B"/>
    <w:rsid w:val="00152F88"/>
    <w:rsid w:val="001570C3"/>
    <w:rsid w:val="001948C7"/>
    <w:rsid w:val="001A4322"/>
    <w:rsid w:val="001B7A24"/>
    <w:rsid w:val="001C00F9"/>
    <w:rsid w:val="001F0B32"/>
    <w:rsid w:val="001F300E"/>
    <w:rsid w:val="0022367D"/>
    <w:rsid w:val="00266833"/>
    <w:rsid w:val="002F6A1A"/>
    <w:rsid w:val="00342AA0"/>
    <w:rsid w:val="00365D30"/>
    <w:rsid w:val="003A342C"/>
    <w:rsid w:val="003B213C"/>
    <w:rsid w:val="003C63F7"/>
    <w:rsid w:val="0042209B"/>
    <w:rsid w:val="00424710"/>
    <w:rsid w:val="00481723"/>
    <w:rsid w:val="00486BEF"/>
    <w:rsid w:val="0049159A"/>
    <w:rsid w:val="004D509E"/>
    <w:rsid w:val="004E4E3F"/>
    <w:rsid w:val="004E62FD"/>
    <w:rsid w:val="004F7FCE"/>
    <w:rsid w:val="00507124"/>
    <w:rsid w:val="005724D2"/>
    <w:rsid w:val="005D311E"/>
    <w:rsid w:val="005F69D0"/>
    <w:rsid w:val="00605FE0"/>
    <w:rsid w:val="00613878"/>
    <w:rsid w:val="00633F08"/>
    <w:rsid w:val="006464FB"/>
    <w:rsid w:val="006C23E0"/>
    <w:rsid w:val="006E592D"/>
    <w:rsid w:val="006F44A5"/>
    <w:rsid w:val="0078321C"/>
    <w:rsid w:val="00795684"/>
    <w:rsid w:val="007B22BB"/>
    <w:rsid w:val="007F588F"/>
    <w:rsid w:val="0082710B"/>
    <w:rsid w:val="00831328"/>
    <w:rsid w:val="00832810"/>
    <w:rsid w:val="0087749D"/>
    <w:rsid w:val="008B5691"/>
    <w:rsid w:val="008E26E4"/>
    <w:rsid w:val="00941B49"/>
    <w:rsid w:val="00955244"/>
    <w:rsid w:val="0099106D"/>
    <w:rsid w:val="009C3D69"/>
    <w:rsid w:val="009F1DC6"/>
    <w:rsid w:val="00A24E04"/>
    <w:rsid w:val="00A90E76"/>
    <w:rsid w:val="00AA4982"/>
    <w:rsid w:val="00B23269"/>
    <w:rsid w:val="00B321CA"/>
    <w:rsid w:val="00B75474"/>
    <w:rsid w:val="00B9533B"/>
    <w:rsid w:val="00C00DD3"/>
    <w:rsid w:val="00C6391E"/>
    <w:rsid w:val="00C84046"/>
    <w:rsid w:val="00CC6A23"/>
    <w:rsid w:val="00D51068"/>
    <w:rsid w:val="00D7620D"/>
    <w:rsid w:val="00DC4E5D"/>
    <w:rsid w:val="00E41805"/>
    <w:rsid w:val="00E72295"/>
    <w:rsid w:val="00E75AEA"/>
    <w:rsid w:val="00EA6917"/>
    <w:rsid w:val="00EB114D"/>
    <w:rsid w:val="00ED4C19"/>
    <w:rsid w:val="00EE31ED"/>
    <w:rsid w:val="00F33AAA"/>
    <w:rsid w:val="00F53E5F"/>
    <w:rsid w:val="00F75A57"/>
    <w:rsid w:val="00FC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F9B1"/>
  <w15:chartTrackingRefBased/>
  <w15:docId w15:val="{0DA1B737-8053-DD46-B8E0-F722D813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1ED"/>
    <w:rPr>
      <w:rFonts w:eastAsiaTheme="majorEastAsia" w:cstheme="majorBidi"/>
      <w:color w:val="272727" w:themeColor="text1" w:themeTint="D8"/>
    </w:rPr>
  </w:style>
  <w:style w:type="paragraph" w:styleId="Title">
    <w:name w:val="Title"/>
    <w:basedOn w:val="Normal"/>
    <w:next w:val="Normal"/>
    <w:link w:val="TitleChar"/>
    <w:uiPriority w:val="10"/>
    <w:qFormat/>
    <w:rsid w:val="00EE3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1ED"/>
    <w:pPr>
      <w:spacing w:before="160"/>
      <w:jc w:val="center"/>
    </w:pPr>
    <w:rPr>
      <w:i/>
      <w:iCs/>
      <w:color w:val="404040" w:themeColor="text1" w:themeTint="BF"/>
    </w:rPr>
  </w:style>
  <w:style w:type="character" w:customStyle="1" w:styleId="QuoteChar">
    <w:name w:val="Quote Char"/>
    <w:basedOn w:val="DefaultParagraphFont"/>
    <w:link w:val="Quote"/>
    <w:uiPriority w:val="29"/>
    <w:rsid w:val="00EE31ED"/>
    <w:rPr>
      <w:i/>
      <w:iCs/>
      <w:color w:val="404040" w:themeColor="text1" w:themeTint="BF"/>
    </w:rPr>
  </w:style>
  <w:style w:type="paragraph" w:styleId="ListParagraph">
    <w:name w:val="List Paragraph"/>
    <w:basedOn w:val="Normal"/>
    <w:uiPriority w:val="34"/>
    <w:qFormat/>
    <w:rsid w:val="00EE31ED"/>
    <w:pPr>
      <w:ind w:left="720"/>
      <w:contextualSpacing/>
    </w:pPr>
  </w:style>
  <w:style w:type="character" w:styleId="IntenseEmphasis">
    <w:name w:val="Intense Emphasis"/>
    <w:basedOn w:val="DefaultParagraphFont"/>
    <w:uiPriority w:val="21"/>
    <w:qFormat/>
    <w:rsid w:val="00EE31ED"/>
    <w:rPr>
      <w:i/>
      <w:iCs/>
      <w:color w:val="0F4761" w:themeColor="accent1" w:themeShade="BF"/>
    </w:rPr>
  </w:style>
  <w:style w:type="paragraph" w:styleId="IntenseQuote">
    <w:name w:val="Intense Quote"/>
    <w:basedOn w:val="Normal"/>
    <w:next w:val="Normal"/>
    <w:link w:val="IntenseQuoteChar"/>
    <w:uiPriority w:val="30"/>
    <w:qFormat/>
    <w:rsid w:val="00EE3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1ED"/>
    <w:rPr>
      <w:i/>
      <w:iCs/>
      <w:color w:val="0F4761" w:themeColor="accent1" w:themeShade="BF"/>
    </w:rPr>
  </w:style>
  <w:style w:type="character" w:styleId="IntenseReference">
    <w:name w:val="Intense Reference"/>
    <w:basedOn w:val="DefaultParagraphFont"/>
    <w:uiPriority w:val="32"/>
    <w:qFormat/>
    <w:rsid w:val="00EE31ED"/>
    <w:rPr>
      <w:b/>
      <w:bCs/>
      <w:smallCaps/>
      <w:color w:val="0F4761" w:themeColor="accent1" w:themeShade="BF"/>
      <w:spacing w:val="5"/>
    </w:rPr>
  </w:style>
  <w:style w:type="character" w:styleId="Hyperlink">
    <w:name w:val="Hyperlink"/>
    <w:basedOn w:val="DefaultParagraphFont"/>
    <w:uiPriority w:val="99"/>
    <w:unhideWhenUsed/>
    <w:rsid w:val="00EE31ED"/>
    <w:rPr>
      <w:color w:val="467886" w:themeColor="hyperlink"/>
      <w:u w:val="single"/>
    </w:rPr>
  </w:style>
  <w:style w:type="character" w:styleId="UnresolvedMention">
    <w:name w:val="Unresolved Mention"/>
    <w:basedOn w:val="DefaultParagraphFont"/>
    <w:uiPriority w:val="99"/>
    <w:rsid w:val="00EE31ED"/>
    <w:rPr>
      <w:color w:val="605E5C"/>
      <w:shd w:val="clear" w:color="auto" w:fill="E1DFDD"/>
    </w:rPr>
  </w:style>
  <w:style w:type="paragraph" w:styleId="NormalWeb">
    <w:name w:val="Normal (Web)"/>
    <w:basedOn w:val="Normal"/>
    <w:uiPriority w:val="99"/>
    <w:semiHidden/>
    <w:unhideWhenUsed/>
    <w:rsid w:val="003B213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5D31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312102">
      <w:bodyDiv w:val="1"/>
      <w:marLeft w:val="0"/>
      <w:marRight w:val="0"/>
      <w:marTop w:val="0"/>
      <w:marBottom w:val="0"/>
      <w:divBdr>
        <w:top w:val="none" w:sz="0" w:space="0" w:color="auto"/>
        <w:left w:val="none" w:sz="0" w:space="0" w:color="auto"/>
        <w:bottom w:val="none" w:sz="0" w:space="0" w:color="auto"/>
        <w:right w:val="none" w:sz="0" w:space="0" w:color="auto"/>
      </w:divBdr>
    </w:div>
    <w:div w:id="327099756">
      <w:bodyDiv w:val="1"/>
      <w:marLeft w:val="0"/>
      <w:marRight w:val="0"/>
      <w:marTop w:val="0"/>
      <w:marBottom w:val="0"/>
      <w:divBdr>
        <w:top w:val="none" w:sz="0" w:space="0" w:color="auto"/>
        <w:left w:val="none" w:sz="0" w:space="0" w:color="auto"/>
        <w:bottom w:val="none" w:sz="0" w:space="0" w:color="auto"/>
        <w:right w:val="none" w:sz="0" w:space="0" w:color="auto"/>
      </w:divBdr>
    </w:div>
    <w:div w:id="331447000">
      <w:bodyDiv w:val="1"/>
      <w:marLeft w:val="0"/>
      <w:marRight w:val="0"/>
      <w:marTop w:val="0"/>
      <w:marBottom w:val="0"/>
      <w:divBdr>
        <w:top w:val="none" w:sz="0" w:space="0" w:color="auto"/>
        <w:left w:val="none" w:sz="0" w:space="0" w:color="auto"/>
        <w:bottom w:val="none" w:sz="0" w:space="0" w:color="auto"/>
        <w:right w:val="none" w:sz="0" w:space="0" w:color="auto"/>
      </w:divBdr>
    </w:div>
    <w:div w:id="575937863">
      <w:bodyDiv w:val="1"/>
      <w:marLeft w:val="0"/>
      <w:marRight w:val="0"/>
      <w:marTop w:val="0"/>
      <w:marBottom w:val="0"/>
      <w:divBdr>
        <w:top w:val="none" w:sz="0" w:space="0" w:color="auto"/>
        <w:left w:val="none" w:sz="0" w:space="0" w:color="auto"/>
        <w:bottom w:val="none" w:sz="0" w:space="0" w:color="auto"/>
        <w:right w:val="none" w:sz="0" w:space="0" w:color="auto"/>
      </w:divBdr>
    </w:div>
    <w:div w:id="805777116">
      <w:bodyDiv w:val="1"/>
      <w:marLeft w:val="0"/>
      <w:marRight w:val="0"/>
      <w:marTop w:val="0"/>
      <w:marBottom w:val="0"/>
      <w:divBdr>
        <w:top w:val="none" w:sz="0" w:space="0" w:color="auto"/>
        <w:left w:val="none" w:sz="0" w:space="0" w:color="auto"/>
        <w:bottom w:val="none" w:sz="0" w:space="0" w:color="auto"/>
        <w:right w:val="none" w:sz="0" w:space="0" w:color="auto"/>
      </w:divBdr>
    </w:div>
    <w:div w:id="899443687">
      <w:bodyDiv w:val="1"/>
      <w:marLeft w:val="0"/>
      <w:marRight w:val="0"/>
      <w:marTop w:val="0"/>
      <w:marBottom w:val="0"/>
      <w:divBdr>
        <w:top w:val="none" w:sz="0" w:space="0" w:color="auto"/>
        <w:left w:val="none" w:sz="0" w:space="0" w:color="auto"/>
        <w:bottom w:val="none" w:sz="0" w:space="0" w:color="auto"/>
        <w:right w:val="none" w:sz="0" w:space="0" w:color="auto"/>
      </w:divBdr>
    </w:div>
    <w:div w:id="1099988652">
      <w:bodyDiv w:val="1"/>
      <w:marLeft w:val="0"/>
      <w:marRight w:val="0"/>
      <w:marTop w:val="0"/>
      <w:marBottom w:val="0"/>
      <w:divBdr>
        <w:top w:val="none" w:sz="0" w:space="0" w:color="auto"/>
        <w:left w:val="none" w:sz="0" w:space="0" w:color="auto"/>
        <w:bottom w:val="none" w:sz="0" w:space="0" w:color="auto"/>
        <w:right w:val="none" w:sz="0" w:space="0" w:color="auto"/>
      </w:divBdr>
    </w:div>
    <w:div w:id="1529641111">
      <w:bodyDiv w:val="1"/>
      <w:marLeft w:val="0"/>
      <w:marRight w:val="0"/>
      <w:marTop w:val="0"/>
      <w:marBottom w:val="0"/>
      <w:divBdr>
        <w:top w:val="none" w:sz="0" w:space="0" w:color="auto"/>
        <w:left w:val="none" w:sz="0" w:space="0" w:color="auto"/>
        <w:bottom w:val="none" w:sz="0" w:space="0" w:color="auto"/>
        <w:right w:val="none" w:sz="0" w:space="0" w:color="auto"/>
      </w:divBdr>
    </w:div>
    <w:div w:id="1607998668">
      <w:bodyDiv w:val="1"/>
      <w:marLeft w:val="0"/>
      <w:marRight w:val="0"/>
      <w:marTop w:val="0"/>
      <w:marBottom w:val="0"/>
      <w:divBdr>
        <w:top w:val="none" w:sz="0" w:space="0" w:color="auto"/>
        <w:left w:val="none" w:sz="0" w:space="0" w:color="auto"/>
        <w:bottom w:val="none" w:sz="0" w:space="0" w:color="auto"/>
        <w:right w:val="none" w:sz="0" w:space="0" w:color="auto"/>
      </w:divBdr>
    </w:div>
    <w:div w:id="1713536663">
      <w:bodyDiv w:val="1"/>
      <w:marLeft w:val="0"/>
      <w:marRight w:val="0"/>
      <w:marTop w:val="0"/>
      <w:marBottom w:val="0"/>
      <w:divBdr>
        <w:top w:val="none" w:sz="0" w:space="0" w:color="auto"/>
        <w:left w:val="none" w:sz="0" w:space="0" w:color="auto"/>
        <w:bottom w:val="none" w:sz="0" w:space="0" w:color="auto"/>
        <w:right w:val="none" w:sz="0" w:space="0" w:color="auto"/>
      </w:divBdr>
    </w:div>
    <w:div w:id="1793942465">
      <w:bodyDiv w:val="1"/>
      <w:marLeft w:val="0"/>
      <w:marRight w:val="0"/>
      <w:marTop w:val="0"/>
      <w:marBottom w:val="0"/>
      <w:divBdr>
        <w:top w:val="none" w:sz="0" w:space="0" w:color="auto"/>
        <w:left w:val="none" w:sz="0" w:space="0" w:color="auto"/>
        <w:bottom w:val="none" w:sz="0" w:space="0" w:color="auto"/>
        <w:right w:val="none" w:sz="0" w:space="0" w:color="auto"/>
      </w:divBdr>
    </w:div>
    <w:div w:id="1854144936">
      <w:bodyDiv w:val="1"/>
      <w:marLeft w:val="0"/>
      <w:marRight w:val="0"/>
      <w:marTop w:val="0"/>
      <w:marBottom w:val="0"/>
      <w:divBdr>
        <w:top w:val="none" w:sz="0" w:space="0" w:color="auto"/>
        <w:left w:val="none" w:sz="0" w:space="0" w:color="auto"/>
        <w:bottom w:val="none" w:sz="0" w:space="0" w:color="auto"/>
        <w:right w:val="none" w:sz="0" w:space="0" w:color="auto"/>
      </w:divBdr>
    </w:div>
    <w:div w:id="1973100274">
      <w:bodyDiv w:val="1"/>
      <w:marLeft w:val="0"/>
      <w:marRight w:val="0"/>
      <w:marTop w:val="0"/>
      <w:marBottom w:val="0"/>
      <w:divBdr>
        <w:top w:val="none" w:sz="0" w:space="0" w:color="auto"/>
        <w:left w:val="none" w:sz="0" w:space="0" w:color="auto"/>
        <w:bottom w:val="none" w:sz="0" w:space="0" w:color="auto"/>
        <w:right w:val="none" w:sz="0" w:space="0" w:color="auto"/>
      </w:divBdr>
      <w:divsChild>
        <w:div w:id="1293287625">
          <w:marLeft w:val="0"/>
          <w:marRight w:val="0"/>
          <w:marTop w:val="0"/>
          <w:marBottom w:val="0"/>
          <w:divBdr>
            <w:top w:val="none" w:sz="0" w:space="0" w:color="auto"/>
            <w:left w:val="none" w:sz="0" w:space="0" w:color="auto"/>
            <w:bottom w:val="none" w:sz="0" w:space="0" w:color="auto"/>
            <w:right w:val="none" w:sz="0" w:space="0" w:color="auto"/>
          </w:divBdr>
        </w:div>
      </w:divsChild>
    </w:div>
    <w:div w:id="204127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linicaltrials.gov/study/NCT05894954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8</Pages>
  <Words>2079</Words>
  <Characters>11855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Roach</dc:creator>
  <cp:keywords/>
  <dc:description/>
  <cp:lastModifiedBy>Jared Roach</cp:lastModifiedBy>
  <cp:revision>52</cp:revision>
  <dcterms:created xsi:type="dcterms:W3CDTF">2025-02-26T03:42:00Z</dcterms:created>
  <dcterms:modified xsi:type="dcterms:W3CDTF">2025-10-08T01:44:00Z</dcterms:modified>
</cp:coreProperties>
</file>