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F81C4" w14:textId="77777777" w:rsidR="00043BFE" w:rsidRPr="00DF551E" w:rsidRDefault="00043BFE" w:rsidP="000D69BB">
      <w:pPr>
        <w:pStyle w:val="NormalWeb"/>
        <w:spacing w:line="360" w:lineRule="auto"/>
        <w:jc w:val="both"/>
      </w:pPr>
      <w:r w:rsidRPr="000D69BB">
        <w:rPr>
          <w:b/>
          <w:bCs/>
        </w:rPr>
        <w:t>Supplemental Appendix 2.</w:t>
      </w:r>
      <w:r w:rsidRPr="000D69BB">
        <w:t xml:space="preserve"> </w:t>
      </w:r>
    </w:p>
    <w:p w14:paraId="3A52C5EB" w14:textId="77777777" w:rsidR="00827B10" w:rsidRPr="00DF551E" w:rsidRDefault="00827B10" w:rsidP="00DF551E">
      <w:pPr>
        <w:keepNext/>
        <w:spacing w:before="240" w:line="480" w:lineRule="auto"/>
        <w:jc w:val="center"/>
        <w:rPr>
          <w:rFonts w:ascii="Times New Roman" w:hAnsi="Times New Roman" w:cs="Times New Roman"/>
        </w:rPr>
      </w:pPr>
      <w:r w:rsidRPr="00DF551E">
        <w:rPr>
          <w:rFonts w:ascii="Times New Roman" w:hAnsi="Times New Roman" w:cs="Times New Roman"/>
          <w:b/>
        </w:rPr>
        <w:t>METHODS</w:t>
      </w:r>
    </w:p>
    <w:p w14:paraId="147F8C09" w14:textId="77777777"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b/>
          <w:bCs/>
        </w:rPr>
        <w:t>Scoping Review Objectives</w:t>
      </w:r>
      <w:r w:rsidRPr="00DF551E">
        <w:rPr>
          <w:rFonts w:ascii="Times New Roman" w:hAnsi="Times New Roman" w:cs="Times New Roman"/>
        </w:rPr>
        <w:t xml:space="preserve">. Although the claim may seem obvious that there is a need for multidomain treatment of patients with AD, most clinical guidelines currently only give lip service or short shrift to multidomain interventions. A compilation of studies clarifies gaps in research and provides a resource to the community. Much discussion has been made of multidomain interventions, but often in the context of partial reviews of the literature (Lin et al., 2016). Soldevila-Domenech et al. (2025) provide one compilation, but their compilation skips some studies we include, and focuses on trial design, not on trial results. Also, their compilation focuses on the concept of “dose” of a multidomain therapy, so includes studies not related to AD. </w:t>
      </w:r>
    </w:p>
    <w:p w14:paraId="7C2BE991" w14:textId="77777777"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b/>
          <w:bCs/>
        </w:rPr>
        <w:t>Scoping Review Methods</w:t>
      </w:r>
      <w:r w:rsidRPr="00DF551E">
        <w:rPr>
          <w:rFonts w:ascii="Times New Roman" w:hAnsi="Times New Roman" w:cs="Times New Roman"/>
        </w:rPr>
        <w:t xml:space="preserve">. A Preferred Reporting Items for Systematic reviews and Meta-Analyses extension for Scoping Reviews (PRISMA-ScR) checklist is included as </w:t>
      </w:r>
      <w:r w:rsidRPr="00DF551E">
        <w:rPr>
          <w:rFonts w:ascii="Times New Roman" w:hAnsi="Times New Roman" w:cs="Times New Roman"/>
          <w:b/>
          <w:bCs/>
        </w:rPr>
        <w:t>Supplemental Material</w:t>
      </w:r>
      <w:r w:rsidRPr="00DF551E">
        <w:rPr>
          <w:rFonts w:ascii="Times New Roman" w:hAnsi="Times New Roman" w:cs="Times New Roman"/>
        </w:rPr>
        <w:t xml:space="preserve"> (Tricco et al., 2018). </w:t>
      </w:r>
    </w:p>
    <w:p w14:paraId="62A61D5D" w14:textId="77777777" w:rsidR="00DF551E" w:rsidRDefault="00827B10" w:rsidP="00827B10">
      <w:pPr>
        <w:spacing w:line="480" w:lineRule="auto"/>
        <w:rPr>
          <w:rFonts w:ascii="Times New Roman" w:hAnsi="Times New Roman" w:cs="Times New Roman"/>
        </w:rPr>
      </w:pPr>
      <w:r w:rsidRPr="00DF551E">
        <w:rPr>
          <w:rFonts w:ascii="Times New Roman" w:hAnsi="Times New Roman" w:cs="Times New Roman"/>
          <w:i/>
          <w:iCs/>
        </w:rPr>
        <w:t>Identification of relevant studies.</w:t>
      </w:r>
      <w:r w:rsidRPr="00DF551E">
        <w:rPr>
          <w:rFonts w:ascii="Times New Roman" w:hAnsi="Times New Roman" w:cs="Times New Roman"/>
        </w:rPr>
        <w:t xml:space="preserve"> PubMed was queried for relevant studies with criteria crafted to include three conceptual components: (1) Alzheimer’s disease (any stage along the spectrum), (2) clinical trial, and (3) non-pharmacological multidomain intervention. The exact Boolean and resulting flow chart are provided </w:t>
      </w:r>
      <w:r w:rsidR="00DF551E">
        <w:rPr>
          <w:rFonts w:ascii="Times New Roman" w:hAnsi="Times New Roman" w:cs="Times New Roman"/>
        </w:rPr>
        <w:t xml:space="preserve">below. </w:t>
      </w:r>
    </w:p>
    <w:p w14:paraId="5DAADAB6" w14:textId="4C93F18A"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i/>
          <w:iCs/>
        </w:rPr>
        <w:t>Inclusion/exclusion criteria.</w:t>
      </w:r>
      <w:r w:rsidRPr="00DF551E">
        <w:rPr>
          <w:rFonts w:ascii="Times New Roman" w:hAnsi="Times New Roman" w:cs="Times New Roman"/>
        </w:rPr>
        <w:t xml:space="preserve"> Out of all potentially relevant publications, those meeting our study selection criteria were retained. Selection criteria were:</w:t>
      </w:r>
    </w:p>
    <w:p w14:paraId="7E95516E"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Publication available in English in a peer-reviewed journal with full text availability.</w:t>
      </w:r>
    </w:p>
    <w:p w14:paraId="4161D695"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Inclusion criteria designed such that a majority of participants would be expected to have AD (any stage, including presymptomatic) at the time of enrollment.</w:t>
      </w:r>
    </w:p>
    <w:p w14:paraId="6171E213"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lastRenderedPageBreak/>
        <w:t>Trial enrollment is not restricted to DIAD.</w:t>
      </w:r>
    </w:p>
    <w:p w14:paraId="68FAEBD6"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Prospective RCT.</w:t>
      </w:r>
    </w:p>
    <w:p w14:paraId="7D365106"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At least one primary outcome is a valid quantitative measure of function or cognition.</w:t>
      </w:r>
    </w:p>
    <w:p w14:paraId="27CF3CAE" w14:textId="77777777"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Intervention included at least two non-pharmacological modalities spanning at least two domains of intervention.</w:t>
      </w:r>
    </w:p>
    <w:p w14:paraId="5457AF75" w14:textId="6A6C432C"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At least two arms.</w:t>
      </w:r>
    </w:p>
    <w:p w14:paraId="42F309F3" w14:textId="5659D64F" w:rsidR="00827B10" w:rsidRPr="00DF551E" w:rsidRDefault="00827B10" w:rsidP="00827B10">
      <w:pPr>
        <w:numPr>
          <w:ilvl w:val="0"/>
          <w:numId w:val="9"/>
        </w:numPr>
        <w:spacing w:after="0" w:line="480" w:lineRule="auto"/>
        <w:rPr>
          <w:rFonts w:ascii="Times New Roman" w:hAnsi="Times New Roman" w:cs="Times New Roman"/>
        </w:rPr>
      </w:pPr>
      <w:r w:rsidRPr="00DF551E">
        <w:rPr>
          <w:rFonts w:ascii="Times New Roman" w:hAnsi="Times New Roman" w:cs="Times New Roman"/>
        </w:rPr>
        <w:t>Trial is completed and results for primary outcome(s) are published.</w:t>
      </w:r>
    </w:p>
    <w:p w14:paraId="00D17F15" w14:textId="2497A9EC"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rPr>
        <w:t xml:space="preserve">Studies not quite meeting inclusion criteria, and the reasons for exclusion, are listed </w:t>
      </w:r>
      <w:r w:rsidR="00DF551E">
        <w:rPr>
          <w:rFonts w:ascii="Times New Roman" w:hAnsi="Times New Roman" w:cs="Times New Roman"/>
        </w:rPr>
        <w:t>below</w:t>
      </w:r>
      <w:r w:rsidRPr="00DF551E">
        <w:rPr>
          <w:rFonts w:ascii="Times New Roman" w:hAnsi="Times New Roman" w:cs="Times New Roman"/>
        </w:rPr>
        <w:t xml:space="preserve">. In order to avoid missing high-quality systematic reviews and RCTs, the PubMed FFT (free full text) filter was </w:t>
      </w:r>
      <w:r w:rsidRPr="00DF551E">
        <w:rPr>
          <w:rFonts w:ascii="Times New Roman" w:hAnsi="Times New Roman" w:cs="Times New Roman"/>
          <w:u w:val="single"/>
        </w:rPr>
        <w:t>not</w:t>
      </w:r>
      <w:r w:rsidRPr="00DF551E">
        <w:rPr>
          <w:rFonts w:ascii="Times New Roman" w:hAnsi="Times New Roman" w:cs="Times New Roman"/>
        </w:rPr>
        <w:t xml:space="preserve"> used (Krieger et al., 2008). The period of the literature search was all dates prior to June 13, 2025.</w:t>
      </w:r>
      <w:r w:rsidR="006E33D3">
        <w:rPr>
          <w:rFonts w:ascii="Times New Roman" w:hAnsi="Times New Roman" w:cs="Times New Roman"/>
        </w:rPr>
        <w:t xml:space="preserve"> During the review process, the results from the US POINTER trial, published July 28, 2025, were added (Baker et al., 2025).</w:t>
      </w:r>
    </w:p>
    <w:p w14:paraId="0004E6E7" w14:textId="11528BBA"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i/>
          <w:iCs/>
        </w:rPr>
        <w:t>Unpublished (ongoing) studies.</w:t>
      </w:r>
      <w:r w:rsidRPr="00DF551E">
        <w:rPr>
          <w:rFonts w:ascii="Times New Roman" w:hAnsi="Times New Roman" w:cs="Times New Roman"/>
        </w:rPr>
        <w:t xml:space="preserve"> Separately from the scoping review analysis, unpublished ongoing studies were non-systematically identified by searching Google Scholar and ClinicalTrials.gov using the same three conceptual components of the scoping review. These studies are included either in </w:t>
      </w:r>
      <w:r w:rsidRPr="00DF551E">
        <w:rPr>
          <w:rFonts w:ascii="Times New Roman" w:hAnsi="Times New Roman" w:cs="Times New Roman"/>
          <w:b/>
          <w:bCs/>
        </w:rPr>
        <w:t>Table 1</w:t>
      </w:r>
      <w:r w:rsidRPr="00DF551E">
        <w:rPr>
          <w:rFonts w:ascii="Times New Roman" w:hAnsi="Times New Roman" w:cs="Times New Roman"/>
        </w:rPr>
        <w:t xml:space="preserve"> labeled with an asterisk (if they meet scoping criteria 1,2,3,5, and 6) or </w:t>
      </w:r>
      <w:r w:rsidR="00DF551E" w:rsidRPr="00DF551E">
        <w:rPr>
          <w:rFonts w:ascii="Times New Roman" w:hAnsi="Times New Roman" w:cs="Times New Roman"/>
        </w:rPr>
        <w:t>listed below</w:t>
      </w:r>
      <w:r w:rsidRPr="00DF551E">
        <w:rPr>
          <w:rFonts w:ascii="Times New Roman" w:hAnsi="Times New Roman" w:cs="Times New Roman"/>
        </w:rPr>
        <w:t xml:space="preserve"> for context.</w:t>
      </w:r>
    </w:p>
    <w:p w14:paraId="571AEE14" w14:textId="77777777"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i/>
          <w:iCs/>
        </w:rPr>
        <w:t>Data extraction.</w:t>
      </w:r>
      <w:r w:rsidRPr="00DF551E">
        <w:rPr>
          <w:rFonts w:ascii="Times New Roman" w:hAnsi="Times New Roman" w:cs="Times New Roman"/>
          <w:b/>
          <w:bCs/>
        </w:rPr>
        <w:t xml:space="preserve"> </w:t>
      </w:r>
      <w:r w:rsidRPr="00DF551E">
        <w:rPr>
          <w:rFonts w:ascii="Times New Roman" w:hAnsi="Times New Roman" w:cs="Times New Roman"/>
        </w:rPr>
        <w:t xml:space="preserve">For each study, we extracted the study name, design (RCT or cohort), domains of intervention, first enrollment date (year), number enrolled (intent to treat), length (months), baseline AD Stage (FAST), baseline age range (years), primary outcome measure(s), effect size (relative difference and/or Cohen’s d), and primary outcome measure significance (p-value). Data was interpreted only from published papers and ClinicalTrials.gov records; no attempt was </w:t>
      </w:r>
      <w:r w:rsidRPr="00DF551E">
        <w:rPr>
          <w:rFonts w:ascii="Times New Roman" w:hAnsi="Times New Roman" w:cs="Times New Roman"/>
        </w:rPr>
        <w:lastRenderedPageBreak/>
        <w:t xml:space="preserve">made to obtain or confirm data from investigators. The data extraction sheets are reported in </w:t>
      </w:r>
      <w:r w:rsidRPr="00DF551E">
        <w:rPr>
          <w:rFonts w:ascii="Times New Roman" w:hAnsi="Times New Roman" w:cs="Times New Roman"/>
          <w:b/>
          <w:bCs/>
        </w:rPr>
        <w:t>Table 1</w:t>
      </w:r>
      <w:r w:rsidRPr="00DF551E">
        <w:rPr>
          <w:rFonts w:ascii="Times New Roman" w:hAnsi="Times New Roman" w:cs="Times New Roman"/>
        </w:rPr>
        <w:t xml:space="preserve"> and </w:t>
      </w:r>
      <w:r w:rsidRPr="00DF551E">
        <w:rPr>
          <w:rFonts w:ascii="Times New Roman" w:hAnsi="Times New Roman" w:cs="Times New Roman"/>
          <w:b/>
          <w:bCs/>
        </w:rPr>
        <w:t>Table 2</w:t>
      </w:r>
      <w:r w:rsidRPr="00DF551E">
        <w:rPr>
          <w:rFonts w:ascii="Times New Roman" w:hAnsi="Times New Roman" w:cs="Times New Roman"/>
        </w:rPr>
        <w:t>.</w:t>
      </w:r>
    </w:p>
    <w:p w14:paraId="3F2C6984" w14:textId="77777777" w:rsidR="00827B10" w:rsidRPr="00DF551E" w:rsidRDefault="00827B10" w:rsidP="00827B10">
      <w:pPr>
        <w:spacing w:line="480" w:lineRule="auto"/>
        <w:rPr>
          <w:rFonts w:ascii="Times New Roman" w:hAnsi="Times New Roman" w:cs="Times New Roman"/>
        </w:rPr>
      </w:pPr>
      <w:r w:rsidRPr="00DF551E">
        <w:rPr>
          <w:rFonts w:ascii="Times New Roman" w:hAnsi="Times New Roman" w:cs="Times New Roman"/>
          <w:b/>
          <w:bCs/>
        </w:rPr>
        <w:t>Dominantly inherited AD (DIAD).</w:t>
      </w:r>
      <w:r w:rsidRPr="00DF551E">
        <w:rPr>
          <w:rFonts w:ascii="Times New Roman" w:hAnsi="Times New Roman" w:cs="Times New Roman"/>
        </w:rPr>
        <w:t xml:space="preserve"> About 1% of cases of AD are DIAD. Strong evidence using direct logical approaches supports each genetic cause of DIAD as a distinct disease. This evidence includes highly penetrant dominant inheritance with rare cases of single epistatic genes that block a single disease-causing pathway (</w:t>
      </w:r>
      <w:r w:rsidRPr="00DF551E">
        <w:rPr>
          <w:rFonts w:ascii="Times New Roman" w:hAnsi="Times New Roman" w:cs="Times New Roman"/>
          <w:b/>
          <w:bCs/>
        </w:rPr>
        <w:t>Figure 1A</w:t>
      </w:r>
      <w:r w:rsidRPr="00DF551E">
        <w:rPr>
          <w:rFonts w:ascii="Times New Roman" w:hAnsi="Times New Roman" w:cs="Times New Roman"/>
        </w:rPr>
        <w:t>). These DIAD diseases are solely due to variation in a single gene and are therefore not complex diseases. As such, our arguments for synergistic multidomain therapy are weaker for DIAD patients. However, similarities between DIAD and other cases of AD—both across symptoms and molecular pathophysiology—particularly in symptomatic stages, may support a role for multidomain therapy in DIAD.</w:t>
      </w:r>
    </w:p>
    <w:p w14:paraId="0E855ED9" w14:textId="717713D7" w:rsidR="00F706E3" w:rsidRPr="00F706E3" w:rsidRDefault="00F706E3" w:rsidP="00F706E3">
      <w:pPr>
        <w:pStyle w:val="NormalWeb"/>
        <w:spacing w:after="0" w:afterAutospacing="0" w:line="360" w:lineRule="auto"/>
        <w:jc w:val="both"/>
        <w:rPr>
          <w:b/>
          <w:bCs/>
        </w:rPr>
      </w:pPr>
      <w:r w:rsidRPr="00F706E3">
        <w:rPr>
          <w:b/>
          <w:bCs/>
        </w:rPr>
        <w:t>PubMed Boolean Search String:</w:t>
      </w:r>
    </w:p>
    <w:p w14:paraId="70D7F57B" w14:textId="089B2948" w:rsidR="00DF551E" w:rsidRDefault="00F706E3" w:rsidP="00F706E3">
      <w:pPr>
        <w:pStyle w:val="NormalWeb"/>
        <w:spacing w:before="0" w:beforeAutospacing="0" w:after="0" w:afterAutospacing="0" w:line="360" w:lineRule="auto"/>
        <w:jc w:val="both"/>
        <w:rPr>
          <w:rFonts w:ascii="Courier New" w:hAnsi="Courier New" w:cs="Courier New"/>
        </w:rPr>
      </w:pPr>
      <w:r w:rsidRPr="00F706E3">
        <w:rPr>
          <w:rFonts w:ascii="Courier New" w:hAnsi="Courier New" w:cs="Courier New"/>
        </w:rPr>
        <w:t>(((("subjective cognitive decline" OR SCD OR "subjective memory impairment" OR "subjective cognitive impairment" OR SCI OR prefrail OR "Cognitive Dysfunction/prevention and control"[MAJR])) OR (("mild cognitive impairment" OR MCI OR (prodromal AND ("alzheimer disease"[MeSH Terms])))) AND (((alzheimer AND disease) OR "alzheimer disease" OR "Alzheimer's disease" OR "mild cognitive impairment" OR prefrail OR "Cognitive Dysfunction/prevention and control"[MAJR])) )) AND (multidomain OR multimodal OR "multi-domain" OR "multi-modal" OR "multi-component" OR multicomponent OR multidimensional OR multisystem OR "combined training" OR "combined modality therapy") AND (trial OR (randomized AND study)) AND (diet OR dietary OR exercise OR physical OR "combined modality therapy")</w:t>
      </w:r>
    </w:p>
    <w:p w14:paraId="438B58AB" w14:textId="77777777" w:rsidR="00DF551E" w:rsidRDefault="00DF551E">
      <w:pPr>
        <w:rPr>
          <w:rFonts w:ascii="Courier New" w:eastAsia="Times New Roman" w:hAnsi="Courier New" w:cs="Courier New"/>
          <w:kern w:val="0"/>
          <w14:ligatures w14:val="none"/>
        </w:rPr>
      </w:pPr>
      <w:r>
        <w:rPr>
          <w:rFonts w:ascii="Courier New" w:hAnsi="Courier New" w:cs="Courier New"/>
        </w:rPr>
        <w:br w:type="page"/>
      </w:r>
    </w:p>
    <w:p w14:paraId="09471FC9" w14:textId="77777777" w:rsidR="00F706E3" w:rsidRDefault="00F706E3" w:rsidP="00F706E3">
      <w:pPr>
        <w:pStyle w:val="NormalWeb"/>
        <w:spacing w:before="0" w:beforeAutospacing="0" w:after="0" w:afterAutospacing="0" w:line="360" w:lineRule="auto"/>
        <w:jc w:val="both"/>
        <w:rPr>
          <w:rFonts w:ascii="Courier New" w:hAnsi="Courier New" w:cs="Courier New"/>
        </w:rPr>
      </w:pPr>
    </w:p>
    <w:p w14:paraId="179E6644" w14:textId="77777777" w:rsidR="00DF551E" w:rsidRDefault="00DF551E" w:rsidP="00F706E3">
      <w:pPr>
        <w:pStyle w:val="NormalWeb"/>
        <w:spacing w:before="0" w:beforeAutospacing="0" w:after="0" w:afterAutospacing="0" w:line="360" w:lineRule="auto"/>
        <w:jc w:val="both"/>
        <w:rPr>
          <w:rFonts w:ascii="Courier New" w:hAnsi="Courier New" w:cs="Courier New"/>
        </w:rPr>
      </w:pPr>
    </w:p>
    <w:tbl>
      <w:tblPr>
        <w:tblStyle w:val="TableGrid"/>
        <w:tblpPr w:leftFromText="2880" w:rightFromText="187" w:tblpXSpec="center" w:tblpYSpec="center"/>
        <w:tblOverlap w:val="never"/>
        <w:tblW w:w="0" w:type="auto"/>
        <w:tblLook w:val="04A0" w:firstRow="1" w:lastRow="0" w:firstColumn="1" w:lastColumn="0" w:noHBand="0" w:noVBand="1"/>
      </w:tblPr>
      <w:tblGrid>
        <w:gridCol w:w="222"/>
        <w:gridCol w:w="4763"/>
      </w:tblGrid>
      <w:tr w:rsidR="00DF551E" w:rsidRPr="007B16AA" w14:paraId="34BC488A" w14:textId="77777777" w:rsidTr="00DF551E">
        <w:trPr>
          <w:trHeight w:val="3816"/>
        </w:trPr>
        <w:tc>
          <w:tcPr>
            <w:tcW w:w="216" w:type="dxa"/>
            <w:tcBorders>
              <w:top w:val="nil"/>
              <w:left w:val="nil"/>
              <w:bottom w:val="nil"/>
            </w:tcBorders>
          </w:tcPr>
          <w:p w14:paraId="6513DD2C" w14:textId="77777777" w:rsidR="00DF551E" w:rsidRDefault="00DF551E" w:rsidP="00DF551E">
            <w:pPr>
              <w:pStyle w:val="Normal1"/>
              <w:ind w:left="-226" w:firstLine="90"/>
              <w:jc w:val="both"/>
              <w:rPr>
                <w:rFonts w:ascii="Georgia" w:eastAsia="Times" w:hAnsi="Georgia" w:cs="Times"/>
                <w:sz w:val="10"/>
                <w:szCs w:val="10"/>
              </w:rPr>
            </w:pPr>
          </w:p>
        </w:tc>
        <w:tc>
          <w:tcPr>
            <w:tcW w:w="4763" w:type="dxa"/>
          </w:tcPr>
          <w:p w14:paraId="4618C1A4" w14:textId="77777777" w:rsidR="00DF551E" w:rsidRDefault="00DF551E" w:rsidP="00DF551E">
            <w:pPr>
              <w:pStyle w:val="Normal1"/>
              <w:ind w:left="-226" w:firstLine="90"/>
              <w:jc w:val="both"/>
              <w:rPr>
                <w:rFonts w:ascii="Georgia" w:eastAsia="Times" w:hAnsi="Georgia" w:cs="Times"/>
                <w:sz w:val="10"/>
                <w:szCs w:val="10"/>
              </w:rPr>
            </w:pPr>
          </w:p>
          <w:p w14:paraId="3EC9968E" w14:textId="77777777" w:rsidR="00DF551E" w:rsidRDefault="00DF551E" w:rsidP="00DF551E">
            <w:pPr>
              <w:pStyle w:val="Normal1"/>
              <w:ind w:left="-226" w:firstLine="90"/>
              <w:jc w:val="both"/>
              <w:rPr>
                <w:rFonts w:ascii="Georgia" w:eastAsia="Times" w:hAnsi="Georgia" w:cs="Times"/>
                <w:sz w:val="10"/>
                <w:szCs w:val="10"/>
              </w:rPr>
            </w:pPr>
          </w:p>
          <w:p w14:paraId="56A1A797" w14:textId="77777777" w:rsidR="00DF551E" w:rsidRPr="00074FE4" w:rsidRDefault="00DF551E" w:rsidP="00DF551E">
            <w:pPr>
              <w:pStyle w:val="Normal1"/>
              <w:ind w:left="-226" w:firstLine="90"/>
              <w:jc w:val="both"/>
              <w:rPr>
                <w:rFonts w:ascii="Georgia" w:eastAsia="Times" w:hAnsi="Georgia" w:cs="Times"/>
                <w:sz w:val="10"/>
                <w:szCs w:val="10"/>
              </w:rPr>
            </w:pPr>
          </w:p>
          <w:p w14:paraId="12A73C2D" w14:textId="77777777" w:rsidR="00DF551E" w:rsidRPr="007B16AA" w:rsidRDefault="00DF551E" w:rsidP="00DF551E">
            <w:pPr>
              <w:pStyle w:val="Normal1"/>
              <w:ind w:left="-23"/>
              <w:rPr>
                <w:rFonts w:ascii="Georgia" w:eastAsia="Times" w:hAnsi="Georgia" w:cs="Times"/>
                <w:sz w:val="10"/>
                <w:szCs w:val="10"/>
              </w:rPr>
            </w:pPr>
            <w:r>
              <w:rPr>
                <w:rFonts w:ascii="Georgia" w:eastAsia="Times" w:hAnsi="Georgia" w:cs="Times"/>
                <w:noProof/>
                <w:sz w:val="10"/>
                <w:szCs w:val="10"/>
                <w14:ligatures w14:val="standardContextual"/>
              </w:rPr>
              <w:drawing>
                <wp:inline distT="0" distB="0" distL="0" distR="0" wp14:anchorId="66B6F4B7" wp14:editId="13D70B37">
                  <wp:extent cx="2874902" cy="2026767"/>
                  <wp:effectExtent l="0" t="0" r="0" b="5715"/>
                  <wp:docPr id="62063657" name="Picture 1" descr="A flowchar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3657" name="Picture 1" descr="A flowchart of information&#10;&#10;AI-generated content may be incorrect."/>
                          <pic:cNvPicPr/>
                        </pic:nvPicPr>
                        <pic:blipFill rotWithShape="1">
                          <a:blip r:embed="rId7" cstate="print">
                            <a:extLst>
                              <a:ext uri="{28A0092B-C50C-407E-A947-70E740481C1C}">
                                <a14:useLocalDpi xmlns:a14="http://schemas.microsoft.com/office/drawing/2010/main" val="0"/>
                              </a:ext>
                            </a:extLst>
                          </a:blip>
                          <a:srcRect l="6739" t="5134" r="43018" b="31898"/>
                          <a:stretch>
                            <a:fillRect/>
                          </a:stretch>
                        </pic:blipFill>
                        <pic:spPr bwMode="auto">
                          <a:xfrm>
                            <a:off x="0" y="0"/>
                            <a:ext cx="2875560" cy="2027231"/>
                          </a:xfrm>
                          <a:prstGeom prst="rect">
                            <a:avLst/>
                          </a:prstGeom>
                          <a:ln>
                            <a:noFill/>
                          </a:ln>
                          <a:extLst>
                            <a:ext uri="{53640926-AAD7-44D8-BBD7-CCE9431645EC}">
                              <a14:shadowObscured xmlns:a14="http://schemas.microsoft.com/office/drawing/2010/main"/>
                            </a:ext>
                          </a:extLst>
                        </pic:spPr>
                      </pic:pic>
                    </a:graphicData>
                  </a:graphic>
                </wp:inline>
              </w:drawing>
            </w:r>
          </w:p>
        </w:tc>
      </w:tr>
      <w:tr w:rsidR="00DF551E" w:rsidRPr="00555BBF" w14:paraId="1EB115B8" w14:textId="77777777" w:rsidTr="00DF551E">
        <w:trPr>
          <w:trHeight w:val="368"/>
        </w:trPr>
        <w:tc>
          <w:tcPr>
            <w:tcW w:w="216" w:type="dxa"/>
            <w:tcBorders>
              <w:top w:val="nil"/>
              <w:left w:val="nil"/>
              <w:bottom w:val="nil"/>
            </w:tcBorders>
          </w:tcPr>
          <w:p w14:paraId="3637A6D5" w14:textId="77777777" w:rsidR="00DF551E" w:rsidRDefault="00DF551E" w:rsidP="00DF551E">
            <w:pPr>
              <w:jc w:val="both"/>
              <w:rPr>
                <w:rFonts w:ascii="Arial" w:hAnsi="Arial" w:cs="Arial"/>
                <w:b/>
                <w:sz w:val="22"/>
                <w:szCs w:val="22"/>
              </w:rPr>
            </w:pPr>
          </w:p>
        </w:tc>
        <w:tc>
          <w:tcPr>
            <w:tcW w:w="4763" w:type="dxa"/>
            <w:tcBorders>
              <w:bottom w:val="single" w:sz="4" w:space="0" w:color="auto"/>
            </w:tcBorders>
          </w:tcPr>
          <w:p w14:paraId="100804E9" w14:textId="77777777" w:rsidR="00DF551E" w:rsidRPr="00100AC6" w:rsidRDefault="00DF551E" w:rsidP="00DF551E">
            <w:pPr>
              <w:jc w:val="both"/>
              <w:rPr>
                <w:rFonts w:ascii="Arial" w:hAnsi="Arial" w:cs="Arial"/>
                <w:b/>
                <w:sz w:val="22"/>
                <w:szCs w:val="22"/>
              </w:rPr>
            </w:pPr>
            <w:r>
              <w:rPr>
                <w:rFonts w:ascii="Arial" w:hAnsi="Arial" w:cs="Arial"/>
                <w:b/>
                <w:sz w:val="22"/>
                <w:szCs w:val="22"/>
              </w:rPr>
              <w:t>Scoping Review Screening Flowchart</w:t>
            </w:r>
          </w:p>
        </w:tc>
      </w:tr>
      <w:tr w:rsidR="00DF551E" w:rsidRPr="00555BBF" w14:paraId="47A6D7F0" w14:textId="77777777" w:rsidTr="00DF551E">
        <w:trPr>
          <w:trHeight w:val="518"/>
        </w:trPr>
        <w:tc>
          <w:tcPr>
            <w:tcW w:w="216" w:type="dxa"/>
            <w:tcBorders>
              <w:top w:val="nil"/>
              <w:left w:val="nil"/>
              <w:bottom w:val="nil"/>
              <w:right w:val="nil"/>
            </w:tcBorders>
          </w:tcPr>
          <w:p w14:paraId="0A9AFABB" w14:textId="77777777" w:rsidR="00DF551E" w:rsidRPr="00F226B5" w:rsidRDefault="00DF551E" w:rsidP="00DF551E">
            <w:pPr>
              <w:jc w:val="both"/>
              <w:rPr>
                <w:rFonts w:ascii="Arial" w:hAnsi="Arial" w:cs="Arial"/>
                <w:b/>
                <w:bCs/>
                <w:sz w:val="10"/>
                <w:szCs w:val="10"/>
              </w:rPr>
            </w:pPr>
          </w:p>
        </w:tc>
        <w:tc>
          <w:tcPr>
            <w:tcW w:w="4763" w:type="dxa"/>
            <w:tcBorders>
              <w:left w:val="nil"/>
              <w:bottom w:val="nil"/>
              <w:right w:val="nil"/>
            </w:tcBorders>
          </w:tcPr>
          <w:p w14:paraId="769184F6" w14:textId="77777777" w:rsidR="00DF551E" w:rsidRPr="00F226B5" w:rsidRDefault="00DF551E" w:rsidP="00DF551E">
            <w:pPr>
              <w:jc w:val="both"/>
              <w:rPr>
                <w:rFonts w:ascii="Arial" w:hAnsi="Arial" w:cs="Arial"/>
                <w:b/>
                <w:bCs/>
                <w:sz w:val="10"/>
                <w:szCs w:val="10"/>
              </w:rPr>
            </w:pPr>
          </w:p>
        </w:tc>
      </w:tr>
    </w:tbl>
    <w:p w14:paraId="71EDDD97" w14:textId="77777777" w:rsidR="00DF551E" w:rsidRDefault="00DF551E" w:rsidP="00F706E3">
      <w:pPr>
        <w:pStyle w:val="NormalWeb"/>
        <w:spacing w:before="0" w:beforeAutospacing="0" w:after="0" w:afterAutospacing="0" w:line="360" w:lineRule="auto"/>
        <w:jc w:val="both"/>
        <w:rPr>
          <w:rFonts w:ascii="Courier New" w:hAnsi="Courier New" w:cs="Courier New"/>
        </w:rPr>
      </w:pPr>
    </w:p>
    <w:p w14:paraId="34592D32" w14:textId="77777777" w:rsidR="00DF551E" w:rsidRDefault="00DF551E" w:rsidP="00F706E3">
      <w:pPr>
        <w:pStyle w:val="NormalWeb"/>
        <w:spacing w:before="0" w:beforeAutospacing="0" w:after="0" w:afterAutospacing="0" w:line="360" w:lineRule="auto"/>
        <w:jc w:val="both"/>
        <w:rPr>
          <w:rFonts w:ascii="Courier New" w:hAnsi="Courier New" w:cs="Courier New"/>
        </w:rPr>
      </w:pPr>
    </w:p>
    <w:p w14:paraId="75BC1334" w14:textId="77777777" w:rsidR="00DF551E" w:rsidRDefault="00DF551E">
      <w:pPr>
        <w:rPr>
          <w:rFonts w:ascii="Times New Roman" w:eastAsia="Times New Roman" w:hAnsi="Times New Roman" w:cs="Times New Roman"/>
          <w:b/>
          <w:bCs/>
          <w:kern w:val="0"/>
          <w14:ligatures w14:val="none"/>
        </w:rPr>
      </w:pPr>
      <w:r>
        <w:rPr>
          <w:b/>
          <w:bCs/>
        </w:rPr>
        <w:br w:type="page"/>
      </w:r>
    </w:p>
    <w:p w14:paraId="6C45721B" w14:textId="5C279641" w:rsidR="00DF551E" w:rsidRPr="000D69BB" w:rsidRDefault="00DF551E" w:rsidP="00DF551E">
      <w:pPr>
        <w:pStyle w:val="NormalWeb"/>
        <w:spacing w:line="480" w:lineRule="auto"/>
        <w:jc w:val="center"/>
        <w:rPr>
          <w:b/>
          <w:bCs/>
        </w:rPr>
      </w:pPr>
      <w:r>
        <w:rPr>
          <w:b/>
          <w:bCs/>
        </w:rPr>
        <w:lastRenderedPageBreak/>
        <w:t>INCLUSION AND EXCLUSION OF STUDIES</w:t>
      </w:r>
    </w:p>
    <w:p w14:paraId="0EFCAB74" w14:textId="4BD40086" w:rsidR="00EA780E" w:rsidRDefault="00680A45" w:rsidP="00DF551E">
      <w:pPr>
        <w:pStyle w:val="NormalWeb"/>
        <w:spacing w:after="0" w:afterAutospacing="0" w:line="480" w:lineRule="auto"/>
        <w:ind w:firstLine="360"/>
        <w:jc w:val="both"/>
      </w:pPr>
      <w:r>
        <w:t>M</w:t>
      </w:r>
      <w:r w:rsidR="00EA780E" w:rsidRPr="000D69BB">
        <w:t>any</w:t>
      </w:r>
      <w:r w:rsidR="00480ACC" w:rsidRPr="000D69BB">
        <w:t xml:space="preserve"> </w:t>
      </w:r>
      <w:r w:rsidR="00EA780E" w:rsidRPr="000D69BB">
        <w:t>of</w:t>
      </w:r>
      <w:r w:rsidR="00480ACC" w:rsidRPr="000D69BB">
        <w:t xml:space="preserve"> </w:t>
      </w:r>
      <w:r w:rsidR="00EA780E" w:rsidRPr="000D69BB">
        <w:t>the</w:t>
      </w:r>
      <w:r w:rsidR="00480ACC" w:rsidRPr="000D69BB">
        <w:t xml:space="preserve"> </w:t>
      </w:r>
      <w:r w:rsidR="00AB3AA6" w:rsidRPr="000D69BB">
        <w:t>studies</w:t>
      </w:r>
      <w:r w:rsidR="00480ACC" w:rsidRPr="000D69BB">
        <w:t xml:space="preserve"> </w:t>
      </w:r>
      <w:r>
        <w:t xml:space="preserve">screened out of our scoping analysis are nevertheless </w:t>
      </w:r>
      <w:r w:rsidR="00EA780E" w:rsidRPr="000D69BB">
        <w:t>informative</w:t>
      </w:r>
      <w:r w:rsidR="00480ACC" w:rsidRPr="000D69BB">
        <w:t xml:space="preserve"> </w:t>
      </w:r>
      <w:r w:rsidR="00EA780E" w:rsidRPr="000D69BB">
        <w:t>with</w:t>
      </w:r>
      <w:r w:rsidR="00480ACC" w:rsidRPr="000D69BB">
        <w:t xml:space="preserve"> </w:t>
      </w:r>
      <w:r w:rsidR="00EA780E" w:rsidRPr="000D69BB">
        <w:t>respect</w:t>
      </w:r>
      <w:r w:rsidR="00480ACC" w:rsidRPr="000D69BB">
        <w:t xml:space="preserve"> </w:t>
      </w:r>
      <w:r w:rsidR="00EA780E" w:rsidRPr="000D69BB">
        <w:t>to</w:t>
      </w:r>
      <w:r w:rsidR="00480ACC" w:rsidRPr="000D69BB">
        <w:t xml:space="preserve"> </w:t>
      </w:r>
      <w:r w:rsidR="00EA780E" w:rsidRPr="000D69BB">
        <w:t>multidomain</w:t>
      </w:r>
      <w:r w:rsidR="00480ACC" w:rsidRPr="000D69BB">
        <w:t xml:space="preserve"> </w:t>
      </w:r>
      <w:r w:rsidR="00EA780E" w:rsidRPr="000D69BB">
        <w:t>interventions</w:t>
      </w:r>
      <w:r w:rsidR="00480ACC" w:rsidRPr="000D69BB">
        <w:t xml:space="preserve"> </w:t>
      </w:r>
      <w:r w:rsidR="00EA780E" w:rsidRPr="000D69BB">
        <w:t>for</w:t>
      </w:r>
      <w:r w:rsidR="00480ACC" w:rsidRPr="000D69BB">
        <w:t xml:space="preserve"> </w:t>
      </w:r>
      <w:r w:rsidR="00EA780E" w:rsidRPr="000D69BB">
        <w:t>ADRD.</w:t>
      </w:r>
      <w:r w:rsidR="00480ACC" w:rsidRPr="000D69BB">
        <w:t xml:space="preserve"> </w:t>
      </w:r>
      <w:r w:rsidR="00EA780E" w:rsidRPr="000D69BB">
        <w:t>Many</w:t>
      </w:r>
      <w:r w:rsidR="00480ACC" w:rsidRPr="000D69BB">
        <w:t xml:space="preserve"> </w:t>
      </w:r>
      <w:r w:rsidR="00EA780E" w:rsidRPr="000D69BB">
        <w:t>of</w:t>
      </w:r>
      <w:r w:rsidR="00480ACC" w:rsidRPr="000D69BB">
        <w:t xml:space="preserve"> </w:t>
      </w:r>
      <w:r w:rsidR="00EA780E" w:rsidRPr="000D69BB">
        <w:t>them</w:t>
      </w:r>
      <w:r w:rsidR="00480ACC" w:rsidRPr="000D69BB">
        <w:t xml:space="preserve"> </w:t>
      </w:r>
      <w:r w:rsidR="00EA780E" w:rsidRPr="000D69BB">
        <w:t>focus</w:t>
      </w:r>
      <w:r w:rsidR="00480ACC" w:rsidRPr="000D69BB">
        <w:t xml:space="preserve"> </w:t>
      </w:r>
      <w:r w:rsidR="00EA780E" w:rsidRPr="000D69BB">
        <w:t>on</w:t>
      </w:r>
      <w:r w:rsidR="00480ACC" w:rsidRPr="000D69BB">
        <w:t xml:space="preserve"> </w:t>
      </w:r>
      <w:r w:rsidR="00EA780E" w:rsidRPr="000D69BB">
        <w:t>a</w:t>
      </w:r>
      <w:r w:rsidR="00480ACC" w:rsidRPr="000D69BB">
        <w:t xml:space="preserve"> </w:t>
      </w:r>
      <w:r w:rsidR="00EA780E" w:rsidRPr="000D69BB">
        <w:t>single</w:t>
      </w:r>
      <w:r w:rsidR="00480ACC" w:rsidRPr="000D69BB">
        <w:t xml:space="preserve"> </w:t>
      </w:r>
      <w:r w:rsidR="00EA780E" w:rsidRPr="000D69BB">
        <w:t>intervention</w:t>
      </w:r>
      <w:r w:rsidR="00480ACC" w:rsidRPr="000D69BB">
        <w:t xml:space="preserve"> </w:t>
      </w:r>
      <w:r w:rsidR="00EA780E" w:rsidRPr="000D69BB">
        <w:t>such</w:t>
      </w:r>
      <w:r w:rsidR="00480ACC" w:rsidRPr="000D69BB">
        <w:t xml:space="preserve"> </w:t>
      </w:r>
      <w:r w:rsidR="00EA780E" w:rsidRPr="000D69BB">
        <w:t>as</w:t>
      </w:r>
      <w:r w:rsidR="00480ACC" w:rsidRPr="000D69BB">
        <w:t xml:space="preserve"> </w:t>
      </w:r>
      <w:r w:rsidR="00EA780E" w:rsidRPr="000D69BB">
        <w:t>diet</w:t>
      </w:r>
      <w:r w:rsidR="00480ACC" w:rsidRPr="000D69BB">
        <w:t xml:space="preserve"> </w:t>
      </w:r>
      <w:r w:rsidR="00EA780E" w:rsidRPr="000D69BB">
        <w:t>or</w:t>
      </w:r>
      <w:r w:rsidR="00480ACC" w:rsidRPr="000D69BB">
        <w:t xml:space="preserve"> </w:t>
      </w:r>
      <w:r w:rsidR="00EA780E" w:rsidRPr="000D69BB">
        <w:t>exercise</w:t>
      </w:r>
      <w:r w:rsidR="00480ACC" w:rsidRPr="000D69BB">
        <w:t xml:space="preserve"> </w:t>
      </w:r>
      <w:r w:rsidR="00EA780E" w:rsidRPr="000D69BB">
        <w:t>that</w:t>
      </w:r>
      <w:r w:rsidR="00480ACC" w:rsidRPr="000D69BB">
        <w:t xml:space="preserve"> </w:t>
      </w:r>
      <w:r w:rsidR="00EA780E" w:rsidRPr="000D69BB">
        <w:t>affects</w:t>
      </w:r>
      <w:r w:rsidR="00480ACC" w:rsidRPr="000D69BB">
        <w:t xml:space="preserve"> </w:t>
      </w:r>
      <w:r w:rsidR="00EA780E" w:rsidRPr="000D69BB">
        <w:t>multiple</w:t>
      </w:r>
      <w:r w:rsidR="00480ACC" w:rsidRPr="000D69BB">
        <w:t xml:space="preserve"> </w:t>
      </w:r>
      <w:r w:rsidR="00EA780E" w:rsidRPr="000D69BB">
        <w:t>domains.</w:t>
      </w:r>
      <w:r w:rsidR="00480ACC" w:rsidRPr="000D69BB">
        <w:t xml:space="preserve"> </w:t>
      </w:r>
      <w:r w:rsidR="00EA780E" w:rsidRPr="000D69BB">
        <w:t>Likewise,</w:t>
      </w:r>
      <w:r w:rsidR="00480ACC" w:rsidRPr="000D69BB">
        <w:t xml:space="preserve"> </w:t>
      </w:r>
      <w:r w:rsidR="00EA780E" w:rsidRPr="000D69BB">
        <w:t>we</w:t>
      </w:r>
      <w:r w:rsidR="00480ACC" w:rsidRPr="000D69BB">
        <w:t xml:space="preserve"> </w:t>
      </w:r>
      <w:r w:rsidR="00EA780E" w:rsidRPr="000D69BB">
        <w:t>did</w:t>
      </w:r>
      <w:r w:rsidR="00480ACC" w:rsidRPr="000D69BB">
        <w:t xml:space="preserve"> </w:t>
      </w:r>
      <w:r w:rsidR="00EA780E" w:rsidRPr="000D69BB">
        <w:t>not</w:t>
      </w:r>
      <w:r w:rsidR="00480ACC" w:rsidRPr="000D69BB">
        <w:t xml:space="preserve"> </w:t>
      </w:r>
      <w:r w:rsidR="00EA780E" w:rsidRPr="000D69BB">
        <w:t>include</w:t>
      </w:r>
      <w:r w:rsidR="00480ACC" w:rsidRPr="000D69BB">
        <w:t xml:space="preserve"> </w:t>
      </w:r>
      <w:r w:rsidR="00EA780E" w:rsidRPr="000D69BB">
        <w:t>trials</w:t>
      </w:r>
      <w:r w:rsidR="00480ACC" w:rsidRPr="000D69BB">
        <w:t xml:space="preserve"> </w:t>
      </w:r>
      <w:r w:rsidR="00EA780E" w:rsidRPr="000D69BB">
        <w:t>that</w:t>
      </w:r>
      <w:r w:rsidR="00480ACC" w:rsidRPr="000D69BB">
        <w:t xml:space="preserve"> </w:t>
      </w:r>
      <w:r w:rsidR="00EA780E" w:rsidRPr="000D69BB">
        <w:t>only</w:t>
      </w:r>
      <w:r w:rsidR="00480ACC" w:rsidRPr="000D69BB">
        <w:t xml:space="preserve"> </w:t>
      </w:r>
      <w:r w:rsidR="00EA780E" w:rsidRPr="000D69BB">
        <w:t>employed</w:t>
      </w:r>
      <w:r w:rsidR="00480ACC" w:rsidRPr="000D69BB">
        <w:t xml:space="preserve"> </w:t>
      </w:r>
      <w:r w:rsidR="00221641" w:rsidRPr="000D69BB">
        <w:t>pharmaceuticals</w:t>
      </w:r>
      <w:r w:rsidR="00EA780E" w:rsidRPr="000D69BB">
        <w:t>,</w:t>
      </w:r>
      <w:r w:rsidR="00480ACC" w:rsidRPr="000D69BB">
        <w:t xml:space="preserve"> </w:t>
      </w:r>
      <w:r w:rsidR="00EA780E" w:rsidRPr="000D69BB">
        <w:t>even</w:t>
      </w:r>
      <w:r w:rsidR="00480ACC" w:rsidRPr="000D69BB">
        <w:t xml:space="preserve"> </w:t>
      </w:r>
      <w:r w:rsidR="00EA780E" w:rsidRPr="000D69BB">
        <w:t>if</w:t>
      </w:r>
      <w:r w:rsidR="00480ACC" w:rsidRPr="000D69BB">
        <w:t xml:space="preserve"> </w:t>
      </w:r>
      <w:r w:rsidR="00EA780E" w:rsidRPr="000D69BB">
        <w:t>multiple</w:t>
      </w:r>
      <w:r w:rsidR="00480ACC" w:rsidRPr="000D69BB">
        <w:t xml:space="preserve"> </w:t>
      </w:r>
      <w:r w:rsidR="00EA780E" w:rsidRPr="000D69BB">
        <w:t>pharmaceuticals</w:t>
      </w:r>
      <w:r w:rsidR="00480ACC" w:rsidRPr="000D69BB">
        <w:t xml:space="preserve"> </w:t>
      </w:r>
      <w:r w:rsidR="00EA780E" w:rsidRPr="000D69BB">
        <w:t>were</w:t>
      </w:r>
      <w:r w:rsidR="00480ACC" w:rsidRPr="000D69BB">
        <w:t xml:space="preserve"> </w:t>
      </w:r>
      <w:r w:rsidR="00EA780E" w:rsidRPr="000D69BB">
        <w:t>used.</w:t>
      </w:r>
      <w:r w:rsidR="00480ACC" w:rsidRPr="000D69BB">
        <w:t xml:space="preserve"> </w:t>
      </w:r>
      <w:r w:rsidR="00EA780E" w:rsidRPr="000D69BB">
        <w:t>In</w:t>
      </w:r>
      <w:r w:rsidR="00480ACC" w:rsidRPr="000D69BB">
        <w:t xml:space="preserve"> </w:t>
      </w:r>
      <w:r w:rsidR="00EA780E" w:rsidRPr="000D69BB">
        <w:t>principle,</w:t>
      </w:r>
      <w:r w:rsidR="00480ACC" w:rsidRPr="000D69BB">
        <w:t xml:space="preserve"> </w:t>
      </w:r>
      <w:r w:rsidR="00EA780E" w:rsidRPr="000D69BB">
        <w:t>a</w:t>
      </w:r>
      <w:r w:rsidR="00480ACC" w:rsidRPr="000D69BB">
        <w:t xml:space="preserve"> </w:t>
      </w:r>
      <w:r w:rsidR="00EA780E" w:rsidRPr="000D69BB">
        <w:t>multi-pharmaceutical</w:t>
      </w:r>
      <w:r w:rsidR="00480ACC" w:rsidRPr="000D69BB">
        <w:t xml:space="preserve"> </w:t>
      </w:r>
      <w:r w:rsidR="00EA780E" w:rsidRPr="000D69BB">
        <w:t>trial</w:t>
      </w:r>
      <w:r w:rsidR="00480ACC" w:rsidRPr="000D69BB">
        <w:t xml:space="preserve"> </w:t>
      </w:r>
      <w:r w:rsidR="00EA780E" w:rsidRPr="000D69BB">
        <w:t>could</w:t>
      </w:r>
      <w:r w:rsidR="00480ACC" w:rsidRPr="000D69BB">
        <w:t xml:space="preserve"> </w:t>
      </w:r>
      <w:r w:rsidR="00EA780E" w:rsidRPr="000D69BB">
        <w:t>be</w:t>
      </w:r>
      <w:r w:rsidR="00480ACC" w:rsidRPr="000D69BB">
        <w:t xml:space="preserve"> </w:t>
      </w:r>
      <w:r w:rsidR="00EA780E" w:rsidRPr="000D69BB">
        <w:t>multidomain;</w:t>
      </w:r>
      <w:r w:rsidR="00480ACC" w:rsidRPr="000D69BB">
        <w:t xml:space="preserve"> </w:t>
      </w:r>
      <w:r w:rsidR="00EA780E" w:rsidRPr="000D69BB">
        <w:t>we</w:t>
      </w:r>
      <w:r w:rsidR="00480ACC" w:rsidRPr="000D69BB">
        <w:t xml:space="preserve"> </w:t>
      </w:r>
      <w:r w:rsidR="00EA780E" w:rsidRPr="000D69BB">
        <w:t>expect</w:t>
      </w:r>
      <w:r w:rsidR="00480ACC" w:rsidRPr="000D69BB">
        <w:t xml:space="preserve"> </w:t>
      </w:r>
      <w:r w:rsidR="00EA780E" w:rsidRPr="000D69BB">
        <w:t>to</w:t>
      </w:r>
      <w:r w:rsidR="00480ACC" w:rsidRPr="000D69BB">
        <w:t xml:space="preserve"> </w:t>
      </w:r>
      <w:r w:rsidR="00EA780E" w:rsidRPr="000D69BB">
        <w:t>see</w:t>
      </w:r>
      <w:r w:rsidR="00480ACC" w:rsidRPr="000D69BB">
        <w:t xml:space="preserve"> </w:t>
      </w:r>
      <w:r w:rsidR="00EA780E" w:rsidRPr="000D69BB">
        <w:t>such</w:t>
      </w:r>
      <w:r w:rsidR="00480ACC" w:rsidRPr="000D69BB">
        <w:t xml:space="preserve"> </w:t>
      </w:r>
      <w:r w:rsidR="00EA780E" w:rsidRPr="000D69BB">
        <w:t>trials</w:t>
      </w:r>
      <w:r w:rsidR="00480ACC" w:rsidRPr="000D69BB">
        <w:t xml:space="preserve"> </w:t>
      </w:r>
      <w:r w:rsidR="00EA780E" w:rsidRPr="000D69BB">
        <w:t>in</w:t>
      </w:r>
      <w:r w:rsidR="00480ACC" w:rsidRPr="000D69BB">
        <w:t xml:space="preserve"> </w:t>
      </w:r>
      <w:r w:rsidR="00EA780E" w:rsidRPr="000D69BB">
        <w:t>the</w:t>
      </w:r>
      <w:r w:rsidR="00480ACC" w:rsidRPr="000D69BB">
        <w:t xml:space="preserve"> </w:t>
      </w:r>
      <w:r w:rsidR="00EA780E" w:rsidRPr="000D69BB">
        <w:t>future.</w:t>
      </w:r>
      <w:r w:rsidR="00480ACC" w:rsidRPr="000D69BB">
        <w:t xml:space="preserve"> </w:t>
      </w:r>
      <w:r w:rsidR="00EA780E" w:rsidRPr="000D69BB">
        <w:t>We</w:t>
      </w:r>
      <w:r w:rsidR="00480ACC" w:rsidRPr="000D69BB">
        <w:t xml:space="preserve"> </w:t>
      </w:r>
      <w:r w:rsidR="00EA780E" w:rsidRPr="000D69BB">
        <w:t>do</w:t>
      </w:r>
      <w:r w:rsidR="00480ACC" w:rsidRPr="000D69BB">
        <w:t xml:space="preserve"> </w:t>
      </w:r>
      <w:r w:rsidR="00AB3AA6" w:rsidRPr="000D69BB">
        <w:t>not</w:t>
      </w:r>
      <w:r w:rsidR="00480ACC" w:rsidRPr="000D69BB">
        <w:t xml:space="preserve"> </w:t>
      </w:r>
      <w:r w:rsidR="00221641" w:rsidRPr="000D69BB">
        <w:t>include</w:t>
      </w:r>
      <w:r w:rsidR="00480ACC" w:rsidRPr="000D69BB">
        <w:t xml:space="preserve"> </w:t>
      </w:r>
      <w:r w:rsidR="00221641" w:rsidRPr="000D69BB">
        <w:t>the</w:t>
      </w:r>
      <w:r w:rsidR="00480ACC" w:rsidRPr="000D69BB">
        <w:t xml:space="preserve"> </w:t>
      </w:r>
      <w:r w:rsidR="00EA780E" w:rsidRPr="000D69BB">
        <w:t>“combination</w:t>
      </w:r>
      <w:r w:rsidR="00480ACC" w:rsidRPr="000D69BB">
        <w:t xml:space="preserve"> </w:t>
      </w:r>
      <w:r w:rsidR="00EA780E" w:rsidRPr="000D69BB">
        <w:t>ther</w:t>
      </w:r>
      <w:r w:rsidR="00221641" w:rsidRPr="000D69BB">
        <w:t>ap</w:t>
      </w:r>
      <w:r w:rsidR="00EA780E" w:rsidRPr="000D69BB">
        <w:t>y”</w:t>
      </w:r>
      <w:r w:rsidR="00480ACC" w:rsidRPr="000D69BB">
        <w:t xml:space="preserve"> </w:t>
      </w:r>
      <w:r w:rsidR="00EA780E" w:rsidRPr="000D69BB">
        <w:t>of</w:t>
      </w:r>
      <w:r w:rsidR="00480ACC" w:rsidRPr="000D69BB">
        <w:t xml:space="preserve"> </w:t>
      </w:r>
      <w:r w:rsidR="00221641" w:rsidRPr="000D69BB">
        <w:t>concomitant</w:t>
      </w:r>
      <w:r w:rsidR="00480ACC" w:rsidRPr="000D69BB">
        <w:t xml:space="preserve"> </w:t>
      </w:r>
      <w:r w:rsidR="00221641" w:rsidRPr="000D69BB">
        <w:t>use</w:t>
      </w:r>
      <w:r w:rsidR="00480ACC" w:rsidRPr="000D69BB">
        <w:t xml:space="preserve"> </w:t>
      </w:r>
      <w:r w:rsidR="00221641" w:rsidRPr="000D69BB">
        <w:t>of</w:t>
      </w:r>
      <w:r w:rsidR="00480ACC" w:rsidRPr="000D69BB">
        <w:t xml:space="preserve"> </w:t>
      </w:r>
      <w:r w:rsidR="00221641" w:rsidRPr="000D69BB">
        <w:t>memantine</w:t>
      </w:r>
      <w:r w:rsidR="00480ACC" w:rsidRPr="000D69BB">
        <w:t xml:space="preserve"> </w:t>
      </w:r>
      <w:r w:rsidR="00221641" w:rsidRPr="000D69BB">
        <w:t>and</w:t>
      </w:r>
      <w:r w:rsidR="00480ACC" w:rsidRPr="000D69BB">
        <w:t xml:space="preserve"> </w:t>
      </w:r>
      <w:r w:rsidR="00221641" w:rsidRPr="000D69BB">
        <w:t>cholinesterase</w:t>
      </w:r>
      <w:r w:rsidR="00480ACC" w:rsidRPr="000D69BB">
        <w:t xml:space="preserve"> </w:t>
      </w:r>
      <w:r w:rsidR="00221641" w:rsidRPr="000D69BB">
        <w:t>inhibitors</w:t>
      </w:r>
      <w:r w:rsidR="00480ACC" w:rsidRPr="000D69BB">
        <w:t xml:space="preserve"> </w:t>
      </w:r>
      <w:r w:rsidR="00221641" w:rsidRPr="000D69BB">
        <w:t>(ChEIs),</w:t>
      </w:r>
      <w:r w:rsidR="00480ACC" w:rsidRPr="000D69BB">
        <w:t xml:space="preserve"> </w:t>
      </w:r>
      <w:r w:rsidR="00221641" w:rsidRPr="000D69BB">
        <w:t>as</w:t>
      </w:r>
      <w:r w:rsidR="00480ACC" w:rsidRPr="000D69BB">
        <w:t xml:space="preserve"> </w:t>
      </w:r>
      <w:r w:rsidR="00221641" w:rsidRPr="000D69BB">
        <w:t>it</w:t>
      </w:r>
      <w:r w:rsidR="00480ACC" w:rsidRPr="000D69BB">
        <w:t xml:space="preserve"> </w:t>
      </w:r>
      <w:r w:rsidR="00221641" w:rsidRPr="000D69BB">
        <w:t>has</w:t>
      </w:r>
      <w:r w:rsidR="00480ACC" w:rsidRPr="000D69BB">
        <w:t xml:space="preserve"> </w:t>
      </w:r>
      <w:r w:rsidR="00221641" w:rsidRPr="000D69BB">
        <w:t>been</w:t>
      </w:r>
      <w:r w:rsidR="00480ACC" w:rsidRPr="000D69BB">
        <w:t xml:space="preserve"> </w:t>
      </w:r>
      <w:r w:rsidR="00221641" w:rsidRPr="000D69BB">
        <w:t>adequately</w:t>
      </w:r>
      <w:r w:rsidR="00480ACC" w:rsidRPr="000D69BB">
        <w:t xml:space="preserve"> </w:t>
      </w:r>
      <w:r w:rsidR="00221641" w:rsidRPr="000D69BB">
        <w:t>reviewed</w:t>
      </w:r>
      <w:r w:rsidR="00480ACC" w:rsidRPr="000D69BB">
        <w:t xml:space="preserve"> </w:t>
      </w:r>
      <w:r w:rsidR="00221641" w:rsidRPr="000D69BB">
        <w:t>elsewhere,</w:t>
      </w:r>
      <w:r w:rsidR="00480ACC" w:rsidRPr="000D69BB">
        <w:t xml:space="preserve"> </w:t>
      </w:r>
      <w:r w:rsidR="00221641" w:rsidRPr="000D69BB">
        <w:t>and</w:t>
      </w:r>
      <w:r w:rsidR="00480ACC" w:rsidRPr="000D69BB">
        <w:t xml:space="preserve"> </w:t>
      </w:r>
      <w:r w:rsidR="00221641" w:rsidRPr="000D69BB">
        <w:t>the</w:t>
      </w:r>
      <w:r w:rsidR="00480ACC" w:rsidRPr="000D69BB">
        <w:t xml:space="preserve"> </w:t>
      </w:r>
      <w:r w:rsidR="00221641" w:rsidRPr="000D69BB">
        <w:t>largely/entirely</w:t>
      </w:r>
      <w:r w:rsidR="00480ACC" w:rsidRPr="000D69BB">
        <w:t xml:space="preserve"> </w:t>
      </w:r>
      <w:r w:rsidR="00221641" w:rsidRPr="000D69BB">
        <w:t>symptomatic</w:t>
      </w:r>
      <w:r w:rsidR="00480ACC" w:rsidRPr="000D69BB">
        <w:t xml:space="preserve"> </w:t>
      </w:r>
      <w:r w:rsidR="00221641" w:rsidRPr="000D69BB">
        <w:t>mechanisms</w:t>
      </w:r>
      <w:r w:rsidR="00480ACC" w:rsidRPr="000D69BB">
        <w:t xml:space="preserve"> </w:t>
      </w:r>
      <w:r w:rsidR="00221641" w:rsidRPr="000D69BB">
        <w:t>of</w:t>
      </w:r>
      <w:r w:rsidR="00480ACC" w:rsidRPr="000D69BB">
        <w:t xml:space="preserve"> </w:t>
      </w:r>
      <w:r w:rsidR="00221641" w:rsidRPr="000D69BB">
        <w:t>actions</w:t>
      </w:r>
      <w:r w:rsidR="00480ACC" w:rsidRPr="000D69BB">
        <w:t xml:space="preserve"> </w:t>
      </w:r>
      <w:r w:rsidR="00221641" w:rsidRPr="000D69BB">
        <w:t>of</w:t>
      </w:r>
      <w:r w:rsidR="00480ACC" w:rsidRPr="000D69BB">
        <w:t xml:space="preserve"> </w:t>
      </w:r>
      <w:r w:rsidR="00221641" w:rsidRPr="000D69BB">
        <w:t>these</w:t>
      </w:r>
      <w:r w:rsidR="00480ACC" w:rsidRPr="000D69BB">
        <w:t xml:space="preserve"> </w:t>
      </w:r>
      <w:r w:rsidR="00221641" w:rsidRPr="000D69BB">
        <w:t>drugs</w:t>
      </w:r>
      <w:r w:rsidR="00480ACC" w:rsidRPr="000D69BB">
        <w:t xml:space="preserve"> </w:t>
      </w:r>
      <w:r w:rsidR="00221641" w:rsidRPr="000D69BB">
        <w:t>are</w:t>
      </w:r>
      <w:r w:rsidR="00480ACC" w:rsidRPr="000D69BB">
        <w:t xml:space="preserve"> </w:t>
      </w:r>
      <w:r w:rsidR="00221641" w:rsidRPr="000D69BB">
        <w:t>well</w:t>
      </w:r>
      <w:r w:rsidR="00480ACC" w:rsidRPr="000D69BB">
        <w:t xml:space="preserve"> </w:t>
      </w:r>
      <w:r w:rsidR="00221641" w:rsidRPr="000D69BB">
        <w:t>understood</w:t>
      </w:r>
      <w:r w:rsidR="00480ACC" w:rsidRPr="000D69BB">
        <w:t xml:space="preserve"> </w:t>
      </w:r>
      <w:r w:rsidR="00221641" w:rsidRPr="000D69BB">
        <w:t>(Kabir</w:t>
      </w:r>
      <w:r w:rsidR="00480ACC" w:rsidRPr="000D69BB">
        <w:t xml:space="preserve"> </w:t>
      </w:r>
      <w:r w:rsidR="00221641" w:rsidRPr="000D69BB">
        <w:t>et</w:t>
      </w:r>
      <w:r w:rsidR="00480ACC" w:rsidRPr="000D69BB">
        <w:t xml:space="preserve"> </w:t>
      </w:r>
      <w:r w:rsidR="00221641" w:rsidRPr="000D69BB">
        <w:t>al.,</w:t>
      </w:r>
      <w:r w:rsidR="00480ACC" w:rsidRPr="000D69BB">
        <w:t xml:space="preserve"> </w:t>
      </w:r>
      <w:r w:rsidR="00221641" w:rsidRPr="000D69BB">
        <w:t>2020).</w:t>
      </w:r>
      <w:r w:rsidR="00480ACC" w:rsidRPr="000D69BB">
        <w:t xml:space="preserve"> </w:t>
      </w:r>
      <w:r w:rsidR="00221641" w:rsidRPr="000D69BB">
        <w:t>We</w:t>
      </w:r>
      <w:r w:rsidR="00480ACC" w:rsidRPr="000D69BB">
        <w:t xml:space="preserve"> </w:t>
      </w:r>
      <w:r w:rsidR="00221641" w:rsidRPr="000D69BB">
        <w:t>do</w:t>
      </w:r>
      <w:r w:rsidR="00480ACC" w:rsidRPr="000D69BB">
        <w:t xml:space="preserve"> </w:t>
      </w:r>
      <w:r w:rsidR="00221641" w:rsidRPr="000D69BB">
        <w:t>not</w:t>
      </w:r>
      <w:r w:rsidR="00480ACC" w:rsidRPr="000D69BB">
        <w:t xml:space="preserve"> </w:t>
      </w:r>
      <w:r w:rsidR="00221641" w:rsidRPr="000D69BB">
        <w:t>include</w:t>
      </w:r>
      <w:r w:rsidR="00480ACC" w:rsidRPr="000D69BB">
        <w:t xml:space="preserve"> </w:t>
      </w:r>
      <w:r w:rsidR="00221641" w:rsidRPr="000D69BB">
        <w:t>combinations</w:t>
      </w:r>
      <w:r w:rsidR="00480ACC" w:rsidRPr="000D69BB">
        <w:t xml:space="preserve"> </w:t>
      </w:r>
      <w:r w:rsidR="00221641" w:rsidRPr="000D69BB">
        <w:t>of</w:t>
      </w:r>
      <w:r w:rsidR="00480ACC" w:rsidRPr="000D69BB">
        <w:t xml:space="preserve"> </w:t>
      </w:r>
      <w:r w:rsidR="00221641" w:rsidRPr="000D69BB">
        <w:t>anti-tau</w:t>
      </w:r>
      <w:r w:rsidR="00480ACC" w:rsidRPr="000D69BB">
        <w:t xml:space="preserve"> </w:t>
      </w:r>
      <w:r w:rsidR="00221641" w:rsidRPr="000D69BB">
        <w:t>and</w:t>
      </w:r>
      <w:r w:rsidR="00480ACC" w:rsidRPr="000D69BB">
        <w:t xml:space="preserve"> </w:t>
      </w:r>
      <w:r w:rsidR="00221641" w:rsidRPr="000D69BB">
        <w:t>anti-amyloid</w:t>
      </w:r>
      <w:r w:rsidR="00480ACC" w:rsidRPr="000D69BB">
        <w:t xml:space="preserve"> </w:t>
      </w:r>
      <w:r w:rsidR="00221641" w:rsidRPr="000D69BB">
        <w:t>drugs</w:t>
      </w:r>
      <w:r w:rsidR="00480ACC" w:rsidRPr="000D69BB">
        <w:t xml:space="preserve"> </w:t>
      </w:r>
      <w:r w:rsidR="00221641" w:rsidRPr="000D69BB">
        <w:t>in</w:t>
      </w:r>
      <w:r w:rsidR="00480ACC" w:rsidRPr="000D69BB">
        <w:t xml:space="preserve"> </w:t>
      </w:r>
      <w:r w:rsidR="00221641" w:rsidRPr="000D69BB">
        <w:t>this</w:t>
      </w:r>
      <w:r w:rsidR="00480ACC" w:rsidRPr="000D69BB">
        <w:t xml:space="preserve"> </w:t>
      </w:r>
      <w:r w:rsidR="00221641" w:rsidRPr="000D69BB">
        <w:t>review,</w:t>
      </w:r>
      <w:r w:rsidR="00480ACC" w:rsidRPr="000D69BB">
        <w:t xml:space="preserve"> </w:t>
      </w:r>
      <w:r w:rsidR="00221641" w:rsidRPr="000D69BB">
        <w:t>as</w:t>
      </w:r>
      <w:r w:rsidR="00480ACC" w:rsidRPr="000D69BB">
        <w:t xml:space="preserve"> </w:t>
      </w:r>
      <w:r w:rsidR="00221641" w:rsidRPr="000D69BB">
        <w:t>this</w:t>
      </w:r>
      <w:r w:rsidR="00480ACC" w:rsidRPr="000D69BB">
        <w:t xml:space="preserve"> </w:t>
      </w:r>
      <w:r w:rsidR="00221641" w:rsidRPr="000D69BB">
        <w:t>combination</w:t>
      </w:r>
      <w:r w:rsidR="00480ACC" w:rsidRPr="000D69BB">
        <w:t xml:space="preserve"> </w:t>
      </w:r>
      <w:r w:rsidR="00221641" w:rsidRPr="000D69BB">
        <w:t>is</w:t>
      </w:r>
      <w:r w:rsidR="00480ACC" w:rsidRPr="000D69BB">
        <w:t xml:space="preserve"> </w:t>
      </w:r>
      <w:r w:rsidR="00221641" w:rsidRPr="000D69BB">
        <w:t>new</w:t>
      </w:r>
      <w:r w:rsidR="00480ACC" w:rsidRPr="000D69BB">
        <w:t xml:space="preserve"> </w:t>
      </w:r>
      <w:r w:rsidR="00221641" w:rsidRPr="000D69BB">
        <w:t>and</w:t>
      </w:r>
      <w:r w:rsidR="00480ACC" w:rsidRPr="000D69BB">
        <w:t xml:space="preserve"> </w:t>
      </w:r>
      <w:r w:rsidR="00221641" w:rsidRPr="000D69BB">
        <w:t>arguably</w:t>
      </w:r>
      <w:r w:rsidR="00480ACC" w:rsidRPr="000D69BB">
        <w:t xml:space="preserve"> </w:t>
      </w:r>
      <w:r w:rsidR="00221641" w:rsidRPr="000D69BB">
        <w:t>both</w:t>
      </w:r>
      <w:r w:rsidR="00480ACC" w:rsidRPr="000D69BB">
        <w:t xml:space="preserve"> </w:t>
      </w:r>
      <w:r w:rsidR="00221641" w:rsidRPr="000D69BB">
        <w:t>drugs</w:t>
      </w:r>
      <w:r w:rsidR="00480ACC" w:rsidRPr="000D69BB">
        <w:t xml:space="preserve"> </w:t>
      </w:r>
      <w:r w:rsidR="00221641" w:rsidRPr="000D69BB">
        <w:t>target</w:t>
      </w:r>
      <w:r w:rsidR="00480ACC" w:rsidRPr="000D69BB">
        <w:t xml:space="preserve"> </w:t>
      </w:r>
      <w:r w:rsidR="00221641" w:rsidRPr="000D69BB">
        <w:t>the</w:t>
      </w:r>
      <w:r w:rsidR="00480ACC" w:rsidRPr="000D69BB">
        <w:t xml:space="preserve"> </w:t>
      </w:r>
      <w:r w:rsidR="00221641" w:rsidRPr="000D69BB">
        <w:t>same</w:t>
      </w:r>
      <w:r w:rsidR="00480ACC" w:rsidRPr="000D69BB">
        <w:t xml:space="preserve"> </w:t>
      </w:r>
      <w:r w:rsidR="00221641" w:rsidRPr="000D69BB">
        <w:t>domain;</w:t>
      </w:r>
      <w:r w:rsidR="00480ACC" w:rsidRPr="000D69BB">
        <w:t xml:space="preserve"> </w:t>
      </w:r>
      <w:r w:rsidR="00221641" w:rsidRPr="000D69BB">
        <w:t>we</w:t>
      </w:r>
      <w:r w:rsidR="00480ACC" w:rsidRPr="000D69BB">
        <w:t xml:space="preserve"> </w:t>
      </w:r>
      <w:r w:rsidR="00221641" w:rsidRPr="000D69BB">
        <w:t>expect</w:t>
      </w:r>
      <w:r w:rsidR="00480ACC" w:rsidRPr="000D69BB">
        <w:t xml:space="preserve"> </w:t>
      </w:r>
      <w:r w:rsidR="00221641" w:rsidRPr="000D69BB">
        <w:t>more</w:t>
      </w:r>
      <w:r w:rsidR="00480ACC" w:rsidRPr="000D69BB">
        <w:t xml:space="preserve"> </w:t>
      </w:r>
      <w:r w:rsidR="00221641" w:rsidRPr="000D69BB">
        <w:t>reviews</w:t>
      </w:r>
      <w:r w:rsidR="00480ACC" w:rsidRPr="000D69BB">
        <w:t xml:space="preserve"> </w:t>
      </w:r>
      <w:r w:rsidR="00221641" w:rsidRPr="000D69BB">
        <w:t>on</w:t>
      </w:r>
      <w:r w:rsidR="00480ACC" w:rsidRPr="000D69BB">
        <w:t xml:space="preserve"> </w:t>
      </w:r>
      <w:r w:rsidR="00221641" w:rsidRPr="000D69BB">
        <w:t>such</w:t>
      </w:r>
      <w:r w:rsidR="00480ACC" w:rsidRPr="000D69BB">
        <w:t xml:space="preserve"> </w:t>
      </w:r>
      <w:r w:rsidR="00221641" w:rsidRPr="000D69BB">
        <w:t>combinations</w:t>
      </w:r>
      <w:r w:rsidR="00480ACC" w:rsidRPr="000D69BB">
        <w:t xml:space="preserve"> </w:t>
      </w:r>
      <w:r w:rsidR="00221641" w:rsidRPr="000D69BB">
        <w:t>to</w:t>
      </w:r>
      <w:r w:rsidR="00480ACC" w:rsidRPr="000D69BB">
        <w:t xml:space="preserve"> </w:t>
      </w:r>
      <w:r w:rsidR="00221641" w:rsidRPr="000D69BB">
        <w:t>be</w:t>
      </w:r>
      <w:r w:rsidR="00480ACC" w:rsidRPr="000D69BB">
        <w:t xml:space="preserve"> </w:t>
      </w:r>
      <w:r w:rsidR="00221641" w:rsidRPr="000D69BB">
        <w:t>published</w:t>
      </w:r>
      <w:r w:rsidR="00480ACC" w:rsidRPr="000D69BB">
        <w:t xml:space="preserve"> </w:t>
      </w:r>
      <w:r w:rsidR="00221641" w:rsidRPr="000D69BB">
        <w:t>in</w:t>
      </w:r>
      <w:r w:rsidR="00480ACC" w:rsidRPr="000D69BB">
        <w:t xml:space="preserve"> </w:t>
      </w:r>
      <w:r w:rsidR="00221641" w:rsidRPr="000D69BB">
        <w:t>the</w:t>
      </w:r>
      <w:r w:rsidR="00480ACC" w:rsidRPr="000D69BB">
        <w:t xml:space="preserve"> </w:t>
      </w:r>
      <w:r w:rsidR="00221641" w:rsidRPr="000D69BB">
        <w:t>future</w:t>
      </w:r>
      <w:r w:rsidR="00480ACC" w:rsidRPr="000D69BB">
        <w:t xml:space="preserve"> </w:t>
      </w:r>
      <w:r w:rsidR="00221641" w:rsidRPr="000D69BB">
        <w:t>(Cummings</w:t>
      </w:r>
      <w:r w:rsidR="00480ACC" w:rsidRPr="000D69BB">
        <w:t xml:space="preserve"> </w:t>
      </w:r>
      <w:r w:rsidR="00221641" w:rsidRPr="000D69BB">
        <w:t>et</w:t>
      </w:r>
      <w:r w:rsidR="00480ACC" w:rsidRPr="000D69BB">
        <w:t xml:space="preserve"> </w:t>
      </w:r>
      <w:r w:rsidR="00221641" w:rsidRPr="000D69BB">
        <w:t>al.,</w:t>
      </w:r>
      <w:r w:rsidR="00480ACC" w:rsidRPr="000D69BB">
        <w:t xml:space="preserve"> </w:t>
      </w:r>
      <w:r w:rsidR="00221641" w:rsidRPr="000D69BB">
        <w:t>2024).</w:t>
      </w:r>
      <w:r w:rsidR="00480ACC" w:rsidRPr="000D69BB">
        <w:t xml:space="preserve"> </w:t>
      </w:r>
      <w:r w:rsidR="00221641" w:rsidRPr="000D69BB">
        <w:t>We</w:t>
      </w:r>
      <w:r w:rsidR="00480ACC" w:rsidRPr="000D69BB">
        <w:t xml:space="preserve"> </w:t>
      </w:r>
      <w:r w:rsidR="00221641" w:rsidRPr="000D69BB">
        <w:t>also</w:t>
      </w:r>
      <w:r w:rsidR="00480ACC" w:rsidRPr="000D69BB">
        <w:t xml:space="preserve"> </w:t>
      </w:r>
      <w:r w:rsidR="00221641" w:rsidRPr="000D69BB">
        <w:t>note</w:t>
      </w:r>
      <w:r w:rsidR="00480ACC" w:rsidRPr="000D69BB">
        <w:t xml:space="preserve"> </w:t>
      </w:r>
      <w:r w:rsidR="00221641" w:rsidRPr="000D69BB">
        <w:t>that</w:t>
      </w:r>
      <w:r w:rsidR="00480ACC" w:rsidRPr="000D69BB">
        <w:t xml:space="preserve"> </w:t>
      </w:r>
      <w:r w:rsidR="00221641" w:rsidRPr="000D69BB">
        <w:t>from</w:t>
      </w:r>
      <w:r w:rsidR="00480ACC" w:rsidRPr="000D69BB">
        <w:t xml:space="preserve"> </w:t>
      </w:r>
      <w:r w:rsidR="00221641" w:rsidRPr="000D69BB">
        <w:t>a</w:t>
      </w:r>
      <w:r w:rsidR="00480ACC" w:rsidRPr="000D69BB">
        <w:t xml:space="preserve"> </w:t>
      </w:r>
      <w:r w:rsidR="00221641" w:rsidRPr="000D69BB">
        <w:t>purely</w:t>
      </w:r>
      <w:r w:rsidR="00480ACC" w:rsidRPr="000D69BB">
        <w:t xml:space="preserve"> </w:t>
      </w:r>
      <w:r w:rsidR="00221641" w:rsidRPr="000D69BB">
        <w:t>pedantic</w:t>
      </w:r>
      <w:r w:rsidR="00480ACC" w:rsidRPr="000D69BB">
        <w:t xml:space="preserve"> </w:t>
      </w:r>
      <w:r w:rsidR="00221641" w:rsidRPr="000D69BB">
        <w:t>point</w:t>
      </w:r>
      <w:r w:rsidR="00480ACC" w:rsidRPr="000D69BB">
        <w:t xml:space="preserve"> </w:t>
      </w:r>
      <w:r w:rsidR="00221641" w:rsidRPr="000D69BB">
        <w:t>of</w:t>
      </w:r>
      <w:r w:rsidR="00480ACC" w:rsidRPr="000D69BB">
        <w:t xml:space="preserve"> </w:t>
      </w:r>
      <w:r w:rsidR="00221641" w:rsidRPr="000D69BB">
        <w:t>view,</w:t>
      </w:r>
      <w:r w:rsidR="00480ACC" w:rsidRPr="000D69BB">
        <w:t xml:space="preserve"> </w:t>
      </w:r>
      <w:r w:rsidR="00221641" w:rsidRPr="000D69BB">
        <w:t>any</w:t>
      </w:r>
      <w:r w:rsidR="00480ACC" w:rsidRPr="000D69BB">
        <w:t xml:space="preserve"> </w:t>
      </w:r>
      <w:r w:rsidR="00221641" w:rsidRPr="000D69BB">
        <w:t>single</w:t>
      </w:r>
      <w:r w:rsidR="00480ACC" w:rsidRPr="000D69BB">
        <w:t xml:space="preserve"> </w:t>
      </w:r>
      <w:r w:rsidR="00221641" w:rsidRPr="000D69BB">
        <w:t>intervention</w:t>
      </w:r>
      <w:r w:rsidR="00480ACC" w:rsidRPr="000D69BB">
        <w:t xml:space="preserve"> </w:t>
      </w:r>
      <w:r w:rsidR="00221641" w:rsidRPr="000D69BB">
        <w:t>will</w:t>
      </w:r>
      <w:r w:rsidR="00480ACC" w:rsidRPr="000D69BB">
        <w:t xml:space="preserve"> </w:t>
      </w:r>
      <w:r w:rsidR="00221641" w:rsidRPr="000D69BB">
        <w:t>always</w:t>
      </w:r>
      <w:r w:rsidR="00480ACC" w:rsidRPr="000D69BB">
        <w:t xml:space="preserve"> </w:t>
      </w:r>
      <w:r w:rsidR="00221641" w:rsidRPr="000D69BB">
        <w:t>target</w:t>
      </w:r>
      <w:r w:rsidR="00480ACC" w:rsidRPr="000D69BB">
        <w:t xml:space="preserve"> </w:t>
      </w:r>
      <w:r w:rsidR="00221641" w:rsidRPr="000D69BB">
        <w:t>multiple</w:t>
      </w:r>
      <w:r w:rsidR="00480ACC" w:rsidRPr="000D69BB">
        <w:t xml:space="preserve"> </w:t>
      </w:r>
      <w:r w:rsidR="00221641" w:rsidRPr="000D69BB">
        <w:t>domains;</w:t>
      </w:r>
      <w:r w:rsidR="00480ACC" w:rsidRPr="000D69BB">
        <w:t xml:space="preserve"> </w:t>
      </w:r>
      <w:r w:rsidR="00221641" w:rsidRPr="000D69BB">
        <w:t>it</w:t>
      </w:r>
      <w:r w:rsidR="00480ACC" w:rsidRPr="000D69BB">
        <w:t xml:space="preserve"> </w:t>
      </w:r>
      <w:r w:rsidR="00AB3AA6" w:rsidRPr="000D69BB">
        <w:t>is</w:t>
      </w:r>
      <w:r w:rsidR="00480ACC" w:rsidRPr="000D69BB">
        <w:t xml:space="preserve"> </w:t>
      </w:r>
      <w:r w:rsidR="00221641" w:rsidRPr="000D69BB">
        <w:t>impossible</w:t>
      </w:r>
      <w:r w:rsidR="00480ACC" w:rsidRPr="000D69BB">
        <w:t xml:space="preserve"> </w:t>
      </w:r>
      <w:r w:rsidR="00221641" w:rsidRPr="000D69BB">
        <w:t>for</w:t>
      </w:r>
      <w:r w:rsidR="00480ACC" w:rsidRPr="000D69BB">
        <w:t xml:space="preserve"> </w:t>
      </w:r>
      <w:r w:rsidR="00221641" w:rsidRPr="000D69BB">
        <w:t>a</w:t>
      </w:r>
      <w:r w:rsidR="00AB3AA6" w:rsidRPr="000D69BB">
        <w:t>n</w:t>
      </w:r>
      <w:r w:rsidR="00221641" w:rsidRPr="000D69BB">
        <w:t>y</w:t>
      </w:r>
      <w:r w:rsidR="00480ACC" w:rsidRPr="000D69BB">
        <w:t xml:space="preserve"> </w:t>
      </w:r>
      <w:r w:rsidR="00221641" w:rsidRPr="000D69BB">
        <w:t>intervention</w:t>
      </w:r>
      <w:r w:rsidR="00480ACC" w:rsidRPr="000D69BB">
        <w:t xml:space="preserve"> </w:t>
      </w:r>
      <w:r w:rsidR="00221641" w:rsidRPr="000D69BB">
        <w:t>not</w:t>
      </w:r>
      <w:r w:rsidR="00480ACC" w:rsidRPr="000D69BB">
        <w:t xml:space="preserve"> </w:t>
      </w:r>
      <w:r w:rsidR="00221641" w:rsidRPr="000D69BB">
        <w:t>to</w:t>
      </w:r>
      <w:r w:rsidR="00480ACC" w:rsidRPr="000D69BB">
        <w:t xml:space="preserve"> </w:t>
      </w:r>
      <w:r w:rsidR="00221641" w:rsidRPr="000D69BB">
        <w:t>affect</w:t>
      </w:r>
      <w:r w:rsidR="00480ACC" w:rsidRPr="000D69BB">
        <w:t xml:space="preserve"> </w:t>
      </w:r>
      <w:r w:rsidR="00221641" w:rsidRPr="000D69BB">
        <w:t>a</w:t>
      </w:r>
      <w:r w:rsidR="00480ACC" w:rsidRPr="000D69BB">
        <w:t xml:space="preserve"> </w:t>
      </w:r>
      <w:r w:rsidR="00221641" w:rsidRPr="000D69BB">
        <w:t>myriad</w:t>
      </w:r>
      <w:r w:rsidR="00480ACC" w:rsidRPr="000D69BB">
        <w:t xml:space="preserve"> </w:t>
      </w:r>
      <w:r w:rsidR="00221641" w:rsidRPr="000D69BB">
        <w:t>of</w:t>
      </w:r>
      <w:r w:rsidR="00480ACC" w:rsidRPr="000D69BB">
        <w:t xml:space="preserve"> </w:t>
      </w:r>
      <w:r w:rsidR="00221641" w:rsidRPr="000D69BB">
        <w:t>biopsychosocial</w:t>
      </w:r>
      <w:r w:rsidR="00480ACC" w:rsidRPr="000D69BB">
        <w:t xml:space="preserve"> </w:t>
      </w:r>
      <w:r w:rsidR="00221641" w:rsidRPr="000D69BB">
        <w:t>subsystems,</w:t>
      </w:r>
      <w:r w:rsidR="00480ACC" w:rsidRPr="000D69BB">
        <w:t xml:space="preserve"> </w:t>
      </w:r>
      <w:r w:rsidR="00221641" w:rsidRPr="000D69BB">
        <w:t>at</w:t>
      </w:r>
      <w:r w:rsidR="00480ACC" w:rsidRPr="000D69BB">
        <w:t xml:space="preserve"> </w:t>
      </w:r>
      <w:r w:rsidR="00221641" w:rsidRPr="000D69BB">
        <w:t>least</w:t>
      </w:r>
      <w:r w:rsidR="00480ACC" w:rsidRPr="000D69BB">
        <w:t xml:space="preserve"> </w:t>
      </w:r>
      <w:r w:rsidR="00221641" w:rsidRPr="000D69BB">
        <w:t>in</w:t>
      </w:r>
      <w:r w:rsidR="00480ACC" w:rsidRPr="000D69BB">
        <w:t xml:space="preserve"> </w:t>
      </w:r>
      <w:r w:rsidR="00221641" w:rsidRPr="000D69BB">
        <w:t>imperceptibly</w:t>
      </w:r>
      <w:r w:rsidR="00480ACC" w:rsidRPr="000D69BB">
        <w:t xml:space="preserve"> </w:t>
      </w:r>
      <w:r w:rsidR="00221641" w:rsidRPr="000D69BB">
        <w:t>small</w:t>
      </w:r>
      <w:r w:rsidR="00480ACC" w:rsidRPr="000D69BB">
        <w:t xml:space="preserve"> </w:t>
      </w:r>
      <w:r w:rsidR="00221641" w:rsidRPr="000D69BB">
        <w:t>ways;</w:t>
      </w:r>
      <w:r w:rsidR="00480ACC" w:rsidRPr="000D69BB">
        <w:t xml:space="preserve"> </w:t>
      </w:r>
      <w:r w:rsidR="00221641" w:rsidRPr="000D69BB">
        <w:t>we</w:t>
      </w:r>
      <w:r w:rsidR="00480ACC" w:rsidRPr="000D69BB">
        <w:t xml:space="preserve"> </w:t>
      </w:r>
      <w:r w:rsidR="00221641" w:rsidRPr="000D69BB">
        <w:t>restrict</w:t>
      </w:r>
      <w:r w:rsidR="00480ACC" w:rsidRPr="000D69BB">
        <w:t xml:space="preserve"> </w:t>
      </w:r>
      <w:r w:rsidR="00221641" w:rsidRPr="000D69BB">
        <w:t>our</w:t>
      </w:r>
      <w:r w:rsidR="00480ACC" w:rsidRPr="000D69BB">
        <w:t xml:space="preserve"> </w:t>
      </w:r>
      <w:r w:rsidR="00221641" w:rsidRPr="000D69BB">
        <w:t>discussion</w:t>
      </w:r>
      <w:r w:rsidR="00480ACC" w:rsidRPr="000D69BB">
        <w:t xml:space="preserve"> </w:t>
      </w:r>
      <w:r w:rsidR="00221641" w:rsidRPr="000D69BB">
        <w:t>to</w:t>
      </w:r>
      <w:r w:rsidR="00480ACC" w:rsidRPr="000D69BB">
        <w:t xml:space="preserve"> </w:t>
      </w:r>
      <w:r w:rsidR="00221641" w:rsidRPr="000D69BB">
        <w:t>those</w:t>
      </w:r>
      <w:r w:rsidR="00480ACC" w:rsidRPr="000D69BB">
        <w:t xml:space="preserve"> </w:t>
      </w:r>
      <w:r w:rsidR="00221641" w:rsidRPr="000D69BB">
        <w:t>effects</w:t>
      </w:r>
      <w:r w:rsidR="00480ACC" w:rsidRPr="000D69BB">
        <w:t xml:space="preserve"> </w:t>
      </w:r>
      <w:r w:rsidR="00221641" w:rsidRPr="000D69BB">
        <w:t>that</w:t>
      </w:r>
      <w:r w:rsidR="00480ACC" w:rsidRPr="000D69BB">
        <w:t xml:space="preserve"> </w:t>
      </w:r>
      <w:r w:rsidR="00221641" w:rsidRPr="000D69BB">
        <w:t>are</w:t>
      </w:r>
      <w:r w:rsidR="00480ACC" w:rsidRPr="000D69BB">
        <w:t xml:space="preserve"> </w:t>
      </w:r>
      <w:r w:rsidR="00221641" w:rsidRPr="000D69BB">
        <w:t>important,</w:t>
      </w:r>
      <w:r w:rsidR="00480ACC" w:rsidRPr="000D69BB">
        <w:t xml:space="preserve"> </w:t>
      </w:r>
      <w:r w:rsidR="00221641" w:rsidRPr="000D69BB">
        <w:t>recognizing</w:t>
      </w:r>
      <w:r w:rsidR="00480ACC" w:rsidRPr="000D69BB">
        <w:t xml:space="preserve"> </w:t>
      </w:r>
      <w:r w:rsidR="00221641" w:rsidRPr="000D69BB">
        <w:t>that</w:t>
      </w:r>
      <w:r w:rsidR="00480ACC" w:rsidRPr="000D69BB">
        <w:t xml:space="preserve"> </w:t>
      </w:r>
      <w:r w:rsidR="00221641" w:rsidRPr="000D69BB">
        <w:t>our</w:t>
      </w:r>
      <w:r w:rsidR="00480ACC" w:rsidRPr="000D69BB">
        <w:t xml:space="preserve"> </w:t>
      </w:r>
      <w:r w:rsidR="00221641" w:rsidRPr="000D69BB">
        <w:t>current</w:t>
      </w:r>
      <w:r w:rsidR="00480ACC" w:rsidRPr="000D69BB">
        <w:t xml:space="preserve"> </w:t>
      </w:r>
      <w:r w:rsidR="00221641" w:rsidRPr="000D69BB">
        <w:t>assessment</w:t>
      </w:r>
      <w:r w:rsidR="00480ACC" w:rsidRPr="000D69BB">
        <w:t xml:space="preserve"> </w:t>
      </w:r>
      <w:r w:rsidR="00221641" w:rsidRPr="000D69BB">
        <w:t>of</w:t>
      </w:r>
      <w:r w:rsidR="00480ACC" w:rsidRPr="000D69BB">
        <w:t xml:space="preserve"> </w:t>
      </w:r>
      <w:r w:rsidR="00221641" w:rsidRPr="000D69BB">
        <w:t>importance</w:t>
      </w:r>
      <w:r w:rsidR="00480ACC" w:rsidRPr="000D69BB">
        <w:t xml:space="preserve"> </w:t>
      </w:r>
      <w:r w:rsidR="00221641" w:rsidRPr="000D69BB">
        <w:t>is</w:t>
      </w:r>
      <w:r w:rsidR="00480ACC" w:rsidRPr="000D69BB">
        <w:t xml:space="preserve"> </w:t>
      </w:r>
      <w:r w:rsidR="00221641" w:rsidRPr="000D69BB">
        <w:t>nascent</w:t>
      </w:r>
      <w:r w:rsidR="00EA780E" w:rsidRPr="000D69BB">
        <w:t>.</w:t>
      </w:r>
      <w:r w:rsidR="00480ACC" w:rsidRPr="000D69BB">
        <w:t xml:space="preserve"> </w:t>
      </w:r>
      <w:r w:rsidR="00070FB8" w:rsidRPr="000D69BB">
        <w:t>We</w:t>
      </w:r>
      <w:r w:rsidR="00480ACC" w:rsidRPr="000D69BB">
        <w:t xml:space="preserve"> </w:t>
      </w:r>
      <w:r w:rsidR="00070FB8" w:rsidRPr="000D69BB">
        <w:t>did</w:t>
      </w:r>
      <w:r w:rsidR="00480ACC" w:rsidRPr="000D69BB">
        <w:t xml:space="preserve"> </w:t>
      </w:r>
      <w:r w:rsidR="00070FB8" w:rsidRPr="000D69BB">
        <w:t>not</w:t>
      </w:r>
      <w:r w:rsidR="00480ACC" w:rsidRPr="000D69BB">
        <w:t xml:space="preserve"> </w:t>
      </w:r>
      <w:r w:rsidR="00070FB8" w:rsidRPr="000D69BB">
        <w:t>include</w:t>
      </w:r>
      <w:r w:rsidR="00480ACC" w:rsidRPr="000D69BB">
        <w:t xml:space="preserve"> </w:t>
      </w:r>
      <w:r w:rsidR="00070FB8" w:rsidRPr="000D69BB">
        <w:t>observational</w:t>
      </w:r>
      <w:r w:rsidR="00480ACC" w:rsidRPr="000D69BB">
        <w:t xml:space="preserve"> </w:t>
      </w:r>
      <w:r w:rsidR="00070FB8" w:rsidRPr="000D69BB">
        <w:t>studies</w:t>
      </w:r>
      <w:r w:rsidR="00480ACC" w:rsidRPr="000D69BB">
        <w:t xml:space="preserve"> </w:t>
      </w:r>
      <w:r w:rsidR="00070FB8" w:rsidRPr="000D69BB">
        <w:t>without</w:t>
      </w:r>
      <w:r w:rsidR="00480ACC" w:rsidRPr="000D69BB">
        <w:t xml:space="preserve"> </w:t>
      </w:r>
      <w:r w:rsidR="00070FB8" w:rsidRPr="000D69BB">
        <w:t>interventions</w:t>
      </w:r>
      <w:r w:rsidR="00480ACC" w:rsidRPr="000D69BB">
        <w:t xml:space="preserve"> </w:t>
      </w:r>
      <w:r w:rsidR="00086D4E" w:rsidRPr="000D69BB">
        <w:t>(i.e.,</w:t>
      </w:r>
      <w:r w:rsidR="00480ACC" w:rsidRPr="000D69BB">
        <w:t xml:space="preserve"> </w:t>
      </w:r>
      <w:r w:rsidR="00086D4E" w:rsidRPr="000D69BB">
        <w:t>“registries”)</w:t>
      </w:r>
      <w:r w:rsidR="00070FB8" w:rsidRPr="000D69BB">
        <w:t>,</w:t>
      </w:r>
      <w:r w:rsidR="00480ACC" w:rsidRPr="000D69BB">
        <w:t xml:space="preserve"> </w:t>
      </w:r>
      <w:r w:rsidR="00070FB8" w:rsidRPr="000D69BB">
        <w:t>although</w:t>
      </w:r>
      <w:r w:rsidR="00480ACC" w:rsidRPr="000D69BB">
        <w:t xml:space="preserve"> </w:t>
      </w:r>
      <w:r w:rsidR="00070FB8" w:rsidRPr="000D69BB">
        <w:t>we</w:t>
      </w:r>
      <w:r w:rsidR="00480ACC" w:rsidRPr="000D69BB">
        <w:t xml:space="preserve"> </w:t>
      </w:r>
      <w:r w:rsidR="00070FB8" w:rsidRPr="000D69BB">
        <w:t>did</w:t>
      </w:r>
      <w:r w:rsidR="00480ACC" w:rsidRPr="000D69BB">
        <w:t xml:space="preserve"> </w:t>
      </w:r>
      <w:r w:rsidR="00070FB8" w:rsidRPr="000D69BB">
        <w:t>include</w:t>
      </w:r>
      <w:r w:rsidR="00480ACC" w:rsidRPr="000D69BB">
        <w:t xml:space="preserve"> </w:t>
      </w:r>
      <w:r w:rsidR="00070FB8" w:rsidRPr="000D69BB">
        <w:t>observational</w:t>
      </w:r>
      <w:r w:rsidR="00480ACC" w:rsidRPr="000D69BB">
        <w:t xml:space="preserve"> </w:t>
      </w:r>
      <w:r w:rsidR="00070FB8" w:rsidRPr="000D69BB">
        <w:t>studies</w:t>
      </w:r>
      <w:r w:rsidR="00480ACC" w:rsidRPr="000D69BB">
        <w:t xml:space="preserve"> </w:t>
      </w:r>
      <w:r w:rsidR="00070FB8" w:rsidRPr="000D69BB">
        <w:t>of</w:t>
      </w:r>
      <w:r w:rsidR="00480ACC" w:rsidRPr="000D69BB">
        <w:t xml:space="preserve"> </w:t>
      </w:r>
      <w:r w:rsidR="00070FB8" w:rsidRPr="000D69BB">
        <w:t>interventions</w:t>
      </w:r>
      <w:r w:rsidR="00480ACC" w:rsidRPr="000D69BB">
        <w:t xml:space="preserve"> </w:t>
      </w:r>
      <w:r w:rsidR="00070FB8" w:rsidRPr="000D69BB">
        <w:t>without</w:t>
      </w:r>
      <w:r w:rsidR="00480ACC" w:rsidRPr="000D69BB">
        <w:t xml:space="preserve"> </w:t>
      </w:r>
      <w:r w:rsidR="00070FB8" w:rsidRPr="000D69BB">
        <w:t>control</w:t>
      </w:r>
      <w:r w:rsidR="00480ACC" w:rsidRPr="000D69BB">
        <w:t xml:space="preserve"> </w:t>
      </w:r>
      <w:r w:rsidR="00070FB8" w:rsidRPr="000D69BB">
        <w:t>arms</w:t>
      </w:r>
      <w:r w:rsidR="00480ACC" w:rsidRPr="000D69BB">
        <w:t xml:space="preserve"> </w:t>
      </w:r>
      <w:r w:rsidR="00070FB8" w:rsidRPr="000D69BB">
        <w:t>(but</w:t>
      </w:r>
      <w:r w:rsidR="00480ACC" w:rsidRPr="000D69BB">
        <w:t xml:space="preserve"> </w:t>
      </w:r>
      <w:r w:rsidR="00070FB8" w:rsidRPr="000D69BB">
        <w:t>not</w:t>
      </w:r>
      <w:r w:rsidR="00480ACC" w:rsidRPr="000D69BB">
        <w:t xml:space="preserve"> </w:t>
      </w:r>
      <w:r w:rsidR="00070FB8" w:rsidRPr="000D69BB">
        <w:t>in</w:t>
      </w:r>
      <w:r w:rsidR="00480ACC" w:rsidRPr="000D69BB">
        <w:t xml:space="preserve"> </w:t>
      </w:r>
      <w:r w:rsidR="00070FB8" w:rsidRPr="000D69BB">
        <w:rPr>
          <w:b/>
          <w:bCs/>
        </w:rPr>
        <w:t>Table</w:t>
      </w:r>
      <w:r w:rsidR="00480ACC" w:rsidRPr="000D69BB">
        <w:rPr>
          <w:b/>
          <w:bCs/>
        </w:rPr>
        <w:t xml:space="preserve"> </w:t>
      </w:r>
      <w:r w:rsidR="00070FB8" w:rsidRPr="000D69BB">
        <w:rPr>
          <w:b/>
          <w:bCs/>
        </w:rPr>
        <w:t>2</w:t>
      </w:r>
      <w:r w:rsidR="00070FB8" w:rsidRPr="000D69BB">
        <w:t>).</w:t>
      </w:r>
      <w:r w:rsidR="007B5E9B">
        <w:t xml:space="preserve"> We briefly describe a subset of trials </w:t>
      </w:r>
      <w:r w:rsidR="00F515AC">
        <w:t xml:space="preserve">we did not include </w:t>
      </w:r>
      <w:r w:rsidR="007B5E9B">
        <w:t>below.</w:t>
      </w:r>
    </w:p>
    <w:p w14:paraId="44922004" w14:textId="6526E88D" w:rsidR="00F371C8" w:rsidRDefault="00F371C8" w:rsidP="00DF551E">
      <w:pPr>
        <w:pStyle w:val="NormalWeb"/>
        <w:spacing w:before="0" w:beforeAutospacing="0" w:after="0" w:afterAutospacing="0" w:line="480" w:lineRule="auto"/>
        <w:ind w:firstLine="360"/>
        <w:jc w:val="both"/>
      </w:pPr>
      <w:r>
        <w:t>O</w:t>
      </w:r>
      <w:r w:rsidRPr="00D71805">
        <w:t>ur primary focus</w:t>
      </w:r>
      <w:r>
        <w:t xml:space="preserve">, </w:t>
      </w:r>
      <w:r w:rsidRPr="00D71805">
        <w:t>for purposes of this review</w:t>
      </w:r>
      <w:r>
        <w:t>,</w:t>
      </w:r>
      <w:r w:rsidRPr="00D71805">
        <w:t xml:space="preserve"> was multidomain interv</w:t>
      </w:r>
      <w:r>
        <w:t>entions. Therefore, f</w:t>
      </w:r>
      <w:r w:rsidR="00D71805" w:rsidRPr="00D71805">
        <w:t>or studies with more than two arms (e.g., MAPT, Aliabad-e Katul, Deutschschweiz</w:t>
      </w:r>
      <w:r w:rsidR="0023273A">
        <w:t>, SFIT</w:t>
      </w:r>
      <w:r w:rsidR="00D71805" w:rsidRPr="00D71805">
        <w:t xml:space="preserve">), </w:t>
      </w:r>
      <w:r w:rsidR="00D71805">
        <w:t>we ignored unimodal arms</w:t>
      </w:r>
      <w:r>
        <w:t>, consistent with our exclusion of unimodal trials in general</w:t>
      </w:r>
      <w:r w:rsidR="00D71805">
        <w:t xml:space="preserve">. We do not summarize here overall ANOVA significance for multiple-arm statistics reported by those authors. </w:t>
      </w:r>
      <w:r w:rsidR="00D71805">
        <w:lastRenderedPageBreak/>
        <w:t>We report only the pairwise statistics between the multidomain arm</w:t>
      </w:r>
      <w:r w:rsidR="00F515AC">
        <w:t>(s)</w:t>
      </w:r>
      <w:r w:rsidR="00D71805">
        <w:t xml:space="preserve"> and the control arm for these studies. This choice </w:t>
      </w:r>
      <w:r w:rsidR="00A21EBE">
        <w:t>may be important, as it</w:t>
      </w:r>
      <w:r w:rsidR="00D71805">
        <w:t xml:space="preserve"> results in our reporting in our </w:t>
      </w:r>
      <w:r w:rsidR="00D71805" w:rsidRPr="00D71805">
        <w:rPr>
          <w:b/>
          <w:bCs/>
        </w:rPr>
        <w:t xml:space="preserve">Table 2 </w:t>
      </w:r>
      <w:r w:rsidR="00D71805">
        <w:t xml:space="preserve">of the MAPT (multidomain portion) </w:t>
      </w:r>
      <w:r w:rsidR="00F515AC">
        <w:t xml:space="preserve">arm 1 </w:t>
      </w:r>
      <w:r w:rsidR="00D71805">
        <w:t>trial result as significant</w:t>
      </w:r>
      <w:r>
        <w:t xml:space="preserve">: </w:t>
      </w:r>
      <w:r w:rsidR="00D71805">
        <w:t>p=</w:t>
      </w:r>
      <w:r w:rsidR="00D71805" w:rsidRPr="00373578">
        <w:rPr>
          <w:sz w:val="22"/>
          <w:szCs w:val="22"/>
        </w:rPr>
        <w:t>0.047</w:t>
      </w:r>
      <w:r w:rsidR="00D71805">
        <w:rPr>
          <w:sz w:val="22"/>
          <w:szCs w:val="22"/>
        </w:rPr>
        <w:t xml:space="preserve"> as reported in</w:t>
      </w:r>
      <w:r>
        <w:rPr>
          <w:sz w:val="22"/>
          <w:szCs w:val="22"/>
        </w:rPr>
        <w:t xml:space="preserve"> Table 2 of </w:t>
      </w:r>
      <w:r w:rsidRPr="00BD5DF4">
        <w:t xml:space="preserve">Andrieu et al. </w:t>
      </w:r>
      <w:r>
        <w:t>(2017</w:t>
      </w:r>
      <w:r w:rsidR="00D71805">
        <w:t>)</w:t>
      </w:r>
      <w:r>
        <w:t>,</w:t>
      </w:r>
      <w:r w:rsidR="00D71805">
        <w:t xml:space="preserve"> despite the statement in the Abstract of </w:t>
      </w:r>
      <w:r w:rsidRPr="00BD5DF4">
        <w:t>Andrieu et al.</w:t>
      </w:r>
      <w:r w:rsidR="00D71805">
        <w:t>: “</w:t>
      </w:r>
      <w:r w:rsidR="00D71805" w:rsidRPr="00D71805">
        <w:t>The multidomain intervention and polyunsaturated fatty acids, either alone or in combination, had no significant effects on cognitive decline over 3 years in elderly people with memory complaints.</w:t>
      </w:r>
      <w:r w:rsidR="00D71805">
        <w:t>”</w:t>
      </w:r>
    </w:p>
    <w:p w14:paraId="05E30BE6" w14:textId="6187E3DE" w:rsidR="00680A45" w:rsidRDefault="00680A45" w:rsidP="00DF551E">
      <w:pPr>
        <w:pStyle w:val="NormalWeb"/>
        <w:spacing w:before="0" w:beforeAutospacing="0" w:after="0" w:afterAutospacing="0" w:line="480" w:lineRule="auto"/>
        <w:ind w:firstLine="360"/>
        <w:jc w:val="both"/>
      </w:pPr>
      <w:r>
        <w:t>The Boolean search term for the concept of “Alzheimer’s disease” was necessarily broad. Many people prefer not to be labeled with the term “Alzheimer’s”. This can be particularly true in presymptomatic, early, or prodromal disease. Furthermore, some practitioners at the time of their study design may have considered a connotation of the term “Alzheimer’s disease” to be solely restricted to advanced stages of the disease with loss of function, and not to early stages, which they may term SCI or MCI (for example). To maximize recruitment to an early-stage AD trial, it may be best not to use the term “Alzheimer’s” as part of the trial name or description. This, among other reasons, motives our broad inclusion of terms (e.g., ‘prefrail’) in an initial Boolean search, with subsequent screening of the participant inclusion/exclusion criteria for each trial to determine if that trial meets the scoping review manuscript inclusion/exclusion criteria.</w:t>
      </w:r>
    </w:p>
    <w:p w14:paraId="74FCB98F" w14:textId="77777777" w:rsidR="00680A45" w:rsidRDefault="00680A45">
      <w:pPr>
        <w:rPr>
          <w:rFonts w:ascii="Times New Roman" w:eastAsia="Times New Roman" w:hAnsi="Times New Roman" w:cs="Times New Roman"/>
          <w:kern w:val="0"/>
          <w14:ligatures w14:val="none"/>
        </w:rPr>
      </w:pPr>
      <w:r>
        <w:br w:type="page"/>
      </w:r>
    </w:p>
    <w:p w14:paraId="0798A837" w14:textId="61E46C80" w:rsidR="00F371C8" w:rsidRPr="00F371C8" w:rsidRDefault="00F371C8" w:rsidP="00F371C8">
      <w:pPr>
        <w:pStyle w:val="NormalWeb"/>
        <w:spacing w:before="0" w:beforeAutospacing="0" w:line="360" w:lineRule="auto"/>
        <w:jc w:val="center"/>
        <w:rPr>
          <w:b/>
          <w:bCs/>
        </w:rPr>
      </w:pPr>
      <w:r w:rsidRPr="00F371C8">
        <w:rPr>
          <w:b/>
          <w:bCs/>
        </w:rPr>
        <w:lastRenderedPageBreak/>
        <w:t>EXLCUDED STUDIES</w:t>
      </w:r>
    </w:p>
    <w:p w14:paraId="355D0754" w14:textId="31D2A6E3" w:rsidR="00680A45" w:rsidRPr="00680A45" w:rsidRDefault="00680A45" w:rsidP="00E84D1A">
      <w:pPr>
        <w:spacing w:line="480" w:lineRule="auto"/>
        <w:jc w:val="both"/>
        <w:rPr>
          <w:rFonts w:ascii="Times New Roman" w:hAnsi="Times New Roman" w:cs="Times New Roman"/>
        </w:rPr>
      </w:pPr>
      <w:r w:rsidRPr="00680A45">
        <w:rPr>
          <w:rFonts w:ascii="Times New Roman" w:hAnsi="Times New Roman" w:cs="Times New Roman"/>
        </w:rPr>
        <w:t>We summarize a select set of excluded studies, focusing on those that came close to meeting inclusion criteria.</w:t>
      </w:r>
    </w:p>
    <w:p w14:paraId="4E7766FF" w14:textId="2A37AFB9" w:rsidR="00E84D1A" w:rsidRPr="000D69BB" w:rsidRDefault="00E84D1A" w:rsidP="00E84D1A">
      <w:pPr>
        <w:spacing w:line="480" w:lineRule="auto"/>
        <w:jc w:val="both"/>
        <w:rPr>
          <w:rFonts w:ascii="Times New Roman" w:hAnsi="Times New Roman" w:cs="Times New Roman"/>
          <w:b/>
          <w:bCs/>
        </w:rPr>
      </w:pPr>
      <w:r w:rsidRPr="000D69BB">
        <w:rPr>
          <w:rFonts w:ascii="Times New Roman" w:hAnsi="Times New Roman" w:cs="Times New Roman"/>
          <w:b/>
          <w:bCs/>
        </w:rPr>
        <w:t xml:space="preserve">A Multi-domain Lifestyle Intervention Among Aged Community-residents in Zhejiang, China (HERITAGE). </w:t>
      </w:r>
      <w:r w:rsidRPr="000D69BB">
        <w:rPr>
          <w:rFonts w:ascii="Times New Roman" w:hAnsi="Times New Roman" w:cs="Times New Roman"/>
        </w:rPr>
        <w:t>HERITAGE is a 2-trial that explores the efficacy of a multidomain intervention among 1200 elderly residents with a higher risk of cognitive decline in China. Results are pending (NCT05256121).</w:t>
      </w:r>
    </w:p>
    <w:p w14:paraId="55B72E49" w14:textId="77777777"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 xml:space="preserve">A Multidomain Intervention Program for Older People </w:t>
      </w:r>
      <w:r>
        <w:rPr>
          <w:rFonts w:ascii="Times New Roman" w:hAnsi="Times New Roman" w:cs="Times New Roman"/>
          <w:b/>
          <w:bCs/>
        </w:rPr>
        <w:t>w</w:t>
      </w:r>
      <w:r w:rsidRPr="000D69BB">
        <w:rPr>
          <w:rFonts w:ascii="Times New Roman" w:hAnsi="Times New Roman" w:cs="Times New Roman"/>
          <w:b/>
          <w:bCs/>
        </w:rPr>
        <w:t>ith Dementia (Hanoi</w:t>
      </w:r>
      <w:r w:rsidRPr="000D69BB">
        <w:rPr>
          <w:rFonts w:ascii="Times New Roman" w:hAnsi="Times New Roman" w:cs="Times New Roman"/>
        </w:rPr>
        <w:t>). This trial based in Vietnam t</w:t>
      </w:r>
      <w:r w:rsidRPr="000D69BB">
        <w:rPr>
          <w:rFonts w:ascii="Times New Roman" w:hAnsi="Times New Roman" w:cs="Times New Roman"/>
          <w:color w:val="171716"/>
          <w:shd w:val="clear" w:color="auto" w:fill="FFFFFF"/>
        </w:rPr>
        <w:t xml:space="preserve">o assess the feasibility of a </w:t>
      </w:r>
      <w:r w:rsidRPr="000D69BB">
        <w:rPr>
          <w:rFonts w:ascii="Times New Roman" w:hAnsi="Times New Roman" w:cs="Times New Roman"/>
        </w:rPr>
        <w:t>multidomain</w:t>
      </w:r>
      <w:r w:rsidRPr="000D69BB">
        <w:rPr>
          <w:rFonts w:ascii="Times New Roman" w:hAnsi="Times New Roman" w:cs="Times New Roman"/>
          <w:color w:val="171716"/>
          <w:shd w:val="clear" w:color="auto" w:fill="FFFFFF"/>
        </w:rPr>
        <w:t xml:space="preserve"> </w:t>
      </w:r>
      <w:r w:rsidRPr="000D69BB">
        <w:rPr>
          <w:rFonts w:ascii="Times New Roman" w:hAnsi="Times New Roman" w:cs="Times New Roman"/>
        </w:rPr>
        <w:t>intervention</w:t>
      </w:r>
      <w:r w:rsidRPr="000D69BB">
        <w:rPr>
          <w:rFonts w:ascii="Times New Roman" w:hAnsi="Times New Roman" w:cs="Times New Roman"/>
          <w:color w:val="171716"/>
          <w:shd w:val="clear" w:color="auto" w:fill="FFFFFF"/>
        </w:rPr>
        <w:t xml:space="preserve"> for older people with dementia in nursing homes </w:t>
      </w:r>
      <w:r w:rsidRPr="000D69BB">
        <w:rPr>
          <w:rFonts w:ascii="Times New Roman" w:hAnsi="Times New Roman" w:cs="Times New Roman"/>
        </w:rPr>
        <w:t>is registered with ClinicalTrials.gov (NCT04948450).</w:t>
      </w:r>
    </w:p>
    <w:p w14:paraId="6F7784B4" w14:textId="77777777" w:rsidR="00E84D1A" w:rsidRPr="000D69BB"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A Study on the Effectiveness of Multidomain Intervention Program for Reducing Risks of Dementia (Seoul).</w:t>
      </w:r>
      <w:r w:rsidRPr="000D69BB">
        <w:rPr>
          <w:rFonts w:ascii="Times New Roman" w:hAnsi="Times New Roman" w:cs="Times New Roman"/>
        </w:rPr>
        <w:t xml:space="preserve"> Results from this multimodal study are pending (NCT03786510).</w:t>
      </w:r>
    </w:p>
    <w:p w14:paraId="21043EC5" w14:textId="77777777" w:rsidR="00E84D1A" w:rsidRDefault="00E84D1A" w:rsidP="00E84D1A">
      <w:pPr>
        <w:spacing w:line="480" w:lineRule="auto"/>
        <w:jc w:val="both"/>
        <w:rPr>
          <w:rFonts w:ascii="Times New Roman" w:hAnsi="Times New Roman" w:cs="Times New Roman"/>
        </w:rPr>
      </w:pPr>
      <w:r w:rsidRPr="00A96199">
        <w:rPr>
          <w:rFonts w:ascii="Times New Roman" w:hAnsi="Times New Roman" w:cs="Times New Roman"/>
          <w:b/>
          <w:bCs/>
        </w:rPr>
        <w:t>Aliabad-e Katul</w:t>
      </w:r>
      <w:r w:rsidRPr="00ED6874">
        <w:rPr>
          <w:rFonts w:ascii="Times New Roman" w:hAnsi="Times New Roman" w:cs="Times New Roman"/>
          <w:b/>
          <w:bCs/>
        </w:rPr>
        <w:t>.</w:t>
      </w:r>
      <w:r>
        <w:rPr>
          <w:rFonts w:ascii="Times New Roman" w:hAnsi="Times New Roman" w:cs="Times New Roman"/>
        </w:rPr>
        <w:t xml:space="preserve"> </w:t>
      </w:r>
      <w:r w:rsidRPr="00ED6874">
        <w:rPr>
          <w:rFonts w:ascii="Times New Roman" w:hAnsi="Times New Roman" w:cs="Times New Roman"/>
        </w:rPr>
        <w:t>Damirchi</w:t>
      </w:r>
      <w:r>
        <w:rPr>
          <w:rFonts w:ascii="Times New Roman" w:hAnsi="Times New Roman" w:cs="Times New Roman"/>
        </w:rPr>
        <w:t xml:space="preserve"> et al. (2018) conducted an 8-week 4-arm RCT at </w:t>
      </w:r>
      <w:r w:rsidRPr="00A96199">
        <w:rPr>
          <w:rFonts w:ascii="Times New Roman" w:hAnsi="Times New Roman" w:cs="Times New Roman"/>
        </w:rPr>
        <w:t>Aliabad-e Katul,</w:t>
      </w:r>
      <w:r>
        <w:rPr>
          <w:rFonts w:ascii="Times New Roman" w:hAnsi="Times New Roman" w:cs="Times New Roman"/>
        </w:rPr>
        <w:t xml:space="preserve"> </w:t>
      </w:r>
      <w:r w:rsidRPr="00A96199">
        <w:rPr>
          <w:rFonts w:ascii="Times New Roman" w:hAnsi="Times New Roman" w:cs="Times New Roman"/>
        </w:rPr>
        <w:t>Golestan Province</w:t>
      </w:r>
      <w:r>
        <w:rPr>
          <w:rFonts w:ascii="Times New Roman" w:hAnsi="Times New Roman" w:cs="Times New Roman"/>
        </w:rPr>
        <w:t xml:space="preserve">, Iran to tests to the effects of cognitive training, exercise, or both (N=13), compared to a control arm (N=9). In elderly women (ages </w:t>
      </w:r>
      <w:r w:rsidRPr="00ED6874">
        <w:rPr>
          <w:rFonts w:ascii="Times New Roman" w:hAnsi="Times New Roman" w:cs="Times New Roman"/>
        </w:rPr>
        <w:t>60 to 85</w:t>
      </w:r>
      <w:r>
        <w:rPr>
          <w:rFonts w:ascii="Times New Roman" w:hAnsi="Times New Roman" w:cs="Times New Roman"/>
        </w:rPr>
        <w:t xml:space="preserve"> years) with MCI defined by </w:t>
      </w:r>
      <w:r w:rsidRPr="00ED6874">
        <w:rPr>
          <w:rFonts w:ascii="Times New Roman" w:hAnsi="Times New Roman" w:cs="Times New Roman"/>
        </w:rPr>
        <w:t>MMSE 18-23</w:t>
      </w:r>
      <w:r>
        <w:rPr>
          <w:rFonts w:ascii="Times New Roman" w:hAnsi="Times New Roman" w:cs="Times New Roman"/>
        </w:rPr>
        <w:t xml:space="preserve"> (approximately FAST 4-5) and assessed several outcome measures including the </w:t>
      </w:r>
      <w:r w:rsidRPr="00ED6874">
        <w:rPr>
          <w:rFonts w:ascii="Times New Roman" w:hAnsi="Times New Roman" w:cs="Times New Roman"/>
        </w:rPr>
        <w:t>Wechsler Adult Intelligence Scale-Third Edition</w:t>
      </w:r>
      <w:r>
        <w:rPr>
          <w:rFonts w:ascii="Times New Roman" w:hAnsi="Times New Roman" w:cs="Times New Roman"/>
        </w:rPr>
        <w:t xml:space="preserve"> (</w:t>
      </w:r>
      <w:r w:rsidRPr="00ED6874">
        <w:rPr>
          <w:rFonts w:ascii="Times New Roman" w:hAnsi="Times New Roman" w:cs="Times New Roman"/>
        </w:rPr>
        <w:t>WAIS III)</w:t>
      </w:r>
      <w:r>
        <w:rPr>
          <w:rFonts w:ascii="Times New Roman" w:hAnsi="Times New Roman" w:cs="Times New Roman"/>
        </w:rPr>
        <w:t xml:space="preserve">. Average baseline assessment values for the control arm were lower than baseline assessments for the other arms. Results were not adjusted for baseline values. The authors do not report a significant difference between the multidomain arm and the control arm. We include this study in </w:t>
      </w:r>
      <w:r w:rsidRPr="00ED6874">
        <w:rPr>
          <w:rFonts w:ascii="Times New Roman" w:hAnsi="Times New Roman" w:cs="Times New Roman"/>
          <w:b/>
          <w:bCs/>
        </w:rPr>
        <w:t>Table 1</w:t>
      </w:r>
      <w:r>
        <w:rPr>
          <w:rFonts w:ascii="Times New Roman" w:hAnsi="Times New Roman" w:cs="Times New Roman"/>
        </w:rPr>
        <w:t xml:space="preserve">, but due to the difficulty in computing effect size and significance for the difference between the multidomain and control arms, we do not include it in </w:t>
      </w:r>
      <w:r w:rsidRPr="00ED6874">
        <w:rPr>
          <w:rFonts w:ascii="Times New Roman" w:hAnsi="Times New Roman" w:cs="Times New Roman"/>
          <w:b/>
          <w:bCs/>
        </w:rPr>
        <w:t>Table 2</w:t>
      </w:r>
      <w:r>
        <w:rPr>
          <w:rFonts w:ascii="Times New Roman" w:hAnsi="Times New Roman" w:cs="Times New Roman"/>
        </w:rPr>
        <w:t>.</w:t>
      </w:r>
    </w:p>
    <w:p w14:paraId="375B621F" w14:textId="12510D9A" w:rsidR="00BD4428" w:rsidRPr="00ED6874" w:rsidRDefault="00BD4428" w:rsidP="00E84D1A">
      <w:pPr>
        <w:spacing w:line="480" w:lineRule="auto"/>
        <w:jc w:val="both"/>
        <w:rPr>
          <w:rFonts w:ascii="Times New Roman" w:hAnsi="Times New Roman" w:cs="Times New Roman"/>
        </w:rPr>
      </w:pPr>
      <w:r w:rsidRPr="00BD4428">
        <w:rPr>
          <w:rFonts w:ascii="Times New Roman" w:hAnsi="Times New Roman" w:cs="Times New Roman"/>
          <w:b/>
          <w:bCs/>
        </w:rPr>
        <w:lastRenderedPageBreak/>
        <w:t>ASPIS.</w:t>
      </w:r>
      <w:r>
        <w:rPr>
          <w:rFonts w:ascii="Times New Roman" w:hAnsi="Times New Roman" w:cs="Times New Roman"/>
        </w:rPr>
        <w:t xml:space="preserve"> ASPIS was an Austrian RCT focused on post-stroke cognitive decline (</w:t>
      </w:r>
      <w:r w:rsidRPr="00BD4428">
        <w:rPr>
          <w:rFonts w:ascii="Times New Roman" w:hAnsi="Times New Roman" w:cs="Times New Roman"/>
        </w:rPr>
        <w:t>Brainin</w:t>
      </w:r>
      <w:r>
        <w:rPr>
          <w:rFonts w:ascii="Times New Roman" w:hAnsi="Times New Roman" w:cs="Times New Roman"/>
        </w:rPr>
        <w:t xml:space="preserve"> et al., 2015).</w:t>
      </w:r>
    </w:p>
    <w:p w14:paraId="3AE8C928" w14:textId="77777777" w:rsidR="00E84D1A" w:rsidRDefault="00E84D1A" w:rsidP="00E84D1A">
      <w:pPr>
        <w:spacing w:line="480" w:lineRule="auto"/>
        <w:jc w:val="both"/>
        <w:rPr>
          <w:rFonts w:ascii="Times New Roman" w:hAnsi="Times New Roman" w:cs="Times New Roman"/>
        </w:rPr>
      </w:pPr>
      <w:r w:rsidRPr="00180F6F">
        <w:rPr>
          <w:rFonts w:ascii="Times New Roman" w:hAnsi="Times New Roman" w:cs="Times New Roman"/>
          <w:b/>
          <w:bCs/>
        </w:rPr>
        <w:t xml:space="preserve">Complex </w:t>
      </w:r>
      <w:r>
        <w:rPr>
          <w:rFonts w:ascii="Times New Roman" w:hAnsi="Times New Roman" w:cs="Times New Roman"/>
          <w:b/>
          <w:bCs/>
        </w:rPr>
        <w:t>M</w:t>
      </w:r>
      <w:r w:rsidRPr="00180F6F">
        <w:rPr>
          <w:rFonts w:ascii="Times New Roman" w:hAnsi="Times New Roman" w:cs="Times New Roman"/>
          <w:b/>
          <w:bCs/>
        </w:rPr>
        <w:t xml:space="preserve">ental and </w:t>
      </w:r>
      <w:r>
        <w:rPr>
          <w:rFonts w:ascii="Times New Roman" w:hAnsi="Times New Roman" w:cs="Times New Roman"/>
          <w:b/>
          <w:bCs/>
        </w:rPr>
        <w:t>P</w:t>
      </w:r>
      <w:r w:rsidRPr="00180F6F">
        <w:rPr>
          <w:rFonts w:ascii="Times New Roman" w:hAnsi="Times New Roman" w:cs="Times New Roman"/>
          <w:b/>
          <w:bCs/>
        </w:rPr>
        <w:t xml:space="preserve">hysical </w:t>
      </w:r>
      <w:r>
        <w:rPr>
          <w:rFonts w:ascii="Times New Roman" w:hAnsi="Times New Roman" w:cs="Times New Roman"/>
          <w:b/>
          <w:bCs/>
        </w:rPr>
        <w:t>A</w:t>
      </w:r>
      <w:r w:rsidRPr="00180F6F">
        <w:rPr>
          <w:rFonts w:ascii="Times New Roman" w:hAnsi="Times New Roman" w:cs="Times New Roman"/>
          <w:b/>
          <w:bCs/>
        </w:rPr>
        <w:t xml:space="preserve">ctivity in </w:t>
      </w:r>
      <w:r>
        <w:rPr>
          <w:rFonts w:ascii="Times New Roman" w:hAnsi="Times New Roman" w:cs="Times New Roman"/>
          <w:b/>
          <w:bCs/>
        </w:rPr>
        <w:t>O</w:t>
      </w:r>
      <w:r w:rsidRPr="00180F6F">
        <w:rPr>
          <w:rFonts w:ascii="Times New Roman" w:hAnsi="Times New Roman" w:cs="Times New Roman"/>
          <w:b/>
          <w:bCs/>
        </w:rPr>
        <w:t xml:space="preserve">lder </w:t>
      </w:r>
      <w:r>
        <w:rPr>
          <w:rFonts w:ascii="Times New Roman" w:hAnsi="Times New Roman" w:cs="Times New Roman"/>
          <w:b/>
          <w:bCs/>
        </w:rPr>
        <w:t>W</w:t>
      </w:r>
      <w:r w:rsidRPr="00180F6F">
        <w:rPr>
          <w:rFonts w:ascii="Times New Roman" w:hAnsi="Times New Roman" w:cs="Times New Roman"/>
          <w:b/>
          <w:bCs/>
        </w:rPr>
        <w:t>omen.</w:t>
      </w:r>
      <w:r>
        <w:rPr>
          <w:rFonts w:ascii="Times New Roman" w:hAnsi="Times New Roman" w:cs="Times New Roman"/>
        </w:rPr>
        <w:t xml:space="preserve"> </w:t>
      </w:r>
      <w:r w:rsidRPr="00180F6F">
        <w:rPr>
          <w:rFonts w:ascii="Times New Roman" w:hAnsi="Times New Roman" w:cs="Times New Roman"/>
        </w:rPr>
        <w:t>The Complex Mental and Physical Activity in Older Women and Cognitive Performance</w:t>
      </w:r>
      <w:r>
        <w:rPr>
          <w:rFonts w:ascii="Times New Roman" w:hAnsi="Times New Roman" w:cs="Times New Roman"/>
        </w:rPr>
        <w:t xml:space="preserve"> trial (</w:t>
      </w:r>
      <w:r w:rsidRPr="00180F6F">
        <w:rPr>
          <w:rFonts w:ascii="Times New Roman" w:hAnsi="Times New Roman" w:cs="Times New Roman"/>
        </w:rPr>
        <w:t>Klusmann</w:t>
      </w:r>
      <w:r>
        <w:rPr>
          <w:rFonts w:ascii="Times New Roman" w:hAnsi="Times New Roman" w:cs="Times New Roman"/>
        </w:rPr>
        <w:t xml:space="preserve"> et al., 2010) was</w:t>
      </w:r>
      <w:r w:rsidRPr="00180F6F">
        <w:rPr>
          <w:rFonts w:ascii="Times New Roman" w:hAnsi="Times New Roman" w:cs="Times New Roman"/>
        </w:rPr>
        <w:t xml:space="preserve"> </w:t>
      </w:r>
      <w:r>
        <w:rPr>
          <w:rFonts w:ascii="Times New Roman" w:hAnsi="Times New Roman" w:cs="Times New Roman"/>
        </w:rPr>
        <w:t>a</w:t>
      </w:r>
      <w:r w:rsidRPr="00180F6F">
        <w:rPr>
          <w:rFonts w:ascii="Times New Roman" w:hAnsi="Times New Roman" w:cs="Times New Roman"/>
        </w:rPr>
        <w:t xml:space="preserve"> 6-month </w:t>
      </w:r>
      <w:r>
        <w:rPr>
          <w:rFonts w:ascii="Times New Roman" w:hAnsi="Times New Roman" w:cs="Times New Roman"/>
        </w:rPr>
        <w:t>RCT in Germany to compare the effects of exercise to the effects of cognitive training on cognitive performnce. It compared these as unimodal interventions to each other and to a control arm. Both groups showed improvement with respect to controls.</w:t>
      </w:r>
    </w:p>
    <w:p w14:paraId="25DDEE03" w14:textId="50779C5C" w:rsidR="00AA0F8A" w:rsidRDefault="00AA0F8A" w:rsidP="00AA0F8A">
      <w:pPr>
        <w:spacing w:line="480" w:lineRule="auto"/>
        <w:jc w:val="both"/>
        <w:rPr>
          <w:rFonts w:ascii="Times New Roman" w:hAnsi="Times New Roman" w:cs="Times New Roman"/>
        </w:rPr>
      </w:pPr>
      <w:r w:rsidRPr="00AA0F8A">
        <w:rPr>
          <w:rFonts w:ascii="Times New Roman" w:hAnsi="Times New Roman" w:cs="Times New Roman"/>
          <w:b/>
          <w:bCs/>
        </w:rPr>
        <w:t>Dementia - Early Detection and Intervention (DEDI).</w:t>
      </w:r>
      <w:r>
        <w:rPr>
          <w:rFonts w:ascii="Times New Roman" w:hAnsi="Times New Roman" w:cs="Times New Roman"/>
        </w:rPr>
        <w:t xml:space="preserve"> The DEDI trial (</w:t>
      </w:r>
      <w:r w:rsidRPr="00AA0F8A">
        <w:rPr>
          <w:rFonts w:ascii="Times New Roman" w:hAnsi="Times New Roman" w:cs="Times New Roman"/>
        </w:rPr>
        <w:t>ClinicalTrials.gov NCT04440969</w:t>
      </w:r>
      <w:r>
        <w:rPr>
          <w:rFonts w:ascii="Times New Roman" w:hAnsi="Times New Roman" w:cs="Times New Roman"/>
        </w:rPr>
        <w:t xml:space="preserve">) was a 24-week multidomain RCT (Ng et al., 2021) with 199 participants &gt;54 years in 2018. </w:t>
      </w:r>
      <w:r w:rsidRPr="00AA0F8A">
        <w:rPr>
          <w:rFonts w:ascii="Times New Roman" w:hAnsi="Times New Roman" w:cs="Times New Roman"/>
        </w:rPr>
        <w:t>Participants were excluded if they were those diagnosed with cognitive disorders</w:t>
      </w:r>
      <w:r>
        <w:rPr>
          <w:rFonts w:ascii="Times New Roman" w:hAnsi="Times New Roman" w:cs="Times New Roman"/>
        </w:rPr>
        <w:t xml:space="preserve">. In other contexts, this trial has been referred to </w:t>
      </w:r>
      <w:r w:rsidRPr="001A4322">
        <w:rPr>
          <w:rFonts w:ascii="Times New Roman" w:hAnsi="Times New Roman" w:cs="Times New Roman"/>
        </w:rPr>
        <w:t>with the shorthand “</w:t>
      </w:r>
      <w:r>
        <w:rPr>
          <w:rFonts w:ascii="Times New Roman" w:hAnsi="Times New Roman" w:cs="Times New Roman"/>
        </w:rPr>
        <w:t>Ng</w:t>
      </w:r>
      <w:r w:rsidRPr="001A4322">
        <w:rPr>
          <w:rFonts w:ascii="Times New Roman" w:hAnsi="Times New Roman" w:cs="Times New Roman"/>
        </w:rPr>
        <w:t>”, the first author of the 202</w:t>
      </w:r>
      <w:r>
        <w:rPr>
          <w:rFonts w:ascii="Times New Roman" w:hAnsi="Times New Roman" w:cs="Times New Roman"/>
        </w:rPr>
        <w:t>4</w:t>
      </w:r>
      <w:r w:rsidRPr="001A4322">
        <w:rPr>
          <w:rFonts w:ascii="Times New Roman" w:hAnsi="Times New Roman" w:cs="Times New Roman"/>
        </w:rPr>
        <w:t xml:space="preserve"> results paper, consistent with the nomenclature of Soldevila-Domenech </w:t>
      </w:r>
      <w:r>
        <w:rPr>
          <w:rFonts w:ascii="Times New Roman" w:hAnsi="Times New Roman" w:cs="Times New Roman"/>
        </w:rPr>
        <w:t>et al. (</w:t>
      </w:r>
      <w:r w:rsidRPr="001A4322">
        <w:rPr>
          <w:rFonts w:ascii="Times New Roman" w:hAnsi="Times New Roman" w:cs="Times New Roman"/>
        </w:rPr>
        <w:t>2025</w:t>
      </w:r>
      <w:r>
        <w:rPr>
          <w:rFonts w:ascii="Times New Roman" w:hAnsi="Times New Roman" w:cs="Times New Roman"/>
        </w:rPr>
        <w:t xml:space="preserve">). </w:t>
      </w:r>
    </w:p>
    <w:p w14:paraId="0F79E936" w14:textId="697D3D4D" w:rsidR="00E84D1A" w:rsidRDefault="00E84D1A" w:rsidP="00E84D1A">
      <w:pPr>
        <w:spacing w:line="480" w:lineRule="auto"/>
        <w:rPr>
          <w:rFonts w:ascii="Times New Roman" w:hAnsi="Times New Roman" w:cs="Times New Roman"/>
        </w:rPr>
      </w:pPr>
      <w:r w:rsidRPr="009F1DC6">
        <w:rPr>
          <w:rFonts w:ascii="Times New Roman" w:hAnsi="Times New Roman" w:cs="Times New Roman"/>
          <w:b/>
          <w:bCs/>
        </w:rPr>
        <w:t>Deutschschweiz.</w:t>
      </w:r>
      <w:r>
        <w:rPr>
          <w:rFonts w:ascii="Times New Roman" w:hAnsi="Times New Roman" w:cs="Times New Roman"/>
        </w:rPr>
        <w:t xml:space="preserve"> This 5-week 3-arm RCT (Brasser et al., 2022) enrolled participants into a multidomain intervention (N=41), a cognitive training intervention, and a control arm (N=41). All older adults in German-speaking Switzerland (</w:t>
      </w:r>
      <w:r w:rsidRPr="006C23E0">
        <w:rPr>
          <w:rFonts w:ascii="Times New Roman" w:hAnsi="Times New Roman" w:cs="Times New Roman"/>
        </w:rPr>
        <w:t>aka, Deutschschweiz) ages 65-90 years with access to a computer, email, and a printer were eligible. The</w:t>
      </w:r>
      <w:r>
        <w:rPr>
          <w:rFonts w:ascii="Times New Roman" w:hAnsi="Times New Roman" w:cs="Times New Roman"/>
        </w:rPr>
        <w:t xml:space="preserve"> majority</w:t>
      </w:r>
      <w:r w:rsidR="00607522">
        <w:rPr>
          <w:rFonts w:ascii="Times New Roman" w:hAnsi="Times New Roman" w:cs="Times New Roman"/>
        </w:rPr>
        <w:t xml:space="preserve"> </w:t>
      </w:r>
      <w:r>
        <w:rPr>
          <w:rFonts w:ascii="Times New Roman" w:hAnsi="Times New Roman" w:cs="Times New Roman"/>
        </w:rPr>
        <w:t>participants are unlikely to have AD, except due to background incidence of AD in this population. Participants were recruited in 2021. The interventions (</w:t>
      </w:r>
      <w:r w:rsidRPr="00275679">
        <w:rPr>
          <w:rFonts w:ascii="Times New Roman" w:hAnsi="Times New Roman" w:cs="Times New Roman"/>
        </w:rPr>
        <w:t>physical, cognitive, social, mindful, coordination, and creative activation</w:t>
      </w:r>
      <w:r>
        <w:rPr>
          <w:rFonts w:ascii="Times New Roman" w:hAnsi="Times New Roman" w:cs="Times New Roman"/>
        </w:rPr>
        <w:t xml:space="preserve">) were remote, as this was during to the COVID pandemic. Multiple outcomes were measured, including the </w:t>
      </w:r>
      <w:r w:rsidRPr="000071FD">
        <w:rPr>
          <w:rFonts w:ascii="Times New Roman" w:hAnsi="Times New Roman" w:cs="Times New Roman"/>
        </w:rPr>
        <w:t>RAVLT</w:t>
      </w:r>
      <w:r>
        <w:rPr>
          <w:rFonts w:ascii="Times New Roman" w:hAnsi="Times New Roman" w:cs="Times New Roman"/>
        </w:rPr>
        <w:t>. At 5-weeks, t</w:t>
      </w:r>
      <w:r w:rsidRPr="00275679">
        <w:rPr>
          <w:rFonts w:ascii="Times New Roman" w:hAnsi="Times New Roman" w:cs="Times New Roman"/>
        </w:rPr>
        <w:t xml:space="preserve">he </w:t>
      </w:r>
      <w:r>
        <w:rPr>
          <w:rFonts w:ascii="Times New Roman" w:hAnsi="Times New Roman" w:cs="Times New Roman"/>
        </w:rPr>
        <w:t>multidomain</w:t>
      </w:r>
      <w:r w:rsidRPr="00275679">
        <w:rPr>
          <w:rFonts w:ascii="Times New Roman" w:hAnsi="Times New Roman" w:cs="Times New Roman"/>
        </w:rPr>
        <w:t xml:space="preserve"> </w:t>
      </w:r>
      <w:r>
        <w:rPr>
          <w:rFonts w:ascii="Times New Roman" w:hAnsi="Times New Roman" w:cs="Times New Roman"/>
        </w:rPr>
        <w:t>arm</w:t>
      </w:r>
      <w:r w:rsidRPr="00275679">
        <w:rPr>
          <w:rFonts w:ascii="Times New Roman" w:hAnsi="Times New Roman" w:cs="Times New Roman"/>
        </w:rPr>
        <w:t xml:space="preserve"> performance was significantly better than the </w:t>
      </w:r>
      <w:r>
        <w:rPr>
          <w:rFonts w:ascii="Times New Roman" w:hAnsi="Times New Roman" w:cs="Times New Roman"/>
        </w:rPr>
        <w:t>control</w:t>
      </w:r>
      <w:r w:rsidRPr="00275679">
        <w:rPr>
          <w:rFonts w:ascii="Times New Roman" w:hAnsi="Times New Roman" w:cs="Times New Roman"/>
        </w:rPr>
        <w:t xml:space="preserve"> (p &lt; 0.01)</w:t>
      </w:r>
      <w:r>
        <w:rPr>
          <w:rFonts w:ascii="Times New Roman" w:hAnsi="Times New Roman" w:cs="Times New Roman"/>
        </w:rPr>
        <w:t xml:space="preserve"> at working memory.</w:t>
      </w:r>
    </w:p>
    <w:p w14:paraId="52F482C0" w14:textId="77777777" w:rsidR="00E84D1A" w:rsidRPr="000D69BB"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lastRenderedPageBreak/>
        <w:t xml:space="preserve">Dutch Multidomain Lifestyle Intervention in Older Adults at Risk of Cognitive Decline (FINGER-NL). </w:t>
      </w:r>
      <w:r w:rsidRPr="000D69BB">
        <w:rPr>
          <w:rFonts w:ascii="Times New Roman" w:hAnsi="Times New Roman" w:cs="Times New Roman"/>
        </w:rPr>
        <w:t>FINGER-NL is a multi-center, randomized, controlled, multidomain lifestyle intervention trial among 1,206 older adults at risk for cognitive decline with a duration of 24 months (Deckers et al., 2024). Results are pending (NCT05256199).</w:t>
      </w:r>
    </w:p>
    <w:p w14:paraId="0948DA31" w14:textId="77777777"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Effectiveness of a Lifestyle Multidomain Intervention to Prevent Cognitive Decline in the Basque Country (GOIZ ZAINDU).</w:t>
      </w:r>
      <w:r w:rsidRPr="000D69BB">
        <w:rPr>
          <w:rFonts w:ascii="Times New Roman" w:hAnsi="Times New Roman" w:cs="Times New Roman"/>
        </w:rPr>
        <w:t xml:space="preserve"> GOIZ ZAINDU </w:t>
      </w:r>
      <w:r>
        <w:rPr>
          <w:rFonts w:ascii="Times New Roman" w:hAnsi="Times New Roman" w:cs="Times New Roman"/>
        </w:rPr>
        <w:t>wa</w:t>
      </w:r>
      <w:r w:rsidRPr="000D69BB">
        <w:rPr>
          <w:rFonts w:ascii="Times New Roman" w:hAnsi="Times New Roman" w:cs="Times New Roman"/>
        </w:rPr>
        <w:t>s a pilot study to adapt the FINGER methodology to the Basque population</w:t>
      </w:r>
      <w:r>
        <w:rPr>
          <w:rFonts w:ascii="Times New Roman" w:hAnsi="Times New Roman" w:cs="Times New Roman"/>
        </w:rPr>
        <w:t xml:space="preserve"> (Tainta et al., 2024)</w:t>
      </w:r>
      <w:r w:rsidRPr="000D69BB">
        <w:rPr>
          <w:rFonts w:ascii="Times New Roman" w:hAnsi="Times New Roman" w:cs="Times New Roman"/>
        </w:rPr>
        <w:t xml:space="preserve">. </w:t>
      </w:r>
      <w:r>
        <w:rPr>
          <w:rFonts w:ascii="Times New Roman" w:hAnsi="Times New Roman" w:cs="Times New Roman"/>
        </w:rPr>
        <w:t>P</w:t>
      </w:r>
      <w:r w:rsidRPr="00C84FE5">
        <w:rPr>
          <w:rFonts w:ascii="Times New Roman" w:hAnsi="Times New Roman" w:cs="Times New Roman"/>
        </w:rPr>
        <w:t>rimary outcomes were retention rate and adherence to the intervention program.</w:t>
      </w:r>
      <w:r>
        <w:rPr>
          <w:rFonts w:ascii="Times New Roman" w:hAnsi="Times New Roman" w:cs="Times New Roman"/>
        </w:rPr>
        <w:t xml:space="preserve"> Secondary outcomes showed cognitive benefit in the multidomain intervention group </w:t>
      </w:r>
      <w:r w:rsidRPr="000D69BB">
        <w:rPr>
          <w:rFonts w:ascii="Times New Roman" w:hAnsi="Times New Roman" w:cs="Times New Roman"/>
        </w:rPr>
        <w:t>(NCT04840030 &amp; NCT06163716).</w:t>
      </w:r>
    </w:p>
    <w:p w14:paraId="4AE7467E" w14:textId="77777777" w:rsidR="00E84D1A" w:rsidRDefault="00E84D1A" w:rsidP="00E84D1A">
      <w:pPr>
        <w:spacing w:line="480" w:lineRule="auto"/>
        <w:jc w:val="both"/>
        <w:rPr>
          <w:rFonts w:ascii="Times New Roman" w:hAnsi="Times New Roman" w:cs="Times New Roman"/>
        </w:rPr>
      </w:pPr>
      <w:r w:rsidRPr="00DF23AF">
        <w:rPr>
          <w:rFonts w:ascii="Times New Roman" w:hAnsi="Times New Roman" w:cs="Times New Roman"/>
          <w:b/>
          <w:bCs/>
        </w:rPr>
        <w:t>eMIND.</w:t>
      </w:r>
      <w:r>
        <w:rPr>
          <w:rFonts w:ascii="Times New Roman" w:hAnsi="Times New Roman" w:cs="Times New Roman"/>
        </w:rPr>
        <w:t xml:space="preserve"> eMIND</w:t>
      </w:r>
      <w:r w:rsidRPr="000D69BB">
        <w:rPr>
          <w:rFonts w:ascii="Times New Roman" w:hAnsi="Times New Roman" w:cs="Times New Roman"/>
        </w:rPr>
        <w:t xml:space="preserve"> </w:t>
      </w:r>
      <w:r>
        <w:rPr>
          <w:rFonts w:ascii="Times New Roman" w:hAnsi="Times New Roman" w:cs="Times New Roman"/>
        </w:rPr>
        <w:t>wa</w:t>
      </w:r>
      <w:r w:rsidRPr="000D69BB">
        <w:rPr>
          <w:rFonts w:ascii="Times New Roman" w:hAnsi="Times New Roman" w:cs="Times New Roman"/>
        </w:rPr>
        <w:t xml:space="preserve">s a </w:t>
      </w:r>
      <w:r>
        <w:rPr>
          <w:rFonts w:ascii="Times New Roman" w:hAnsi="Times New Roman" w:cs="Times New Roman"/>
        </w:rPr>
        <w:t xml:space="preserve">2017 6-month </w:t>
      </w:r>
      <w:r w:rsidRPr="000D69BB">
        <w:rPr>
          <w:rFonts w:ascii="Times New Roman" w:hAnsi="Times New Roman" w:cs="Times New Roman"/>
        </w:rPr>
        <w:t xml:space="preserve">pilot study to </w:t>
      </w:r>
      <w:r>
        <w:rPr>
          <w:rFonts w:ascii="Times New Roman" w:hAnsi="Times New Roman" w:cs="Times New Roman"/>
        </w:rPr>
        <w:t xml:space="preserve">test the feasibility and compliance to a </w:t>
      </w:r>
      <w:r w:rsidRPr="00DF23AF">
        <w:rPr>
          <w:rFonts w:ascii="Times New Roman" w:hAnsi="Times New Roman"/>
        </w:rPr>
        <w:t>web-based multidomain intervention</w:t>
      </w:r>
      <w:r>
        <w:rPr>
          <w:rFonts w:ascii="Times New Roman" w:hAnsi="Times New Roman"/>
        </w:rPr>
        <w:t xml:space="preserve"> in France in 120 participants aged 65+ years with FAST stage 2 at baseline. Cognitive outcome measures were included only as secondary measures. Differences in these measures were not reported as significant</w:t>
      </w:r>
      <w:r>
        <w:rPr>
          <w:rFonts w:ascii="Times New Roman" w:hAnsi="Times New Roman" w:cs="Times New Roman"/>
        </w:rPr>
        <w:t xml:space="preserve"> (</w:t>
      </w:r>
      <w:r w:rsidRPr="00DF23AF">
        <w:rPr>
          <w:rFonts w:ascii="Times New Roman" w:hAnsi="Times New Roman" w:cs="Times New Roman"/>
        </w:rPr>
        <w:t>de Souto</w:t>
      </w:r>
      <w:r>
        <w:rPr>
          <w:rFonts w:ascii="Times New Roman" w:hAnsi="Times New Roman" w:cs="Times New Roman"/>
        </w:rPr>
        <w:t xml:space="preserve"> et al., 2021)</w:t>
      </w:r>
      <w:r w:rsidRPr="00DF23AF">
        <w:rPr>
          <w:rFonts w:ascii="Times New Roman" w:hAnsi="Times New Roman" w:cs="Times New Roman"/>
        </w:rPr>
        <w:t>.</w:t>
      </w:r>
    </w:p>
    <w:p w14:paraId="25882E8F" w14:textId="77777777" w:rsidR="00E84D1A" w:rsidRDefault="00E84D1A" w:rsidP="00E84D1A">
      <w:pPr>
        <w:spacing w:line="480" w:lineRule="auto"/>
        <w:jc w:val="both"/>
        <w:rPr>
          <w:rFonts w:ascii="Times New Roman" w:hAnsi="Times New Roman" w:cs="Times New Roman"/>
        </w:rPr>
      </w:pPr>
      <w:r w:rsidRPr="009F24DA">
        <w:rPr>
          <w:rFonts w:ascii="Times New Roman" w:hAnsi="Times New Roman" w:cs="Times New Roman"/>
          <w:b/>
          <w:bCs/>
        </w:rPr>
        <w:t>HATICE.</w:t>
      </w:r>
      <w:r>
        <w:rPr>
          <w:rFonts w:ascii="Times New Roman" w:hAnsi="Times New Roman" w:cs="Times New Roman"/>
        </w:rPr>
        <w:t xml:space="preserve"> HATICE was a 2015 18-month multidomain RCT. The </w:t>
      </w:r>
      <w:r w:rsidRPr="009F24DA">
        <w:rPr>
          <w:rFonts w:ascii="Times New Roman" w:hAnsi="Times New Roman" w:cs="Times New Roman"/>
        </w:rPr>
        <w:t>2724</w:t>
      </w:r>
      <w:r>
        <w:rPr>
          <w:rFonts w:ascii="Times New Roman" w:hAnsi="Times New Roman" w:cs="Times New Roman"/>
        </w:rPr>
        <w:t xml:space="preserve"> participants were older adults at risk for cardiovascular disease with FAST stage 1. The primary outcome measure was a</w:t>
      </w:r>
      <w:r w:rsidRPr="009F24DA">
        <w:rPr>
          <w:rFonts w:ascii="Times New Roman" w:hAnsi="Times New Roman" w:cs="Times New Roman"/>
        </w:rPr>
        <w:t xml:space="preserve"> composite score of systolic blood pressure, LDL cholesterol, and body-mass index (BMI). Secondary outcomes included individual risk factors and cardiovascular endpoints</w:t>
      </w:r>
      <w:r>
        <w:rPr>
          <w:rFonts w:ascii="Times New Roman" w:hAnsi="Times New Roman" w:cs="Times New Roman"/>
        </w:rPr>
        <w:t xml:space="preserve"> (</w:t>
      </w:r>
      <w:r w:rsidRPr="009F24DA">
        <w:rPr>
          <w:rFonts w:ascii="Times New Roman" w:hAnsi="Times New Roman" w:cs="Times New Roman"/>
        </w:rPr>
        <w:t>Richard</w:t>
      </w:r>
      <w:r>
        <w:rPr>
          <w:rFonts w:ascii="Times New Roman" w:hAnsi="Times New Roman" w:cs="Times New Roman"/>
        </w:rPr>
        <w:t xml:space="preserve"> et al., 2019).</w:t>
      </w:r>
      <w:r w:rsidRPr="009F24DA">
        <w:rPr>
          <w:rFonts w:ascii="Times New Roman" w:hAnsi="Times New Roman" w:cs="Times New Roman"/>
        </w:rPr>
        <w:t xml:space="preserve"> </w:t>
      </w:r>
      <w:r>
        <w:rPr>
          <w:rFonts w:ascii="Times New Roman" w:hAnsi="Times New Roman" w:cs="Times New Roman"/>
        </w:rPr>
        <w:t xml:space="preserve">MMSE and a composite cognitive measure were also reported. </w:t>
      </w:r>
      <w:r>
        <w:rPr>
          <w:rFonts w:ascii="Times New Roman" w:hAnsi="Times New Roman"/>
        </w:rPr>
        <w:t>Differences in these measures were not reported as significant.</w:t>
      </w:r>
    </w:p>
    <w:p w14:paraId="746EF52B" w14:textId="77777777"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Human-APPlication Combined Approach for Prevention of Alzheimer's Disease (HAPPCAP-AD).</w:t>
      </w:r>
      <w:r w:rsidRPr="000D69BB">
        <w:rPr>
          <w:rFonts w:ascii="Times New Roman" w:hAnsi="Times New Roman" w:cs="Times New Roman"/>
        </w:rPr>
        <w:t xml:space="preserve"> HAPPCAP-AD (Ganmore et al., 2020) tests a personalized 18-months intervention for prevention of cognitive decline in middle-aged individuals at high AD risk due to </w:t>
      </w:r>
      <w:r w:rsidRPr="000D69BB">
        <w:rPr>
          <w:rFonts w:ascii="Times New Roman" w:hAnsi="Times New Roman" w:cs="Times New Roman"/>
        </w:rPr>
        <w:lastRenderedPageBreak/>
        <w:t>a parental family history. Multimodal intervention is provided via a smartphone application (app) with study team guidance through phone-calls. Results are pending (NCT05256121).</w:t>
      </w:r>
    </w:p>
    <w:p w14:paraId="730D17E9" w14:textId="6B345B38" w:rsidR="00877260" w:rsidRDefault="00877260" w:rsidP="00E84D1A">
      <w:pPr>
        <w:spacing w:line="480" w:lineRule="auto"/>
        <w:jc w:val="both"/>
        <w:rPr>
          <w:rFonts w:ascii="Times New Roman" w:hAnsi="Times New Roman" w:cs="Times New Roman"/>
        </w:rPr>
      </w:pPr>
      <w:r w:rsidRPr="00877260">
        <w:rPr>
          <w:rFonts w:ascii="Times New Roman" w:hAnsi="Times New Roman" w:cs="Times New Roman"/>
          <w:b/>
          <w:bCs/>
        </w:rPr>
        <w:t>J-MIND-Diabetes</w:t>
      </w:r>
      <w:r>
        <w:rPr>
          <w:rFonts w:ascii="Times New Roman" w:hAnsi="Times New Roman" w:cs="Times New Roman"/>
          <w:b/>
          <w:bCs/>
        </w:rPr>
        <w:t xml:space="preserve">. </w:t>
      </w:r>
      <w:r w:rsidRPr="00877260">
        <w:rPr>
          <w:rFonts w:ascii="Times New Roman" w:hAnsi="Times New Roman" w:cs="Times New Roman"/>
        </w:rPr>
        <w:t>J-MIND-Diabet</w:t>
      </w:r>
      <w:r>
        <w:rPr>
          <w:rFonts w:ascii="Times New Roman" w:hAnsi="Times New Roman" w:cs="Times New Roman"/>
        </w:rPr>
        <w:t>e</w:t>
      </w:r>
      <w:r w:rsidRPr="00877260">
        <w:rPr>
          <w:rFonts w:ascii="Times New Roman" w:hAnsi="Times New Roman" w:cs="Times New Roman"/>
        </w:rPr>
        <w:t>s was a Japanese RCT to study the effect of a multidomain intervention in older adults with diabetes and cognitive decline</w:t>
      </w:r>
      <w:r w:rsidR="00E91F47">
        <w:rPr>
          <w:rFonts w:ascii="Times New Roman" w:hAnsi="Times New Roman" w:cs="Times New Roman"/>
        </w:rPr>
        <w:t xml:space="preserve"> (Sugimoto et al., 2024)</w:t>
      </w:r>
      <w:r w:rsidRPr="00877260">
        <w:rPr>
          <w:rFonts w:ascii="Times New Roman" w:hAnsi="Times New Roman" w:cs="Times New Roman"/>
        </w:rPr>
        <w:t>.</w:t>
      </w:r>
    </w:p>
    <w:p w14:paraId="46F3F9FF" w14:textId="36EDF04A" w:rsidR="00722DE8" w:rsidRDefault="00722DE8" w:rsidP="00E84D1A">
      <w:pPr>
        <w:spacing w:line="480" w:lineRule="auto"/>
        <w:jc w:val="both"/>
        <w:rPr>
          <w:rFonts w:ascii="Times New Roman" w:hAnsi="Times New Roman" w:cs="Times New Roman"/>
        </w:rPr>
      </w:pPr>
      <w:r w:rsidRPr="00722DE8">
        <w:rPr>
          <w:rFonts w:ascii="Times New Roman" w:hAnsi="Times New Roman" w:cs="Times New Roman"/>
          <w:b/>
          <w:bCs/>
        </w:rPr>
        <w:t>MAPT.</w:t>
      </w:r>
      <w:r>
        <w:rPr>
          <w:rFonts w:ascii="Times New Roman" w:hAnsi="Times New Roman" w:cs="Times New Roman"/>
        </w:rPr>
        <w:t xml:space="preserve"> </w:t>
      </w:r>
      <w:r w:rsidR="006D6B25">
        <w:rPr>
          <w:rFonts w:ascii="Times New Roman" w:hAnsi="Times New Roman" w:cs="Times New Roman"/>
        </w:rPr>
        <w:t xml:space="preserve">MAPT was a 2008 RCT in France with </w:t>
      </w:r>
      <w:r w:rsidR="006D6B25" w:rsidRPr="006D6B25">
        <w:rPr>
          <w:rFonts w:ascii="Times New Roman" w:hAnsi="Times New Roman" w:cs="Times New Roman"/>
        </w:rPr>
        <w:t>1680</w:t>
      </w:r>
      <w:r w:rsidR="006D6B25">
        <w:rPr>
          <w:rFonts w:ascii="Times New Roman" w:hAnsi="Times New Roman" w:cs="Times New Roman"/>
        </w:rPr>
        <w:t xml:space="preserve"> participants. </w:t>
      </w:r>
      <w:r>
        <w:rPr>
          <w:rFonts w:ascii="Times New Roman" w:hAnsi="Times New Roman" w:cs="Times New Roman"/>
        </w:rPr>
        <w:t xml:space="preserve">Two of the arms included </w:t>
      </w:r>
      <w:r w:rsidRPr="00722DE8">
        <w:rPr>
          <w:rFonts w:ascii="Times New Roman" w:hAnsi="Times New Roman" w:cs="Times New Roman"/>
        </w:rPr>
        <w:t>omega</w:t>
      </w:r>
      <w:r>
        <w:rPr>
          <w:rFonts w:ascii="Times New Roman" w:hAnsi="Times New Roman" w:cs="Times New Roman"/>
        </w:rPr>
        <w:t>-</w:t>
      </w:r>
      <w:r w:rsidRPr="00722DE8">
        <w:rPr>
          <w:rFonts w:ascii="Times New Roman" w:hAnsi="Times New Roman" w:cs="Times New Roman"/>
        </w:rPr>
        <w:t>3 polyunsaturated fatty acids (800 mg docosahexaenoic acid and 225 mg eicosapentaenoic acid</w:t>
      </w:r>
      <w:r>
        <w:rPr>
          <w:rFonts w:ascii="Times New Roman" w:hAnsi="Times New Roman" w:cs="Times New Roman"/>
        </w:rPr>
        <w:t xml:space="preserve"> daily)</w:t>
      </w:r>
      <w:r w:rsidR="006D6B25">
        <w:rPr>
          <w:rFonts w:ascii="Times New Roman" w:hAnsi="Times New Roman" w:cs="Times New Roman"/>
        </w:rPr>
        <w:t xml:space="preserve"> coupled to the hypothesis that this </w:t>
      </w:r>
      <w:r w:rsidR="006D6B25" w:rsidRPr="00722DE8">
        <w:rPr>
          <w:rFonts w:ascii="Times New Roman" w:hAnsi="Times New Roman" w:cs="Times New Roman"/>
        </w:rPr>
        <w:t>omega</w:t>
      </w:r>
      <w:r w:rsidR="006D6B25">
        <w:rPr>
          <w:rFonts w:ascii="Times New Roman" w:hAnsi="Times New Roman" w:cs="Times New Roman"/>
        </w:rPr>
        <w:t>-</w:t>
      </w:r>
      <w:r w:rsidR="006D6B25" w:rsidRPr="00722DE8">
        <w:rPr>
          <w:rFonts w:ascii="Times New Roman" w:hAnsi="Times New Roman" w:cs="Times New Roman"/>
        </w:rPr>
        <w:t xml:space="preserve">3 </w:t>
      </w:r>
      <w:r w:rsidR="006D6B25">
        <w:rPr>
          <w:rFonts w:ascii="Times New Roman" w:hAnsi="Times New Roman" w:cs="Times New Roman"/>
        </w:rPr>
        <w:t>unimodal intervention had an independent causal effect</w:t>
      </w:r>
      <w:r>
        <w:rPr>
          <w:rFonts w:ascii="Times New Roman" w:hAnsi="Times New Roman" w:cs="Times New Roman"/>
        </w:rPr>
        <w:t xml:space="preserve">. The overall purpose of the MAPT trial was designed </w:t>
      </w:r>
      <w:r w:rsidR="00C95A74">
        <w:rPr>
          <w:rFonts w:ascii="Times New Roman" w:hAnsi="Times New Roman" w:cs="Times New Roman"/>
        </w:rPr>
        <w:t xml:space="preserve">in large part </w:t>
      </w:r>
      <w:r>
        <w:rPr>
          <w:rFonts w:ascii="Times New Roman" w:hAnsi="Times New Roman" w:cs="Times New Roman"/>
        </w:rPr>
        <w:t>to test this specific unimodal supplement intervention</w:t>
      </w:r>
      <w:r w:rsidR="00C95A74">
        <w:rPr>
          <w:rFonts w:ascii="Times New Roman" w:hAnsi="Times New Roman" w:cs="Times New Roman"/>
        </w:rPr>
        <w:t>. Therefore it is problematic to incorporate results from the MAPT trial into a review of prospective RCTs with pre-declared hypotheses that multidomain interventions improve AD. One conceivable retrospective approach to these data would be to combine the data from the two arms that included multidomain interventions and compare these data to the placebo arm. However, such an analysis is not reported in Andrieu et al. (2019). Raw p-values reported by Andrieu et al. for comparison of these two arms individually to placebo were reported as 0.047 and 0.090. The authors and some subsequent review articles have summarized these results as, “</w:t>
      </w:r>
      <w:r w:rsidR="00C95A74" w:rsidRPr="00C95A74">
        <w:rPr>
          <w:rFonts w:ascii="Times New Roman" w:hAnsi="Times New Roman" w:cs="Times New Roman"/>
        </w:rPr>
        <w:t>The multidomain intervention and polyunsaturated fatty acids, either alone or in combination, had no significant effects on cognitive decline over 3 years in elderly people with memory complaints.</w:t>
      </w:r>
      <w:r w:rsidR="00C95A74">
        <w:rPr>
          <w:rFonts w:ascii="Times New Roman" w:hAnsi="Times New Roman" w:cs="Times New Roman"/>
        </w:rPr>
        <w:t>” We believe this is too strong a statement, at least without further context. We therefore include results from MAPT in Table 1 and Table 2 as a separate row for each multidomain arm, with the addition of a footnote.</w:t>
      </w:r>
    </w:p>
    <w:p w14:paraId="644B1675" w14:textId="291AD820" w:rsidR="00EC19BD" w:rsidRPr="00EC19BD" w:rsidRDefault="00EC19BD" w:rsidP="00E84D1A">
      <w:pPr>
        <w:spacing w:line="480" w:lineRule="auto"/>
        <w:jc w:val="both"/>
        <w:rPr>
          <w:rFonts w:ascii="Times New Roman" w:hAnsi="Times New Roman" w:cs="Times New Roman"/>
        </w:rPr>
      </w:pPr>
      <w:r w:rsidRPr="00EC19BD">
        <w:rPr>
          <w:rFonts w:ascii="Times New Roman" w:hAnsi="Times New Roman" w:cs="Times New Roman"/>
          <w:b/>
          <w:bCs/>
        </w:rPr>
        <w:t xml:space="preserve">Meng (aka, Construction and effectiveness of multidomain dementia prevention program based on life-course model of modifiable risk factors to dementia). </w:t>
      </w:r>
      <w:r w:rsidRPr="001A4322">
        <w:rPr>
          <w:rFonts w:ascii="Times New Roman" w:hAnsi="Times New Roman" w:cs="Times New Roman"/>
        </w:rPr>
        <w:t xml:space="preserve">We refer to this trial </w:t>
      </w:r>
      <w:r>
        <w:rPr>
          <w:rFonts w:ascii="Times New Roman" w:hAnsi="Times New Roman" w:cs="Times New Roman"/>
        </w:rPr>
        <w:t>(</w:t>
      </w:r>
      <w:r w:rsidRPr="001A4322">
        <w:rPr>
          <w:rFonts w:ascii="Times New Roman" w:hAnsi="Times New Roman" w:cs="Times New Roman"/>
        </w:rPr>
        <w:t xml:space="preserve">Chinese clinical trial registration number </w:t>
      </w:r>
      <w:r w:rsidRPr="00EC19BD">
        <w:rPr>
          <w:rFonts w:ascii="Times New Roman" w:hAnsi="Times New Roman" w:cs="Times New Roman"/>
        </w:rPr>
        <w:t>ChiCTR2100053417</w:t>
      </w:r>
      <w:r>
        <w:rPr>
          <w:rFonts w:ascii="Times New Roman" w:hAnsi="Times New Roman" w:cs="Times New Roman"/>
        </w:rPr>
        <w:t xml:space="preserve">) </w:t>
      </w:r>
      <w:r w:rsidRPr="001A4322">
        <w:rPr>
          <w:rFonts w:ascii="Times New Roman" w:hAnsi="Times New Roman" w:cs="Times New Roman"/>
        </w:rPr>
        <w:t>with the shorthand “</w:t>
      </w:r>
      <w:r>
        <w:rPr>
          <w:rFonts w:ascii="Times New Roman" w:hAnsi="Times New Roman" w:cs="Times New Roman"/>
        </w:rPr>
        <w:t>Meng</w:t>
      </w:r>
      <w:r w:rsidRPr="001A4322">
        <w:rPr>
          <w:rFonts w:ascii="Times New Roman" w:hAnsi="Times New Roman" w:cs="Times New Roman"/>
        </w:rPr>
        <w:t xml:space="preserve">”, the </w:t>
      </w:r>
      <w:r w:rsidRPr="001A4322">
        <w:rPr>
          <w:rFonts w:ascii="Times New Roman" w:hAnsi="Times New Roman" w:cs="Times New Roman"/>
        </w:rPr>
        <w:lastRenderedPageBreak/>
        <w:t>first author of the 202</w:t>
      </w:r>
      <w:r>
        <w:rPr>
          <w:rFonts w:ascii="Times New Roman" w:hAnsi="Times New Roman" w:cs="Times New Roman"/>
        </w:rPr>
        <w:t>4</w:t>
      </w:r>
      <w:r w:rsidRPr="001A4322">
        <w:rPr>
          <w:rFonts w:ascii="Times New Roman" w:hAnsi="Times New Roman" w:cs="Times New Roman"/>
        </w:rPr>
        <w:t xml:space="preserve"> results paper (</w:t>
      </w:r>
      <w:r>
        <w:rPr>
          <w:rFonts w:ascii="Times New Roman" w:hAnsi="Times New Roman" w:cs="Times New Roman"/>
        </w:rPr>
        <w:t>Meng</w:t>
      </w:r>
      <w:r w:rsidRPr="001A4322">
        <w:rPr>
          <w:rFonts w:ascii="Times New Roman" w:hAnsi="Times New Roman" w:cs="Times New Roman"/>
        </w:rPr>
        <w:t xml:space="preserve"> et al., 202</w:t>
      </w:r>
      <w:r>
        <w:rPr>
          <w:rFonts w:ascii="Times New Roman" w:hAnsi="Times New Roman" w:cs="Times New Roman"/>
        </w:rPr>
        <w:t>4</w:t>
      </w:r>
      <w:r w:rsidRPr="001A4322">
        <w:rPr>
          <w:rFonts w:ascii="Times New Roman" w:hAnsi="Times New Roman" w:cs="Times New Roman"/>
        </w:rPr>
        <w:t xml:space="preserve">), consistent with the nomenclature of Soldevila-Domenech </w:t>
      </w:r>
      <w:r>
        <w:rPr>
          <w:rFonts w:ascii="Times New Roman" w:hAnsi="Times New Roman" w:cs="Times New Roman"/>
        </w:rPr>
        <w:t>et al. (</w:t>
      </w:r>
      <w:r w:rsidRPr="001A4322">
        <w:rPr>
          <w:rFonts w:ascii="Times New Roman" w:hAnsi="Times New Roman" w:cs="Times New Roman"/>
        </w:rPr>
        <w:t>2025</w:t>
      </w:r>
      <w:r>
        <w:rPr>
          <w:rFonts w:ascii="Times New Roman" w:hAnsi="Times New Roman" w:cs="Times New Roman"/>
        </w:rPr>
        <w:t xml:space="preserve">).  </w:t>
      </w:r>
      <w:r w:rsidRPr="00EC19BD">
        <w:rPr>
          <w:rFonts w:ascii="Times New Roman" w:hAnsi="Times New Roman" w:cs="Times New Roman"/>
        </w:rPr>
        <w:t>This RCT focused on multidomain interventions for healthy older adults.</w:t>
      </w:r>
    </w:p>
    <w:p w14:paraId="280F1763" w14:textId="660DC168" w:rsidR="00F515AC" w:rsidRDefault="00F515AC" w:rsidP="00E84D1A">
      <w:pPr>
        <w:spacing w:line="480" w:lineRule="auto"/>
        <w:jc w:val="both"/>
        <w:rPr>
          <w:rFonts w:ascii="Times New Roman" w:hAnsi="Times New Roman"/>
        </w:rPr>
      </w:pPr>
      <w:r w:rsidRPr="00F515AC">
        <w:rPr>
          <w:rFonts w:ascii="Times New Roman" w:hAnsi="Times New Roman" w:cs="Times New Roman"/>
          <w:b/>
          <w:bCs/>
        </w:rPr>
        <w:t>MIND</w:t>
      </w:r>
      <w:r>
        <w:rPr>
          <w:rFonts w:ascii="Times New Roman" w:hAnsi="Times New Roman" w:cs="Times New Roman"/>
          <w:b/>
          <w:bCs/>
        </w:rPr>
        <w:t>-</w:t>
      </w:r>
      <w:r w:rsidRPr="00F515AC">
        <w:rPr>
          <w:rFonts w:ascii="Times New Roman" w:hAnsi="Times New Roman" w:cs="Times New Roman"/>
          <w:b/>
          <w:bCs/>
        </w:rPr>
        <w:t>AD</w:t>
      </w:r>
      <w:r w:rsidRPr="00F515AC">
        <w:rPr>
          <w:rFonts w:ascii="Times New Roman" w:hAnsi="Times New Roman" w:cs="Times New Roman"/>
          <w:b/>
          <w:bCs/>
          <w:vertAlign w:val="subscript"/>
        </w:rPr>
        <w:t>mini</w:t>
      </w:r>
      <w:r w:rsidRPr="00F515AC">
        <w:rPr>
          <w:rFonts w:ascii="Times New Roman" w:hAnsi="Times New Roman" w:cs="Times New Roman"/>
          <w:b/>
          <w:bCs/>
        </w:rPr>
        <w:t>.</w:t>
      </w:r>
      <w:r>
        <w:rPr>
          <w:rFonts w:ascii="Times New Roman" w:hAnsi="Times New Roman" w:cs="Times New Roman"/>
        </w:rPr>
        <w:t xml:space="preserve"> </w:t>
      </w:r>
      <w:r w:rsidRPr="00F515AC">
        <w:rPr>
          <w:rFonts w:ascii="Times New Roman" w:hAnsi="Times New Roman" w:cs="Times New Roman"/>
        </w:rPr>
        <w:t>MIND‑AD mini</w:t>
      </w:r>
      <w:r>
        <w:rPr>
          <w:rFonts w:ascii="Times New Roman" w:hAnsi="Times New Roman" w:cs="Times New Roman"/>
        </w:rPr>
        <w:t xml:space="preserve"> </w:t>
      </w:r>
      <w:r w:rsidRPr="00F515AC">
        <w:rPr>
          <w:rFonts w:ascii="Times New Roman" w:hAnsi="Times New Roman" w:cs="Times New Roman"/>
        </w:rPr>
        <w:t xml:space="preserve">was a </w:t>
      </w:r>
      <w:r>
        <w:rPr>
          <w:rFonts w:ascii="Times New Roman" w:hAnsi="Times New Roman" w:cs="Times New Roman"/>
        </w:rPr>
        <w:t xml:space="preserve">2017 </w:t>
      </w:r>
      <w:r w:rsidRPr="00F515AC">
        <w:rPr>
          <w:rFonts w:ascii="Times New Roman" w:hAnsi="Times New Roman" w:cs="Times New Roman"/>
        </w:rPr>
        <w:t xml:space="preserve">6‑month </w:t>
      </w:r>
      <w:r>
        <w:rPr>
          <w:rFonts w:ascii="Times New Roman" w:hAnsi="Times New Roman" w:cs="Times New Roman"/>
        </w:rPr>
        <w:t>European</w:t>
      </w:r>
      <w:r w:rsidRPr="00F515AC">
        <w:rPr>
          <w:rFonts w:ascii="Times New Roman" w:hAnsi="Times New Roman" w:cs="Times New Roman"/>
        </w:rPr>
        <w:t xml:space="preserve"> </w:t>
      </w:r>
      <w:r w:rsidR="00DD6A9B">
        <w:rPr>
          <w:rFonts w:ascii="Times New Roman" w:hAnsi="Times New Roman" w:cs="Times New Roman"/>
        </w:rPr>
        <w:t xml:space="preserve">RCT </w:t>
      </w:r>
      <w:r w:rsidRPr="00F515AC">
        <w:rPr>
          <w:rFonts w:ascii="Times New Roman" w:hAnsi="Times New Roman" w:cs="Times New Roman"/>
        </w:rPr>
        <w:t>(</w:t>
      </w:r>
      <w:r w:rsidR="00DD6A9B" w:rsidRPr="00DD6A9B">
        <w:rPr>
          <w:rFonts w:ascii="Times New Roman" w:hAnsi="Times New Roman" w:cs="Times New Roman"/>
        </w:rPr>
        <w:t>Thunborg et al., 2024</w:t>
      </w:r>
      <w:r w:rsidRPr="00F515AC">
        <w:rPr>
          <w:rFonts w:ascii="Times New Roman" w:hAnsi="Times New Roman" w:cs="Times New Roman"/>
        </w:rPr>
        <w:t xml:space="preserve">). </w:t>
      </w:r>
      <w:r>
        <w:rPr>
          <w:rFonts w:ascii="Times New Roman" w:hAnsi="Times New Roman" w:cs="Times New Roman"/>
        </w:rPr>
        <w:t>The 93 p</w:t>
      </w:r>
      <w:r w:rsidRPr="00F515AC">
        <w:rPr>
          <w:rFonts w:ascii="Times New Roman" w:hAnsi="Times New Roman" w:cs="Times New Roman"/>
        </w:rPr>
        <w:t xml:space="preserve">articipants were 60–85 years old </w:t>
      </w:r>
      <w:r>
        <w:rPr>
          <w:rFonts w:ascii="Times New Roman" w:hAnsi="Times New Roman" w:cs="Times New Roman"/>
        </w:rPr>
        <w:t xml:space="preserve">and </w:t>
      </w:r>
      <w:r w:rsidRPr="00F515AC">
        <w:rPr>
          <w:rFonts w:ascii="Times New Roman" w:hAnsi="Times New Roman" w:cs="Times New Roman"/>
        </w:rPr>
        <w:t xml:space="preserve">had </w:t>
      </w:r>
      <w:r>
        <w:rPr>
          <w:rFonts w:ascii="Times New Roman" w:hAnsi="Times New Roman" w:cs="Times New Roman"/>
        </w:rPr>
        <w:t>early</w:t>
      </w:r>
      <w:r w:rsidRPr="00F515AC">
        <w:rPr>
          <w:rFonts w:ascii="Times New Roman" w:hAnsi="Times New Roman" w:cs="Times New Roman"/>
        </w:rPr>
        <w:t xml:space="preserve"> AD</w:t>
      </w:r>
      <w:r w:rsidR="000A5393">
        <w:rPr>
          <w:rFonts w:ascii="Times New Roman" w:hAnsi="Times New Roman" w:cs="Times New Roman"/>
        </w:rPr>
        <w:t xml:space="preserve"> (baseline FAST ~3)</w:t>
      </w:r>
      <w:r>
        <w:rPr>
          <w:rFonts w:ascii="Times New Roman" w:hAnsi="Times New Roman" w:cs="Times New Roman"/>
        </w:rPr>
        <w:t xml:space="preserve">. Primary outcomes focused on retention. </w:t>
      </w:r>
      <w:r>
        <w:rPr>
          <w:rFonts w:ascii="Times New Roman" w:hAnsi="Times New Roman"/>
        </w:rPr>
        <w:t>Cognitive outcome measures including the CDR-SB were included only as secondary measures. The r</w:t>
      </w:r>
      <w:r w:rsidRPr="00F515AC">
        <w:rPr>
          <w:rFonts w:ascii="Times New Roman" w:hAnsi="Times New Roman"/>
        </w:rPr>
        <w:t>elative risk of cognitive decline</w:t>
      </w:r>
      <w:r>
        <w:rPr>
          <w:rFonts w:ascii="Times New Roman" w:hAnsi="Times New Roman"/>
        </w:rPr>
        <w:t xml:space="preserve"> assessed by the CDR-SB</w:t>
      </w:r>
      <w:r w:rsidRPr="00F515AC">
        <w:rPr>
          <w:rFonts w:ascii="Times New Roman" w:hAnsi="Times New Roman"/>
        </w:rPr>
        <w:t xml:space="preserve"> was reported and was significant for only one of two multimodal arms</w:t>
      </w:r>
      <w:r>
        <w:rPr>
          <w:rFonts w:ascii="Times New Roman" w:hAnsi="Times New Roman"/>
        </w:rPr>
        <w:t xml:space="preserve"> (p =~ 0.025), showing a relative improvement in the intervention arm of ~25% (effect size was difficult to estimate from reported data)</w:t>
      </w:r>
      <w:r w:rsidRPr="00F515AC">
        <w:rPr>
          <w:rFonts w:ascii="Times New Roman" w:hAnsi="Times New Roman"/>
        </w:rPr>
        <w:t>.</w:t>
      </w:r>
    </w:p>
    <w:p w14:paraId="6CA5C6BD" w14:textId="5D54E3D9" w:rsidR="00EE367D" w:rsidRDefault="00EE367D" w:rsidP="00E84D1A">
      <w:pPr>
        <w:spacing w:line="480" w:lineRule="auto"/>
        <w:jc w:val="both"/>
        <w:rPr>
          <w:rFonts w:ascii="Times New Roman" w:hAnsi="Times New Roman" w:cs="Times New Roman"/>
        </w:rPr>
      </w:pPr>
      <w:r w:rsidRPr="00EE367D">
        <w:rPr>
          <w:rFonts w:ascii="Times New Roman" w:hAnsi="Times New Roman"/>
          <w:b/>
          <w:bCs/>
        </w:rPr>
        <w:t>Park.</w:t>
      </w:r>
      <w:r>
        <w:rPr>
          <w:rFonts w:ascii="Times New Roman" w:hAnsi="Times New Roman"/>
        </w:rPr>
        <w:t xml:space="preserve"> </w:t>
      </w:r>
      <w:r w:rsidRPr="001A4322">
        <w:rPr>
          <w:rFonts w:ascii="Times New Roman" w:hAnsi="Times New Roman" w:cs="Times New Roman"/>
        </w:rPr>
        <w:t>We refer to this trial</w:t>
      </w:r>
      <w:r>
        <w:rPr>
          <w:rFonts w:ascii="Times New Roman" w:hAnsi="Times New Roman" w:cs="Times New Roman"/>
        </w:rPr>
        <w:t xml:space="preserve"> </w:t>
      </w:r>
      <w:r w:rsidRPr="001A4322">
        <w:rPr>
          <w:rFonts w:ascii="Times New Roman" w:hAnsi="Times New Roman" w:cs="Times New Roman"/>
        </w:rPr>
        <w:t>with the shorthand “</w:t>
      </w:r>
      <w:r>
        <w:rPr>
          <w:rFonts w:ascii="Times New Roman" w:hAnsi="Times New Roman" w:cs="Times New Roman"/>
        </w:rPr>
        <w:t>Park</w:t>
      </w:r>
      <w:r w:rsidRPr="001A4322">
        <w:rPr>
          <w:rFonts w:ascii="Times New Roman" w:hAnsi="Times New Roman" w:cs="Times New Roman"/>
        </w:rPr>
        <w:t>”, the first author of the 20</w:t>
      </w:r>
      <w:r>
        <w:rPr>
          <w:rFonts w:ascii="Times New Roman" w:hAnsi="Times New Roman" w:cs="Times New Roman"/>
        </w:rPr>
        <w:t>19</w:t>
      </w:r>
      <w:r w:rsidRPr="001A4322">
        <w:rPr>
          <w:rFonts w:ascii="Times New Roman" w:hAnsi="Times New Roman" w:cs="Times New Roman"/>
        </w:rPr>
        <w:t xml:space="preserve"> results paper (</w:t>
      </w:r>
      <w:r>
        <w:rPr>
          <w:rFonts w:ascii="Times New Roman" w:hAnsi="Times New Roman" w:cs="Times New Roman"/>
        </w:rPr>
        <w:t>Park</w:t>
      </w:r>
      <w:r w:rsidRPr="001A4322">
        <w:rPr>
          <w:rFonts w:ascii="Times New Roman" w:hAnsi="Times New Roman" w:cs="Times New Roman"/>
        </w:rPr>
        <w:t xml:space="preserve"> et al., 20</w:t>
      </w:r>
      <w:r>
        <w:rPr>
          <w:rFonts w:ascii="Times New Roman" w:hAnsi="Times New Roman" w:cs="Times New Roman"/>
        </w:rPr>
        <w:t>19</w:t>
      </w:r>
      <w:r w:rsidRPr="001A4322">
        <w:rPr>
          <w:rFonts w:ascii="Times New Roman" w:hAnsi="Times New Roman" w:cs="Times New Roman"/>
        </w:rPr>
        <w:t xml:space="preserve">), consistent with the nomenclature of Soldevila-Domenech </w:t>
      </w:r>
      <w:r>
        <w:rPr>
          <w:rFonts w:ascii="Times New Roman" w:hAnsi="Times New Roman" w:cs="Times New Roman"/>
        </w:rPr>
        <w:t>et al. (</w:t>
      </w:r>
      <w:r w:rsidRPr="001A4322">
        <w:rPr>
          <w:rFonts w:ascii="Times New Roman" w:hAnsi="Times New Roman" w:cs="Times New Roman"/>
        </w:rPr>
        <w:t>2025</w:t>
      </w:r>
      <w:r>
        <w:rPr>
          <w:rFonts w:ascii="Times New Roman" w:hAnsi="Times New Roman" w:cs="Times New Roman"/>
        </w:rPr>
        <w:t xml:space="preserve">).  </w:t>
      </w:r>
      <w:r w:rsidRPr="00EC19BD">
        <w:rPr>
          <w:rFonts w:ascii="Times New Roman" w:hAnsi="Times New Roman" w:cs="Times New Roman"/>
        </w:rPr>
        <w:t>This RCT focused on multidomain interventions for healthy older adults</w:t>
      </w:r>
      <w:r>
        <w:rPr>
          <w:rFonts w:ascii="Times New Roman" w:hAnsi="Times New Roman" w:cs="Times New Roman"/>
        </w:rPr>
        <w:t xml:space="preserve"> (</w:t>
      </w:r>
      <w:r w:rsidRPr="00EE367D">
        <w:rPr>
          <w:rFonts w:ascii="Times New Roman" w:hAnsi="Times New Roman" w:cs="Times New Roman"/>
        </w:rPr>
        <w:t>Mini-Mental State Examination (MMSE) of &gt;–1.5 SD</w:t>
      </w:r>
      <w:r>
        <w:rPr>
          <w:rFonts w:ascii="Times New Roman" w:hAnsi="Times New Roman" w:cs="Times New Roman"/>
        </w:rPr>
        <w:t>)</w:t>
      </w:r>
      <w:r w:rsidRPr="00EC19BD">
        <w:rPr>
          <w:rFonts w:ascii="Times New Roman" w:hAnsi="Times New Roman" w:cs="Times New Roman"/>
        </w:rPr>
        <w:t>.</w:t>
      </w:r>
    </w:p>
    <w:p w14:paraId="315876CE" w14:textId="20418829" w:rsidR="007A3D93" w:rsidRPr="007A3D93" w:rsidRDefault="007A3D93" w:rsidP="00E84D1A">
      <w:pPr>
        <w:spacing w:line="480" w:lineRule="auto"/>
        <w:jc w:val="both"/>
        <w:rPr>
          <w:rFonts w:ascii="Times New Roman" w:hAnsi="Times New Roman" w:cs="Times New Roman"/>
        </w:rPr>
      </w:pPr>
      <w:r w:rsidRPr="005C58F8">
        <w:rPr>
          <w:rFonts w:ascii="Times New Roman" w:hAnsi="Times New Roman" w:cs="Times New Roman"/>
          <w:b/>
          <w:bCs/>
        </w:rPr>
        <w:t>PASSWORD Study – Promoting Safe Walking.</w:t>
      </w:r>
      <w:r>
        <w:rPr>
          <w:rFonts w:ascii="Times New Roman" w:hAnsi="Times New Roman" w:cs="Times New Roman"/>
        </w:rPr>
        <w:t xml:space="preserve"> The primary endpoint of PASSWORD (</w:t>
      </w:r>
      <w:r w:rsidRPr="005C58F8">
        <w:rPr>
          <w:rFonts w:ascii="Times New Roman" w:hAnsi="Times New Roman" w:cs="Times New Roman"/>
        </w:rPr>
        <w:t>www.isrctn.com/ISRCTN52388040</w:t>
      </w:r>
      <w:r>
        <w:rPr>
          <w:rFonts w:ascii="Times New Roman" w:hAnsi="Times New Roman" w:cs="Times New Roman"/>
        </w:rPr>
        <w:t>) was gait speed. Cognitive training and exercise were used in this multidomain study, and cognitive outcomes such as STROOP were measured. Healthy older adults were recruited (not specifically AD). Benefit on cognitive outcomes was observed from a synergistic combination of interventions (</w:t>
      </w:r>
      <w:r w:rsidRPr="005C58F8">
        <w:rPr>
          <w:rFonts w:ascii="Times New Roman" w:hAnsi="Times New Roman" w:cs="Times New Roman"/>
        </w:rPr>
        <w:t>Sipilä</w:t>
      </w:r>
      <w:r>
        <w:rPr>
          <w:rFonts w:ascii="Times New Roman" w:hAnsi="Times New Roman" w:cs="Times New Roman"/>
        </w:rPr>
        <w:t xml:space="preserve"> et al., 2021).</w:t>
      </w:r>
    </w:p>
    <w:p w14:paraId="5FC06EED" w14:textId="77777777" w:rsidR="00E84D1A" w:rsidRPr="000D69BB"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PreDIVA.</w:t>
      </w:r>
      <w:r w:rsidRPr="000D69BB">
        <w:rPr>
          <w:rFonts w:ascii="Times New Roman" w:hAnsi="Times New Roman" w:cs="Times New Roman"/>
        </w:rPr>
        <w:t xml:space="preserve"> Prevention of Dementia by Intensive Vascular Care (PreDIVA) was large (3526 participants), multidomain lifestyle prevention trial conducted in the Netherlands (Moll van Charante et al., 2016). It focused on dementia outcomes but without explicit mention of AD. </w:t>
      </w:r>
      <w:r w:rsidRPr="000D69BB">
        <w:rPr>
          <w:rFonts w:ascii="Times New Roman" w:hAnsi="Times New Roman" w:cs="Times New Roman"/>
        </w:rPr>
        <w:lastRenderedPageBreak/>
        <w:t>Primary outcomes were cumulative incidence of dementia and disability score (Academic Medical Center Linear Disability Score [ALDS]) at 6 years of follow-up. The investigators use the term ‘multidomain’ to describe a multimodal largely cardiovascular intervention, but that also targeted metabolic domains: participants were randomized to either a multimodal intervention that targeted vascular risk factors (smoking, unhealthy diet, physical inactivity, overweight, hypertension, dyslipidemia, and diabetes) by a practice nurse or to usual care. According to the investigators, the PreDIVA intervention did not result in a reduced incidence of all-cause dementia. The investigators speculate that their study was underpowered due to low baseline cardiovascular risks and high standards of usual care—both with the effect of creating a control group not likely to diverge from an intervention arm, even if the intervention was effective.</w:t>
      </w:r>
    </w:p>
    <w:p w14:paraId="746C611F" w14:textId="77777777"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 xml:space="preserve">Reducing Dementia Risk </w:t>
      </w:r>
      <w:r>
        <w:rPr>
          <w:rFonts w:ascii="Times New Roman" w:hAnsi="Times New Roman" w:cs="Times New Roman"/>
          <w:b/>
          <w:bCs/>
        </w:rPr>
        <w:t>w</w:t>
      </w:r>
      <w:r w:rsidRPr="000D69BB">
        <w:rPr>
          <w:rFonts w:ascii="Times New Roman" w:hAnsi="Times New Roman" w:cs="Times New Roman"/>
          <w:b/>
          <w:bCs/>
        </w:rPr>
        <w:t xml:space="preserve">ith Digital Health Coaching (DC-MARVEL). </w:t>
      </w:r>
      <w:r w:rsidRPr="000D69BB">
        <w:rPr>
          <w:rFonts w:ascii="Times New Roman" w:hAnsi="Times New Roman" w:cs="Times New Roman"/>
        </w:rPr>
        <w:t>DC-MARVEL is a 2-year randomized controlled trial on dementia prevention. The purpose of this study is to determine the effect of a digital cognitive health program on dementia risk, cognitive function, and general health outcomes in middle age to older adults compared to a control group that receives health education. Results are pending (NCT04559789).</w:t>
      </w:r>
    </w:p>
    <w:p w14:paraId="19C8748C" w14:textId="4E965885" w:rsidR="0084654C" w:rsidRPr="000D69BB" w:rsidRDefault="0084654C" w:rsidP="00E84D1A">
      <w:pPr>
        <w:spacing w:line="480" w:lineRule="auto"/>
        <w:jc w:val="both"/>
        <w:rPr>
          <w:rFonts w:ascii="Times New Roman" w:hAnsi="Times New Roman" w:cs="Times New Roman"/>
        </w:rPr>
      </w:pPr>
      <w:r w:rsidRPr="0084654C">
        <w:rPr>
          <w:rFonts w:ascii="Times New Roman" w:hAnsi="Times New Roman" w:cs="Times New Roman"/>
          <w:b/>
          <w:bCs/>
        </w:rPr>
        <w:t>Singapore Frailty Intervention Trial (SFIT).</w:t>
      </w:r>
      <w:r>
        <w:rPr>
          <w:rFonts w:ascii="Times New Roman" w:hAnsi="Times New Roman" w:cs="Times New Roman"/>
        </w:rPr>
        <w:t xml:space="preserve"> SFIT was a 6-month 5-arm RCT in Singapore</w:t>
      </w:r>
      <w:r w:rsidR="00163B42">
        <w:rPr>
          <w:rFonts w:ascii="Times New Roman" w:hAnsi="Times New Roman" w:cs="Times New Roman"/>
        </w:rPr>
        <w:t xml:space="preserve"> in 2009</w:t>
      </w:r>
      <w:r>
        <w:rPr>
          <w:rFonts w:ascii="Times New Roman" w:hAnsi="Times New Roman" w:cs="Times New Roman"/>
        </w:rPr>
        <w:t xml:space="preserve">. One of these arms was multidomain (N=49), one was control (N=50) for participants </w:t>
      </w:r>
      <w:r w:rsidRPr="0084654C">
        <w:rPr>
          <w:rFonts w:ascii="Times New Roman" w:hAnsi="Times New Roman" w:cs="Times New Roman"/>
        </w:rPr>
        <w:t>&gt;64 years old</w:t>
      </w:r>
      <w:r>
        <w:rPr>
          <w:rFonts w:ascii="Times New Roman" w:hAnsi="Times New Roman" w:cs="Times New Roman"/>
        </w:rPr>
        <w:t>. Participants were cognitively normal (</w:t>
      </w:r>
      <w:r w:rsidRPr="0084654C">
        <w:rPr>
          <w:rFonts w:ascii="Times New Roman" w:hAnsi="Times New Roman" w:cs="Times New Roman"/>
        </w:rPr>
        <w:t xml:space="preserve">Mini-Mental State Examination </w:t>
      </w:r>
      <w:r>
        <w:rPr>
          <w:rFonts w:ascii="Times New Roman" w:hAnsi="Times New Roman" w:cs="Times New Roman"/>
        </w:rPr>
        <w:t>&gt;</w:t>
      </w:r>
      <w:r w:rsidRPr="0084654C">
        <w:rPr>
          <w:rFonts w:ascii="Times New Roman" w:hAnsi="Times New Roman" w:cs="Times New Roman"/>
        </w:rPr>
        <w:t>23</w:t>
      </w:r>
      <w:r>
        <w:rPr>
          <w:rFonts w:ascii="Times New Roman" w:hAnsi="Times New Roman" w:cs="Times New Roman"/>
        </w:rPr>
        <w:t>). Primary outcome was frailty (Ng et al., 2015). An exploratory analysis of cognitive function was also reported (Ng et al., 2018).</w:t>
      </w:r>
    </w:p>
    <w:p w14:paraId="7CD6D918" w14:textId="64CE94F1"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 xml:space="preserve">SINgapore GERiatric Intervention Study to Reduce Cognitive Decline and Physical Frailty (SINGER). </w:t>
      </w:r>
      <w:r w:rsidRPr="000D69BB">
        <w:rPr>
          <w:rFonts w:ascii="Times New Roman" w:hAnsi="Times New Roman" w:cs="Times New Roman"/>
        </w:rPr>
        <w:t>The SINGER Trial is a FINGER-inspired trial based in Singapore</w:t>
      </w:r>
      <w:r w:rsidR="00C81385">
        <w:rPr>
          <w:rFonts w:ascii="Times New Roman" w:hAnsi="Times New Roman" w:cs="Times New Roman"/>
        </w:rPr>
        <w:t xml:space="preserve"> (Xu et al., 2022)</w:t>
      </w:r>
      <w:r w:rsidRPr="000D69BB">
        <w:rPr>
          <w:rFonts w:ascii="Times New Roman" w:hAnsi="Times New Roman" w:cs="Times New Roman"/>
        </w:rPr>
        <w:t>. Results are pending (</w:t>
      </w:r>
      <w:r w:rsidRPr="000D69BB">
        <w:rPr>
          <w:rFonts w:ascii="Times New Roman" w:hAnsi="Times New Roman" w:cs="Times New Roman"/>
          <w:color w:val="1B1B1B"/>
          <w:shd w:val="clear" w:color="auto" w:fill="FFFFFF"/>
        </w:rPr>
        <w:t>NCT05007353</w:t>
      </w:r>
      <w:r w:rsidRPr="000D69BB">
        <w:rPr>
          <w:rFonts w:ascii="Times New Roman" w:hAnsi="Times New Roman" w:cs="Times New Roman"/>
        </w:rPr>
        <w:t>).</w:t>
      </w:r>
    </w:p>
    <w:p w14:paraId="000C6EF4" w14:textId="6532C678" w:rsidR="00FD25E7" w:rsidRDefault="00FD25E7" w:rsidP="00FD25E7">
      <w:pPr>
        <w:spacing w:line="480" w:lineRule="auto"/>
        <w:jc w:val="both"/>
        <w:rPr>
          <w:rFonts w:ascii="Times New Roman" w:hAnsi="Times New Roman" w:cs="Times New Roman"/>
        </w:rPr>
      </w:pPr>
      <w:r w:rsidRPr="00FD25E7">
        <w:rPr>
          <w:rFonts w:ascii="Times New Roman" w:hAnsi="Times New Roman" w:cs="Times New Roman"/>
          <w:b/>
          <w:bCs/>
        </w:rPr>
        <w:lastRenderedPageBreak/>
        <w:t>SINGER-pilot.</w:t>
      </w:r>
      <w:r>
        <w:rPr>
          <w:rFonts w:ascii="Times New Roman" w:hAnsi="Times New Roman" w:cs="Times New Roman"/>
        </w:rPr>
        <w:t xml:space="preserve"> SINGER-pilot (</w:t>
      </w:r>
      <w:r w:rsidRPr="00FD25E7">
        <w:rPr>
          <w:rFonts w:ascii="Times New Roman" w:hAnsi="Times New Roman" w:cs="Times New Roman"/>
        </w:rPr>
        <w:t>Chew</w:t>
      </w:r>
      <w:r>
        <w:rPr>
          <w:rFonts w:ascii="Times New Roman" w:hAnsi="Times New Roman" w:cs="Times New Roman"/>
        </w:rPr>
        <w:t xml:space="preserve"> et al., 2021) was a 6-month 2018 pilot study for the SINGER Trial . It was a 2-arm RCT with 70 participants &gt;64 years old. Both arms were multidomain (no control arm). Inclusion criteria included </w:t>
      </w:r>
      <w:r w:rsidRPr="00FD25E7">
        <w:rPr>
          <w:rFonts w:ascii="Times New Roman" w:hAnsi="Times New Roman" w:cs="Times New Roman"/>
        </w:rPr>
        <w:t>mild-to-moderate frailty as defined by a Physical Performance Test (PPT) score of 17 to 32.</w:t>
      </w:r>
      <w:r>
        <w:rPr>
          <w:rFonts w:ascii="Times New Roman" w:hAnsi="Times New Roman" w:cs="Times New Roman"/>
        </w:rPr>
        <w:t xml:space="preserve"> Primary</w:t>
      </w:r>
      <w:r w:rsidRPr="00FD25E7">
        <w:rPr>
          <w:rFonts w:ascii="Times New Roman" w:hAnsi="Times New Roman" w:cs="Times New Roman"/>
        </w:rPr>
        <w:t xml:space="preserve"> outcome measures were related to logistics and feasibility.</w:t>
      </w:r>
    </w:p>
    <w:p w14:paraId="12A64DA5" w14:textId="473DB1ED" w:rsidR="00BD4428" w:rsidRDefault="00BD4428" w:rsidP="00E84D1A">
      <w:pPr>
        <w:spacing w:line="480" w:lineRule="auto"/>
        <w:jc w:val="both"/>
        <w:rPr>
          <w:rFonts w:ascii="Times New Roman" w:hAnsi="Times New Roman" w:cs="Times New Roman"/>
        </w:rPr>
      </w:pPr>
      <w:r w:rsidRPr="00BD4428">
        <w:rPr>
          <w:rFonts w:ascii="Times New Roman" w:hAnsi="Times New Roman" w:cs="Times New Roman"/>
          <w:b/>
          <w:bCs/>
        </w:rPr>
        <w:t>StayFitLonger.</w:t>
      </w:r>
      <w:r>
        <w:rPr>
          <w:rFonts w:ascii="Times New Roman" w:hAnsi="Times New Roman" w:cs="Times New Roman"/>
        </w:rPr>
        <w:t xml:space="preserve"> StayFitLonger was a </w:t>
      </w:r>
      <w:r w:rsidR="0031575C">
        <w:rPr>
          <w:rFonts w:ascii="Times New Roman" w:hAnsi="Times New Roman" w:cs="Times New Roman"/>
        </w:rPr>
        <w:t xml:space="preserve">26 week </w:t>
      </w:r>
      <w:r>
        <w:rPr>
          <w:rFonts w:ascii="Times New Roman" w:hAnsi="Times New Roman" w:cs="Times New Roman"/>
        </w:rPr>
        <w:t>multinational RCT that tested a multidomain intervention on cognitively normal (</w:t>
      </w:r>
      <w:r w:rsidRPr="00BD4428">
        <w:rPr>
          <w:rFonts w:ascii="Times New Roman" w:hAnsi="Times New Roman" w:cs="Times New Roman"/>
        </w:rPr>
        <w:t>≥ 26 on the Montreal Cognitive Assessment)</w:t>
      </w:r>
      <w:r>
        <w:rPr>
          <w:rFonts w:ascii="Times New Roman" w:hAnsi="Times New Roman" w:cs="Times New Roman"/>
        </w:rPr>
        <w:t xml:space="preserve"> older adults (</w:t>
      </w:r>
      <w:r w:rsidRPr="00BD4428">
        <w:rPr>
          <w:rFonts w:ascii="Times New Roman" w:hAnsi="Times New Roman" w:cs="Times New Roman"/>
        </w:rPr>
        <w:t>Belleville</w:t>
      </w:r>
      <w:r>
        <w:rPr>
          <w:rFonts w:ascii="Times New Roman" w:hAnsi="Times New Roman" w:cs="Times New Roman"/>
        </w:rPr>
        <w:t xml:space="preserve"> et al., 2023).</w:t>
      </w:r>
      <w:r w:rsidR="0031575C">
        <w:rPr>
          <w:rFonts w:ascii="Times New Roman" w:hAnsi="Times New Roman" w:cs="Times New Roman"/>
        </w:rPr>
        <w:t xml:space="preserve"> Participants receiving the multidomain intervention showed improvement in global cognition.</w:t>
      </w:r>
    </w:p>
    <w:p w14:paraId="7F8884F4" w14:textId="0031F01A" w:rsidR="00D8624F" w:rsidRDefault="00D8624F" w:rsidP="00E84D1A">
      <w:pPr>
        <w:spacing w:line="480" w:lineRule="auto"/>
        <w:jc w:val="both"/>
        <w:rPr>
          <w:rFonts w:ascii="Times New Roman" w:hAnsi="Times New Roman" w:cs="Times New Roman"/>
        </w:rPr>
      </w:pPr>
      <w:r w:rsidRPr="00E12E30">
        <w:rPr>
          <w:rFonts w:ascii="Times New Roman" w:hAnsi="Times New Roman" w:cs="Times New Roman"/>
          <w:b/>
          <w:bCs/>
        </w:rPr>
        <w:t>SUPERBRAIN.</w:t>
      </w:r>
      <w:r w:rsidRPr="00E12E30">
        <w:rPr>
          <w:rFonts w:ascii="Times New Roman" w:hAnsi="Times New Roman" w:cs="Times New Roman"/>
        </w:rPr>
        <w:t xml:space="preserve"> </w:t>
      </w:r>
      <w:r w:rsidR="006E3DC5" w:rsidRPr="00E12E30">
        <w:rPr>
          <w:rFonts w:ascii="Times New Roman" w:hAnsi="Times New Roman" w:cs="Times New Roman"/>
        </w:rPr>
        <w:t xml:space="preserve">SUPERBRAIN </w:t>
      </w:r>
      <w:r w:rsidR="00773B04" w:rsidRPr="00E12E30">
        <w:rPr>
          <w:rFonts w:ascii="Times New Roman" w:hAnsi="Times New Roman" w:cs="Times New Roman"/>
        </w:rPr>
        <w:t>(Moon et al., 2021)</w:t>
      </w:r>
      <w:r w:rsidR="00773B04">
        <w:rPr>
          <w:rFonts w:ascii="Times New Roman" w:hAnsi="Times New Roman" w:cs="Times New Roman"/>
        </w:rPr>
        <w:t xml:space="preserve"> </w:t>
      </w:r>
      <w:r w:rsidR="006E3DC5" w:rsidRPr="00E12E30">
        <w:rPr>
          <w:rFonts w:ascii="Times New Roman" w:hAnsi="Times New Roman" w:cs="Times New Roman"/>
        </w:rPr>
        <w:t xml:space="preserve">was 3-arm RCT to test either a facility- or home-based multimodal intervention in 152 participants who were cognitively normal </w:t>
      </w:r>
      <w:r w:rsidRPr="00E12E30">
        <w:rPr>
          <w:rFonts w:ascii="Times New Roman" w:hAnsi="Times New Roman" w:cs="Times New Roman"/>
        </w:rPr>
        <w:t>at baseline</w:t>
      </w:r>
      <w:r w:rsidR="00773B04">
        <w:rPr>
          <w:rFonts w:ascii="Times New Roman" w:hAnsi="Times New Roman" w:cs="Times New Roman"/>
        </w:rPr>
        <w:t xml:space="preserve"> (</w:t>
      </w:r>
      <w:r w:rsidR="00773B04" w:rsidRPr="00773B04">
        <w:rPr>
          <w:rFonts w:ascii="Times New Roman" w:hAnsi="Times New Roman" w:cs="Times New Roman"/>
        </w:rPr>
        <w:t>MMSE Z score of ≥ -1.5</w:t>
      </w:r>
      <w:r w:rsidR="00773B04">
        <w:rPr>
          <w:rFonts w:ascii="Times New Roman" w:hAnsi="Times New Roman" w:cs="Times New Roman"/>
        </w:rPr>
        <w:t>)</w:t>
      </w:r>
      <w:r w:rsidR="006E3DC5" w:rsidRPr="00E12E30">
        <w:rPr>
          <w:rFonts w:ascii="Times New Roman" w:hAnsi="Times New Roman" w:cs="Times New Roman"/>
        </w:rPr>
        <w:t>. Participants were 60-79 years of age. The intervention lasted 24 weeks.</w:t>
      </w:r>
      <w:r w:rsidR="00E12E30" w:rsidRPr="00E12E30">
        <w:rPr>
          <w:rFonts w:ascii="Times New Roman" w:hAnsi="Times New Roman" w:cs="Times New Roman"/>
        </w:rPr>
        <w:t xml:space="preserve"> It comprised vascular risk management, cognitive training, social activity, physical exercise, nutrition guidance, and motivational enhancement.</w:t>
      </w:r>
    </w:p>
    <w:p w14:paraId="59537137" w14:textId="77777777" w:rsidR="00E84D1A"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t xml:space="preserve">SYNchronizing, Exercises and Remedies to GaIn Cognition@home (SYNERGIC-2). </w:t>
      </w:r>
      <w:r w:rsidRPr="000D69BB">
        <w:rPr>
          <w:rFonts w:ascii="Times New Roman" w:hAnsi="Times New Roman" w:cs="Times New Roman"/>
        </w:rPr>
        <w:t>The SYNERGIC-2 Trial is an actively recruiting member of the WW-FINGERS consortium based in Can</w:t>
      </w:r>
      <w:r>
        <w:rPr>
          <w:rFonts w:ascii="Times New Roman" w:hAnsi="Times New Roman" w:cs="Times New Roman"/>
        </w:rPr>
        <w:t>a</w:t>
      </w:r>
      <w:r w:rsidRPr="000D69BB">
        <w:rPr>
          <w:rFonts w:ascii="Times New Roman" w:hAnsi="Times New Roman" w:cs="Times New Roman"/>
        </w:rPr>
        <w:t>da (NCT05375513).</w:t>
      </w:r>
    </w:p>
    <w:p w14:paraId="6BCAD811" w14:textId="1E662276" w:rsidR="007A3D93" w:rsidRDefault="007A3D93" w:rsidP="00E84D1A">
      <w:pPr>
        <w:spacing w:line="480" w:lineRule="auto"/>
        <w:jc w:val="both"/>
        <w:rPr>
          <w:rFonts w:ascii="Times New Roman" w:hAnsi="Times New Roman" w:cs="Times New Roman"/>
        </w:rPr>
      </w:pPr>
      <w:r w:rsidRPr="007A3D93">
        <w:rPr>
          <w:rFonts w:ascii="Times New Roman" w:hAnsi="Times New Roman" w:cs="Times New Roman"/>
          <w:b/>
          <w:bCs/>
        </w:rPr>
        <w:t>The Taiwan Health promotion Intervention Study for Community Elders Empowerment Study (THISCE-EMP).</w:t>
      </w:r>
      <w:r>
        <w:rPr>
          <w:rFonts w:ascii="Times New Roman" w:hAnsi="Times New Roman" w:cs="Times New Roman"/>
        </w:rPr>
        <w:t xml:space="preserve"> </w:t>
      </w:r>
      <w:r w:rsidRPr="007A3D93">
        <w:rPr>
          <w:rFonts w:ascii="Times New Roman" w:hAnsi="Times New Roman" w:cs="Times New Roman"/>
        </w:rPr>
        <w:t>THISCE</w:t>
      </w:r>
      <w:r>
        <w:rPr>
          <w:rFonts w:ascii="Times New Roman" w:hAnsi="Times New Roman" w:cs="Times New Roman"/>
        </w:rPr>
        <w:t xml:space="preserve">-EFF and THISCE-EMP were two separate Taiwanese 2014 studies (Chen et al., 2020). They are sometimes described together as “THISCE”. These had non-overlapping participants and the protocols differed. </w:t>
      </w:r>
      <w:r w:rsidRPr="007A3D93">
        <w:rPr>
          <w:rFonts w:ascii="Times New Roman" w:hAnsi="Times New Roman" w:cs="Times New Roman"/>
        </w:rPr>
        <w:t>THISCE</w:t>
      </w:r>
      <w:r>
        <w:rPr>
          <w:rFonts w:ascii="Times New Roman" w:hAnsi="Times New Roman" w:cs="Times New Roman"/>
        </w:rPr>
        <w:t>-EMP did not include a control arm, so we only include THISCE-EFF in our main text tabulations.</w:t>
      </w:r>
    </w:p>
    <w:p w14:paraId="6D1564FA" w14:textId="52401CDD" w:rsidR="00DC53E3" w:rsidRPr="00180F6F" w:rsidRDefault="00E84D1A" w:rsidP="00E84D1A">
      <w:pPr>
        <w:spacing w:line="480" w:lineRule="auto"/>
        <w:jc w:val="both"/>
        <w:rPr>
          <w:rFonts w:ascii="Times New Roman" w:hAnsi="Times New Roman" w:cs="Times New Roman"/>
        </w:rPr>
      </w:pPr>
      <w:r w:rsidRPr="000D69BB">
        <w:rPr>
          <w:rFonts w:ascii="Times New Roman" w:hAnsi="Times New Roman" w:cs="Times New Roman"/>
          <w:b/>
          <w:bCs/>
        </w:rPr>
        <w:lastRenderedPageBreak/>
        <w:t>WW-FINGERS.</w:t>
      </w:r>
      <w:r w:rsidRPr="000D69BB">
        <w:rPr>
          <w:rFonts w:ascii="Times New Roman" w:hAnsi="Times New Roman" w:cs="Times New Roman"/>
        </w:rPr>
        <w:t xml:space="preserve"> World-Wide FINGERS (WW-FINGERS) is a global network of studies adapting the FINGER model to diverse populations and contexts worldwide. As this is a consortium, we report on component trials with published data. No WW-FINGERS meta-analysis is yet available.</w:t>
      </w:r>
    </w:p>
    <w:p w14:paraId="0F292681" w14:textId="620B41B3" w:rsidR="00221641" w:rsidRPr="000D69BB" w:rsidRDefault="00221641" w:rsidP="000D69BB">
      <w:pPr>
        <w:spacing w:before="1200" w:line="360" w:lineRule="auto"/>
        <w:jc w:val="both"/>
        <w:rPr>
          <w:rFonts w:ascii="Times New Roman" w:hAnsi="Times New Roman" w:cs="Times New Roman"/>
          <w:b/>
          <w:bCs/>
        </w:rPr>
      </w:pPr>
      <w:r w:rsidRPr="000D69BB">
        <w:rPr>
          <w:rFonts w:ascii="Times New Roman" w:hAnsi="Times New Roman" w:cs="Times New Roman"/>
          <w:b/>
          <w:bCs/>
        </w:rPr>
        <w:t>Additional</w:t>
      </w:r>
      <w:r w:rsidR="00480ACC" w:rsidRPr="000D69BB">
        <w:rPr>
          <w:rFonts w:ascii="Times New Roman" w:hAnsi="Times New Roman" w:cs="Times New Roman"/>
          <w:b/>
          <w:bCs/>
        </w:rPr>
        <w:t xml:space="preserve"> </w:t>
      </w:r>
      <w:r w:rsidRPr="000D69BB">
        <w:rPr>
          <w:rFonts w:ascii="Times New Roman" w:hAnsi="Times New Roman" w:cs="Times New Roman"/>
          <w:b/>
          <w:bCs/>
        </w:rPr>
        <w:t>References</w:t>
      </w:r>
      <w:r w:rsidR="00480ACC" w:rsidRPr="000D69BB">
        <w:rPr>
          <w:rFonts w:ascii="Times New Roman" w:hAnsi="Times New Roman" w:cs="Times New Roman"/>
          <w:b/>
          <w:bCs/>
        </w:rPr>
        <w:t xml:space="preserve"> </w:t>
      </w:r>
      <w:r w:rsidRPr="000D69BB">
        <w:rPr>
          <w:rFonts w:ascii="Times New Roman" w:hAnsi="Times New Roman" w:cs="Times New Roman"/>
          <w:b/>
          <w:bCs/>
        </w:rPr>
        <w:t>not</w:t>
      </w:r>
      <w:r w:rsidR="00480ACC" w:rsidRPr="000D69BB">
        <w:rPr>
          <w:rFonts w:ascii="Times New Roman" w:hAnsi="Times New Roman" w:cs="Times New Roman"/>
          <w:b/>
          <w:bCs/>
        </w:rPr>
        <w:t xml:space="preserve"> </w:t>
      </w:r>
      <w:r w:rsidRPr="000D69BB">
        <w:rPr>
          <w:rFonts w:ascii="Times New Roman" w:hAnsi="Times New Roman" w:cs="Times New Roman"/>
          <w:b/>
          <w:bCs/>
        </w:rPr>
        <w:t>Cited</w:t>
      </w:r>
      <w:r w:rsidR="00480ACC" w:rsidRPr="000D69BB">
        <w:rPr>
          <w:rFonts w:ascii="Times New Roman" w:hAnsi="Times New Roman" w:cs="Times New Roman"/>
          <w:b/>
          <w:bCs/>
        </w:rPr>
        <w:t xml:space="preserve"> </w:t>
      </w:r>
      <w:r w:rsidRPr="000D69BB">
        <w:rPr>
          <w:rFonts w:ascii="Times New Roman" w:hAnsi="Times New Roman" w:cs="Times New Roman"/>
          <w:b/>
          <w:bCs/>
        </w:rPr>
        <w:t>in</w:t>
      </w:r>
      <w:r w:rsidR="00480ACC" w:rsidRPr="000D69BB">
        <w:rPr>
          <w:rFonts w:ascii="Times New Roman" w:hAnsi="Times New Roman" w:cs="Times New Roman"/>
          <w:b/>
          <w:bCs/>
        </w:rPr>
        <w:t xml:space="preserve"> </w:t>
      </w:r>
      <w:r w:rsidRPr="000D69BB">
        <w:rPr>
          <w:rFonts w:ascii="Times New Roman" w:hAnsi="Times New Roman" w:cs="Times New Roman"/>
          <w:b/>
          <w:bCs/>
        </w:rPr>
        <w:t>Main</w:t>
      </w:r>
      <w:r w:rsidR="00480ACC" w:rsidRPr="000D69BB">
        <w:rPr>
          <w:rFonts w:ascii="Times New Roman" w:hAnsi="Times New Roman" w:cs="Times New Roman"/>
          <w:b/>
          <w:bCs/>
        </w:rPr>
        <w:t xml:space="preserve"> </w:t>
      </w:r>
      <w:r w:rsidRPr="000D69BB">
        <w:rPr>
          <w:rFonts w:ascii="Times New Roman" w:hAnsi="Times New Roman" w:cs="Times New Roman"/>
          <w:b/>
          <w:bCs/>
        </w:rPr>
        <w:t>Text</w:t>
      </w:r>
    </w:p>
    <w:p w14:paraId="426272F0" w14:textId="589F3295" w:rsidR="00BD4428" w:rsidRDefault="00B94119" w:rsidP="000D69BB">
      <w:pPr>
        <w:spacing w:line="360" w:lineRule="auto"/>
        <w:jc w:val="both"/>
        <w:rPr>
          <w:rFonts w:ascii="Times New Roman" w:hAnsi="Times New Roman" w:cs="Times New Roman"/>
        </w:rPr>
      </w:pPr>
      <w:r w:rsidRPr="00B94119">
        <w:rPr>
          <w:rFonts w:ascii="Times New Roman" w:hAnsi="Times New Roman" w:cs="Times New Roman"/>
        </w:rPr>
        <w:t>Belleville S, Cuesta M, Bieler-Aeschlimann M, Giacomino K, Widmer A, Mittaz Hager AG, Perez-Marcos D, Cardin S, Boller B, Bier N, Aubertin-Leheudre M, Bherer L, Berryman N, Agrigoroaei S, Demonet JF. Pre-frail older adults show improved cognition with StayFitLonger computerized home-based training: a randomized controlled trial. Geroscience. 2023 Apr;45(2):811-822. doi: 10.1007/s11357-022-00674-5. Epub 2022 Oct 21. Erratum in: Geroscience. 2023 Oct;45(5):3099-3100. doi: 10.1007/s11357-023-00868-5. PMID: 36266559; PMCID: PMC9589849</w:t>
      </w:r>
      <w:r w:rsidR="00BD4428" w:rsidRPr="00BD4428">
        <w:rPr>
          <w:rFonts w:ascii="Times New Roman" w:hAnsi="Times New Roman" w:cs="Times New Roman"/>
        </w:rPr>
        <w:t>.</w:t>
      </w:r>
    </w:p>
    <w:p w14:paraId="533D3EF9" w14:textId="77777777" w:rsidR="00B94119" w:rsidRDefault="00B94119" w:rsidP="000D69BB">
      <w:pPr>
        <w:spacing w:line="360" w:lineRule="auto"/>
        <w:jc w:val="both"/>
        <w:rPr>
          <w:rFonts w:ascii="Times New Roman" w:hAnsi="Times New Roman" w:cs="Times New Roman"/>
        </w:rPr>
      </w:pPr>
      <w:r w:rsidRPr="00B94119">
        <w:rPr>
          <w:rFonts w:ascii="Times New Roman" w:hAnsi="Times New Roman" w:cs="Times New Roman"/>
        </w:rPr>
        <w:t>Brainin M, Matz K, Nemec M, Teuschl Y, Dachenhausen A, Asenbaum-Nan S, Bancher C, Kepplinger B, Oberndorfer S, Pinter M, Schnider P, Tuomilehto J; ASPIS Study Group. Prevention of poststroke cognitive decline: ASPIS--a multicenter, randomized, observer-blind, parallel group clinical trial to evaluate multiple lifestyle interventions--study design and baseline characteristics. Int J Stroke. 2015 Jun;10(4):627-35. doi: 10.1111/ijs.12188. Epub 2013 Nov 10. PMID: 24206541.</w:t>
      </w:r>
    </w:p>
    <w:p w14:paraId="7A0A3A5F" w14:textId="0FB94FF6" w:rsidR="00275679" w:rsidRDefault="00275679" w:rsidP="000D69BB">
      <w:pPr>
        <w:spacing w:line="360" w:lineRule="auto"/>
        <w:jc w:val="both"/>
        <w:rPr>
          <w:rFonts w:ascii="Times New Roman" w:hAnsi="Times New Roman" w:cs="Times New Roman"/>
        </w:rPr>
      </w:pPr>
      <w:r w:rsidRPr="00275679">
        <w:rPr>
          <w:rFonts w:ascii="Times New Roman" w:hAnsi="Times New Roman" w:cs="Times New Roman"/>
        </w:rPr>
        <w:t>Brasser M, Frühholz S, Schneeberger AR, Ruschetti GG, Schaerli R, Häner M, Studer-Luethi B. A Randomized Controlled Trial Study of a Multimodal Intervention vs. Cognitive Training to Foster Cognitive and Affective Health in Older Adults. Front Psychol. 2022 Jun 20;13:866613. doi: 10.3389/fpsyg.2022.866613. PMID: 35795412; PMCID: PMC9251428.</w:t>
      </w:r>
    </w:p>
    <w:p w14:paraId="543E2791" w14:textId="05E33F90" w:rsidR="000D69BB" w:rsidRDefault="000D69BB" w:rsidP="000D69BB">
      <w:pPr>
        <w:spacing w:line="360" w:lineRule="auto"/>
        <w:jc w:val="both"/>
        <w:rPr>
          <w:rFonts w:ascii="Times New Roman" w:hAnsi="Times New Roman" w:cs="Times New Roman"/>
        </w:rPr>
      </w:pPr>
      <w:r w:rsidRPr="000D69BB">
        <w:rPr>
          <w:rFonts w:ascii="Times New Roman" w:hAnsi="Times New Roman" w:cs="Times New Roman"/>
        </w:rPr>
        <w:t>Cummings JL, Osse AML, Kinney JW, Cammann D, Chen J. Alzheimer's Disease: Combination Therapies and Clinical Trials for Combination Therapy Development. CNS Drugs. 2024 Aug;38(8):613-624. doi: 10.1007/s40263-024-01103-1. Epub 2024 Jun 27. PMID: 38937382; PMCID: PMC11258156.</w:t>
      </w:r>
    </w:p>
    <w:p w14:paraId="6F80BF23" w14:textId="77777777" w:rsidR="000D69BB" w:rsidRDefault="000D69BB" w:rsidP="000D69BB">
      <w:pPr>
        <w:spacing w:line="360" w:lineRule="auto"/>
        <w:jc w:val="both"/>
        <w:rPr>
          <w:rFonts w:ascii="Times New Roman" w:hAnsi="Times New Roman" w:cs="Times New Roman"/>
        </w:rPr>
      </w:pPr>
      <w:r w:rsidRPr="000D69BB">
        <w:rPr>
          <w:rFonts w:ascii="Times New Roman" w:hAnsi="Times New Roman" w:cs="Times New Roman"/>
        </w:rPr>
        <w:t xml:space="preserve">Deckers K, Zwan MD, Soons LM, Waterink L, Beers S, van Houdt S, Stiensma B, Kwant JZ, Wimmers SCPM, Heutz RAM, Claassen JAHR, Oosterman JM, de Heus RAA, van de Rest O, </w:t>
      </w:r>
      <w:r w:rsidRPr="000D69BB">
        <w:rPr>
          <w:rFonts w:ascii="Times New Roman" w:hAnsi="Times New Roman" w:cs="Times New Roman"/>
        </w:rPr>
        <w:lastRenderedPageBreak/>
        <w:t>Vermeiren Y, Voshaar RCO, Smidt N, Broersen LM, Sikkes SAM, Aarts E; MOCIA consortium; FINGER-NL consortium; Köhler S, van der Flier WM. A multidomain lifestyle intervention to maintain optimal cognitive functioning in Dutch older adults-study design and baseline characteristics of the FINGER-NL randomized controlled trial. Alzheimers Res Ther. 2024 Jun 13;16(1):126. doi: 10.1186/s13195-024-01495-8. PMID: 38872204; PMCID: PMC11170777.</w:t>
      </w:r>
    </w:p>
    <w:p w14:paraId="6CB18194" w14:textId="553C6D9E" w:rsidR="00DF23AF" w:rsidRPr="000D69BB" w:rsidRDefault="00DF23AF" w:rsidP="000D69BB">
      <w:pPr>
        <w:spacing w:line="360" w:lineRule="auto"/>
        <w:jc w:val="both"/>
        <w:rPr>
          <w:rFonts w:ascii="Times New Roman" w:hAnsi="Times New Roman" w:cs="Times New Roman"/>
        </w:rPr>
      </w:pPr>
      <w:r w:rsidRPr="00DF23AF">
        <w:rPr>
          <w:rFonts w:ascii="Times New Roman" w:hAnsi="Times New Roman" w:cs="Times New Roman"/>
        </w:rPr>
        <w:t>de Souto Barreto P, Pothier K, Soriano G, Lussier M, Bherer L, Guyonnet S, Piau A, Ousset PJ, Vellas B. A Web-Based Multidomain Lifestyle Intervention for Older Adults: The eMIND Randomized Controlled Trial. J Prev Alzheimers Dis. 2021;8(2):142-150. doi: 10.14283/jpad.2020.70. PMID: 33569560; PMCID: PMC7754697.</w:t>
      </w:r>
    </w:p>
    <w:p w14:paraId="39319D46" w14:textId="77777777" w:rsidR="000D69BB" w:rsidRPr="000D69BB" w:rsidRDefault="000D69BB" w:rsidP="000D69BB">
      <w:pPr>
        <w:spacing w:line="360" w:lineRule="auto"/>
        <w:jc w:val="both"/>
        <w:rPr>
          <w:rFonts w:ascii="Times New Roman" w:hAnsi="Times New Roman" w:cs="Times New Roman"/>
        </w:rPr>
      </w:pPr>
      <w:r w:rsidRPr="000D69BB">
        <w:rPr>
          <w:rFonts w:ascii="Times New Roman" w:hAnsi="Times New Roman" w:cs="Times New Roman"/>
        </w:rPr>
        <w:t xml:space="preserve">Ganmore, I., Ravona-Springer, R., Livny, A., Matatov, A., Ziat, A., Bem-Moshe, A. and Beeri, M.S. (2020), HAPPCAP-AD (Human-Application Combined Approach for Prevention of Alzheimer's Disease): A novel feasibility study of a personalized midlife intervention to prevent AD. Alzheimer's Dement., 16: e044234. </w:t>
      </w:r>
      <w:hyperlink r:id="rId8" w:history="1">
        <w:r w:rsidRPr="000D69BB">
          <w:rPr>
            <w:rStyle w:val="Hyperlink"/>
            <w:rFonts w:ascii="Times New Roman" w:hAnsi="Times New Roman" w:cs="Times New Roman"/>
          </w:rPr>
          <w:t>https://doi.org/10.1002/alz.044234</w:t>
        </w:r>
      </w:hyperlink>
    </w:p>
    <w:p w14:paraId="3F6B4E23" w14:textId="77777777" w:rsidR="000D69BB" w:rsidRDefault="000D69BB" w:rsidP="000D69BB">
      <w:pPr>
        <w:spacing w:line="360" w:lineRule="auto"/>
        <w:jc w:val="both"/>
        <w:rPr>
          <w:rFonts w:ascii="Times New Roman" w:hAnsi="Times New Roman" w:cs="Times New Roman"/>
        </w:rPr>
      </w:pPr>
      <w:r w:rsidRPr="000D69BB">
        <w:rPr>
          <w:rFonts w:ascii="Times New Roman" w:hAnsi="Times New Roman" w:cs="Times New Roman"/>
        </w:rPr>
        <w:t>Kabir MT, Uddin MS, Mamun AA, Jeandet P, Aleya L, Mansouri RA, Ashraf GM, Mathew B, Bin-Jumah MN, Abdel-Daim MM. Combination Drug Therapy for the Management of Alzheimer's Disease. Int J Mol Sci. 2020 May 5;21(9):3272. doi: 10.3390/ijms21093272. PMID: 32380758; PMCID: PMC7246721.</w:t>
      </w:r>
    </w:p>
    <w:p w14:paraId="3FB2B7A3" w14:textId="2B62E36F" w:rsidR="00180F6F" w:rsidRDefault="00180F6F" w:rsidP="000D69BB">
      <w:pPr>
        <w:spacing w:line="360" w:lineRule="auto"/>
        <w:jc w:val="both"/>
        <w:rPr>
          <w:rFonts w:ascii="Times New Roman" w:hAnsi="Times New Roman" w:cs="Times New Roman"/>
        </w:rPr>
      </w:pPr>
      <w:r w:rsidRPr="00180F6F">
        <w:rPr>
          <w:rFonts w:ascii="Times New Roman" w:hAnsi="Times New Roman" w:cs="Times New Roman"/>
        </w:rPr>
        <w:t>Klusmann V, Evers A, Schwarzer R, Schlattmann P, Reischies FM, Heuser I, Dimeo FC. Complex mental and physical activity in older women and cognitive performance: a 6-month randomized controlled trial. J Gerontol A Biol Sci Med Sci. 2010 Jun;65(6):680-8. doi: 10.1093/gerona/glq053. Epub 2010 Apr 23. PMID: 20418350.</w:t>
      </w:r>
    </w:p>
    <w:p w14:paraId="76807086" w14:textId="4C1FCB5D" w:rsidR="00735DDA" w:rsidRDefault="00735DDA" w:rsidP="000D69BB">
      <w:pPr>
        <w:spacing w:line="360" w:lineRule="auto"/>
        <w:jc w:val="both"/>
        <w:rPr>
          <w:rFonts w:ascii="Times New Roman" w:hAnsi="Times New Roman" w:cs="Times New Roman"/>
        </w:rPr>
      </w:pPr>
      <w:r w:rsidRPr="00735DDA">
        <w:rPr>
          <w:rFonts w:ascii="Times New Roman" w:hAnsi="Times New Roman" w:cs="Times New Roman"/>
        </w:rPr>
        <w:t>Krieger MM, Richter RR, Austin TM. An exploratory analysis of PubMed's free full-text limit on citation retrieval for clinical questions. J Med Libr Assoc. 2008 Oct;96(4):351-5. doi: 10.3163/1536-5050.96.4.010. PMID: 18974812; PMCID: PMC2568849.</w:t>
      </w:r>
    </w:p>
    <w:p w14:paraId="4A91DDF1" w14:textId="6713F805" w:rsidR="00EC19BD" w:rsidRPr="000D69BB" w:rsidRDefault="00EC19BD" w:rsidP="000D69BB">
      <w:pPr>
        <w:spacing w:line="360" w:lineRule="auto"/>
        <w:jc w:val="both"/>
        <w:rPr>
          <w:rFonts w:ascii="Times New Roman" w:hAnsi="Times New Roman" w:cs="Times New Roman"/>
        </w:rPr>
      </w:pPr>
      <w:r w:rsidRPr="00EC19BD">
        <w:rPr>
          <w:rFonts w:ascii="Times New Roman" w:hAnsi="Times New Roman" w:cs="Times New Roman"/>
        </w:rPr>
        <w:t>Meng X, Su J, Gao T, Ma D, Zhao Y, Fang S, Zhi S, Li H, Sun J. Multidomain interventions based on a life-course model to prevent dementia in at-risk Chinese older adults: A randomized controlled trial. Int J Nurs Stud. 2024 Apr;152:104701. doi: 10.1016/j.ijnurstu.2024.104701. Epub 2024 Jan 26. PMID: 38330865.</w:t>
      </w:r>
    </w:p>
    <w:p w14:paraId="742C0AE8" w14:textId="5520FA82" w:rsidR="000D69BB" w:rsidRDefault="000D69BB" w:rsidP="000D69BB">
      <w:pPr>
        <w:spacing w:line="360" w:lineRule="auto"/>
        <w:jc w:val="both"/>
        <w:rPr>
          <w:rFonts w:ascii="Times New Roman" w:hAnsi="Times New Roman" w:cs="Times New Roman"/>
        </w:rPr>
      </w:pPr>
      <w:r w:rsidRPr="000D69BB">
        <w:rPr>
          <w:rFonts w:ascii="Times New Roman" w:hAnsi="Times New Roman" w:cs="Times New Roman"/>
        </w:rPr>
        <w:lastRenderedPageBreak/>
        <w:t>Moll van Charante EP, Richard E, Eurelings LS, van Dalen JW, Ligthart SA, van Bussel EF, Hoevenaar-Blom MP, Vermeulen M, van Gool WA. Effectiveness of a 6-year multidomain vascular care intervention to prevent dementia (preDIVA): a cluster-randomised controlled trial. Lancet. 2016 Aug 20;388(10046):797-805. doi: 10.1016/S0140-6736(16)30950-3. Epub 2016 Jul 26. PMID: 27474376.</w:t>
      </w:r>
    </w:p>
    <w:p w14:paraId="2F3E49BD" w14:textId="3B16D723" w:rsidR="00163B42" w:rsidRDefault="006E3DC5" w:rsidP="000D69BB">
      <w:pPr>
        <w:spacing w:line="360" w:lineRule="auto"/>
        <w:jc w:val="both"/>
        <w:rPr>
          <w:rFonts w:ascii="Times New Roman" w:hAnsi="Times New Roman" w:cs="Times New Roman"/>
        </w:rPr>
      </w:pPr>
      <w:r w:rsidRPr="006E3DC5">
        <w:rPr>
          <w:rFonts w:ascii="Times New Roman" w:hAnsi="Times New Roman" w:cs="Times New Roman"/>
        </w:rPr>
        <w:t>Moon SY, Hong CH, Jeong JH, Park YK, Na HR, Song HS, Kim BC, Park KW, Park HK, Choi M, Lee SM, Chun BO, Koh SH, Park SA, Park HH, Jin JH, Lee EH, Kim SM, Han SM, Kim JS, Ha J, Choi SH. Facility-based and home-based multidomain interventions including cognitive training, exercise, diet, vascular risk management, and motivation for older adults: a randomized controlled feasibility trial. Aging (Albany NY). 2021 Jun 18;13(12):15898-15916. doi: 10.18632/aging.203213. Epub 2021 Jun 18. PMID: 34148030; PMCID: PMC8266338.</w:t>
      </w:r>
    </w:p>
    <w:p w14:paraId="021DAD44" w14:textId="478CBF6D" w:rsidR="00AA0F8A" w:rsidRDefault="00AA0F8A" w:rsidP="000D69BB">
      <w:pPr>
        <w:spacing w:line="360" w:lineRule="auto"/>
        <w:jc w:val="both"/>
        <w:rPr>
          <w:rFonts w:ascii="Times New Roman" w:hAnsi="Times New Roman" w:cs="Times New Roman"/>
        </w:rPr>
      </w:pPr>
      <w:r w:rsidRPr="00AA0F8A">
        <w:rPr>
          <w:rFonts w:ascii="Times New Roman" w:hAnsi="Times New Roman" w:cs="Times New Roman"/>
        </w:rPr>
        <w:t>Ng PEM, Nicholas SO, Wee SL, Yau TY, Chan A, Chng I, Yap LKP, Ng TP. Implementation and effectiveness of a multi-domain program for older adults at risk of cognitive impairment at neighborhood senior centres. Sci Rep. 2021 Feb 15;11(1):3787. doi: 10.1038/s41598-021-83408-5. PMID: 33589714; PMCID: PMC7884402.</w:t>
      </w:r>
    </w:p>
    <w:p w14:paraId="38E5D48D" w14:textId="0725400D" w:rsidR="00163B42" w:rsidRPr="00163B42" w:rsidRDefault="00163B42" w:rsidP="00163B42">
      <w:pPr>
        <w:spacing w:line="360" w:lineRule="auto"/>
        <w:jc w:val="both"/>
        <w:rPr>
          <w:rFonts w:ascii="Times New Roman" w:hAnsi="Times New Roman" w:cs="Times New Roman"/>
        </w:rPr>
      </w:pPr>
      <w:r w:rsidRPr="00163B42">
        <w:rPr>
          <w:rFonts w:ascii="Times New Roman" w:hAnsi="Times New Roman" w:cs="Times New Roman"/>
        </w:rPr>
        <w:t>Ng TP, Feng L, Nyunt MS, Feng L, Niti M, Tan BY, Chan G, Khoo SA, Chan SM, Yap P, Yap KB. Nutritional, Physical, Cognitive, and Combination Interventions and Frailty Reversal Among Older Adults: A Randomized Controlled Trial. Am J Med. 2015 Nov;128(11):1225-1236.e1. doi: 10.1016/j.amjmed.2015.06.017. Epub 2015 Jul 6. PMID: 26159634.</w:t>
      </w:r>
    </w:p>
    <w:p w14:paraId="7107BC9C" w14:textId="6417FBD6" w:rsidR="00163B42" w:rsidRDefault="00163B42" w:rsidP="00163B42">
      <w:pPr>
        <w:spacing w:line="360" w:lineRule="auto"/>
        <w:jc w:val="both"/>
        <w:rPr>
          <w:rFonts w:ascii="Times New Roman" w:hAnsi="Times New Roman" w:cs="Times New Roman"/>
        </w:rPr>
      </w:pPr>
      <w:r w:rsidRPr="00163B42">
        <w:rPr>
          <w:rFonts w:ascii="Times New Roman" w:hAnsi="Times New Roman" w:cs="Times New Roman"/>
        </w:rPr>
        <w:t>Ng TP, Ling LHA, Feng L, Nyunt MSZ, Feng L, Niti M, Tan BY, Chan G, Khoo SA, Chan SM, Yap P, Yap KB. Cognitive Effects of Multi-Domain Interventions Among Pre-Frail and Frail Community-Living Older Persons: Randomized Controlled Trial. J Gerontol A Biol Sci Med Sci. 2018 May 9;73(6):806-812. doi: 10.1093/gerona/glx207. PMID: 29069291.</w:t>
      </w:r>
    </w:p>
    <w:p w14:paraId="06969BE0" w14:textId="71219833" w:rsidR="00EE367D" w:rsidRDefault="00EE367D" w:rsidP="000D69BB">
      <w:pPr>
        <w:spacing w:line="360" w:lineRule="auto"/>
        <w:jc w:val="both"/>
        <w:rPr>
          <w:rFonts w:ascii="Times New Roman" w:hAnsi="Times New Roman" w:cs="Times New Roman"/>
        </w:rPr>
      </w:pPr>
      <w:r w:rsidRPr="00EE367D">
        <w:rPr>
          <w:rFonts w:ascii="Times New Roman" w:hAnsi="Times New Roman" w:cs="Times New Roman"/>
        </w:rPr>
        <w:t>Park JE, Jeon SY, Kim SA, Kim JH, Kim SH, Lee KW, Hwang YJ, Jung G, Suk HW, Park S, Lee DY. A Multidomain Intervention for Modifying Lifestyle Habits Reduces the Dementia Risk in Community-Dwelling Older Adults: A Single-Blinded Randomized Controlled Pilot Study. J Alzheimers Dis. 2019;70(1):51-60. doi: 10.3233/JAD-190016. PMID: 31127782.</w:t>
      </w:r>
    </w:p>
    <w:p w14:paraId="5B2173E4" w14:textId="46232DB6" w:rsidR="009F24DA" w:rsidRDefault="009F24DA" w:rsidP="000D69BB">
      <w:pPr>
        <w:spacing w:line="360" w:lineRule="auto"/>
        <w:jc w:val="both"/>
        <w:rPr>
          <w:rFonts w:ascii="Times New Roman" w:hAnsi="Times New Roman" w:cs="Times New Roman"/>
        </w:rPr>
      </w:pPr>
      <w:r w:rsidRPr="009F24DA">
        <w:rPr>
          <w:rFonts w:ascii="Times New Roman" w:hAnsi="Times New Roman" w:cs="Times New Roman"/>
        </w:rPr>
        <w:t xml:space="preserve">Richard E, Moll van Charante EP, Hoevenaar-Blom MP, Coley N, Barbera M, van der Groep A, Meiller Y, Mangialasche F, Beishuizen CB, Jongstra S, van Middelaar T, Van Wanrooij LL, </w:t>
      </w:r>
      <w:r w:rsidRPr="009F24DA">
        <w:rPr>
          <w:rFonts w:ascii="Times New Roman" w:hAnsi="Times New Roman" w:cs="Times New Roman"/>
        </w:rPr>
        <w:lastRenderedPageBreak/>
        <w:t>Ngandu T, Guillemont J, Andrieu S, Brayne C, Kivipelto M, Soininen H, Van Gool WA. Healthy ageing through internet counselling in the elderly (HATICE): a multinational, randomised controlled trial. Lancet Digit Health. 2019 Dec;1(8):e424-e434. doi: 10.1016/S2589-7500(19)30153-0. Epub 2019 Nov 14. PMID: 33323224.</w:t>
      </w:r>
    </w:p>
    <w:p w14:paraId="1D58C079" w14:textId="3E2F65C1" w:rsidR="005C58F8" w:rsidRDefault="005C58F8" w:rsidP="000D69BB">
      <w:pPr>
        <w:spacing w:line="360" w:lineRule="auto"/>
        <w:jc w:val="both"/>
        <w:rPr>
          <w:rFonts w:ascii="Times New Roman" w:hAnsi="Times New Roman" w:cs="Times New Roman"/>
        </w:rPr>
      </w:pPr>
      <w:r w:rsidRPr="005C58F8">
        <w:rPr>
          <w:rFonts w:ascii="Times New Roman" w:hAnsi="Times New Roman" w:cs="Times New Roman"/>
        </w:rPr>
        <w:t>Sipilä S, Tirkkonen A, Savikangas T, Hänninen T, Laukkanen P, Alen M, Fielding RA, Kivipelto M, Kulmala J, Rantanen T, Sihvonen SE, Sillanpää E, Stigsdotter Neely A, Törmäkangas T. Effects of physical and cognitive training on gait speed and cognition in older adults: A randomized controlled trial. Scand J Med Sci Sports. 2021 Jul;31(7):1518-1533. doi: 10.1111/sms.13960. Epub 2021 Apr 6. PMID: 33772877.</w:t>
      </w:r>
    </w:p>
    <w:p w14:paraId="5173E275" w14:textId="79D26340" w:rsidR="00E91F47" w:rsidRDefault="00E91F47" w:rsidP="000D69BB">
      <w:pPr>
        <w:spacing w:line="360" w:lineRule="auto"/>
        <w:jc w:val="both"/>
        <w:rPr>
          <w:rFonts w:ascii="Times New Roman" w:hAnsi="Times New Roman" w:cs="Times New Roman"/>
        </w:rPr>
      </w:pPr>
      <w:r w:rsidRPr="00E91F47">
        <w:rPr>
          <w:rFonts w:ascii="Times New Roman" w:hAnsi="Times New Roman" w:cs="Times New Roman"/>
        </w:rPr>
        <w:t>Sugimoto T, Araki A, Fujita H, Fujita K, Honda K, Inagaki N, Ishida T, Kato J, Kishi M, Kishino Y, Kobayashi K, Kouyama K, Kuroda Y, Kuwahata S, Matsumoto N, Murakami T, Noma H, Ogino J, Ogura M, Ohishi M, Shimada H, Sugimoto K, Takenaka T, Tamura Y, Tokuda H, Uchida K, Umegaki H, Sakurai T. Multidomain Intervention Trial for Preventing Cognitive Decline among Older Adults with Type 2 Diabetes: J-MIND-Diabetes. J Prev Alzheimers Dis. 2024;11(6):1604-1614. doi: 10.14283/jpad.2024.117. PMID: 39559873; PMCID: PMC11573805.</w:t>
      </w:r>
    </w:p>
    <w:p w14:paraId="637CC5CA" w14:textId="50EF500B" w:rsidR="00C84FE5" w:rsidRDefault="00C84FE5" w:rsidP="000D69BB">
      <w:pPr>
        <w:spacing w:line="360" w:lineRule="auto"/>
        <w:jc w:val="both"/>
        <w:rPr>
          <w:rFonts w:ascii="Times New Roman" w:hAnsi="Times New Roman" w:cs="Times New Roman"/>
        </w:rPr>
      </w:pPr>
      <w:r w:rsidRPr="00C84FE5">
        <w:rPr>
          <w:rFonts w:ascii="Times New Roman" w:hAnsi="Times New Roman" w:cs="Times New Roman"/>
        </w:rPr>
        <w:t>Tainta M, Ecay-Torres M, de Arriba M, Barandiaran M, Otaegui-Arrazola A, Iriondo A, Garcia-Sebastian M, Estanga A, Saldias J, Clerigue M, Gabilondo A, Ros N, Mugica J, Barandiaran A, Mangialasche F, Kivipelto M, Arrospide A, Mar J, Martinez-Lage P; GOIZ ZAINDU study group. GOIZ ZAINDU study: a FINGER-like multidomain lifestyle intervention feasibility randomized trial to prevent dementia in Southern Europe. Alzheimers Res Ther. 2024 Feb 27;16(1):44. doi: 10.1186/s13195-024-01393-z. PMID: 38413990; PMCID: PMC10898038.</w:t>
      </w:r>
    </w:p>
    <w:p w14:paraId="0AE738A9" w14:textId="13E065F1" w:rsidR="00DD6A9B" w:rsidRDefault="00DD6A9B" w:rsidP="000D69BB">
      <w:pPr>
        <w:spacing w:line="360" w:lineRule="auto"/>
        <w:jc w:val="both"/>
        <w:rPr>
          <w:rFonts w:ascii="Times New Roman" w:hAnsi="Times New Roman" w:cs="Times New Roman"/>
        </w:rPr>
      </w:pPr>
      <w:r w:rsidRPr="00DD6A9B">
        <w:rPr>
          <w:rFonts w:ascii="Times New Roman" w:hAnsi="Times New Roman" w:cs="Times New Roman"/>
        </w:rPr>
        <w:t>Thunborg C, Wang R, Rosenberg A, Sindi S, Andersen P, Andrieu S, Broersen LM, Coley N, Couderc C, Duval CZ, Faxen-Irving G, Hagman G, Hallikainen M, Håkansson K, Kekkonen E, Lehtisalo J, Levak N, Mangialasche F, Pantel J, Rydström A, Stigsdotter-Neely A, Wimo A, Ngandu T, Soininen H, Hartmann T, Solomon A, Kivipelto M. Integrating a multimodal lifestyle intervention with medical food in prodromal Alzheimer's disease: the MIND-ADmini randomized controlled trial. Alzheimers Res Ther. 2024 May 30;16(1):118. doi: 10.1186/s13195-024-01468-x. PMID: 38812047; PMCID: PMC11138035.</w:t>
      </w:r>
    </w:p>
    <w:p w14:paraId="0D82FAA9" w14:textId="4FF6C065" w:rsidR="007A4759" w:rsidRDefault="007A4759" w:rsidP="000D69BB">
      <w:pPr>
        <w:spacing w:line="360" w:lineRule="auto"/>
        <w:jc w:val="both"/>
        <w:rPr>
          <w:rFonts w:ascii="Times New Roman" w:hAnsi="Times New Roman" w:cs="Times New Roman"/>
        </w:rPr>
      </w:pPr>
      <w:r w:rsidRPr="007A4759">
        <w:rPr>
          <w:rFonts w:ascii="Times New Roman" w:hAnsi="Times New Roman" w:cs="Times New Roman"/>
        </w:rPr>
        <w:lastRenderedPageBreak/>
        <w:t>Tricco AC, Lillie E, Zarin W, O'Brien KK, Colquhoun H, Levac D, Moher D, Peters MDJ, Horsley T, Weeks L, Hempel S, Akl EA, Chang C, McGowan J, Stewart L, Hartling L, Aldcroft A, Wilson MG, Garritty C, Lewin S, Godfrey CM, Macdonald MT, Langlois EV, Soares-Weiser K, Moriarty J, Clifford T, Tunçalp Ö, Straus SE. PRISMA Extension for Scoping Reviews (PRISMA-ScR): Checklist and Explanation. Ann Intern Med. 2018 Oct 2;169(7):467-473. doi: 10.7326/M18-0850. Epub 2018 Sep 4. PMID: 30178033.</w:t>
      </w:r>
    </w:p>
    <w:p w14:paraId="60361B53" w14:textId="77777777" w:rsidR="00E84D1A" w:rsidRDefault="00E84D1A" w:rsidP="00E84D1A">
      <w:pPr>
        <w:spacing w:line="360" w:lineRule="auto"/>
        <w:jc w:val="both"/>
        <w:rPr>
          <w:rFonts w:ascii="Times New Roman" w:hAnsi="Times New Roman" w:cs="Times New Roman"/>
        </w:rPr>
      </w:pPr>
      <w:r w:rsidRPr="00E84D1A">
        <w:rPr>
          <w:rFonts w:ascii="Times New Roman" w:hAnsi="Times New Roman" w:cs="Times New Roman"/>
        </w:rPr>
        <w:t>Zülke AE, Pabst A, Luppa M, Roehr S, Seidling H, Oey A, Cardona MI, Blotenberg I, Bauer A, Weise S, Zöllinger I, Sanftenberg L, Brettschneider C, Döhring J, Lunden L, Czock D, Haefeli WE, Wiese B, Hoffmann W, Frese T, Gensichen J, König HH, Kaduszkiewicz H, Thyrian JR, Riedel-Heller SG. A multidomain intervention against cognitive decline in an at-risk-population in Germany: Results from the cluster-randomized AgeWell.de trial. Alzheimers Dement. 2024 Jan;20(1):615-628. doi: 10.1002/alz.13486. Epub 2023 Sep 28. PMID: 37768074; PMCID: PMC10917033.</w:t>
      </w:r>
    </w:p>
    <w:p w14:paraId="57CEC870" w14:textId="15466EB6" w:rsidR="00C81385" w:rsidRDefault="00C81385" w:rsidP="00E84D1A">
      <w:pPr>
        <w:spacing w:line="360" w:lineRule="auto"/>
        <w:jc w:val="both"/>
        <w:rPr>
          <w:rFonts w:ascii="Times New Roman" w:hAnsi="Times New Roman" w:cs="Times New Roman"/>
        </w:rPr>
      </w:pPr>
      <w:r w:rsidRPr="00C81385">
        <w:rPr>
          <w:rFonts w:ascii="Times New Roman" w:hAnsi="Times New Roman" w:cs="Times New Roman"/>
        </w:rPr>
        <w:t>Xu X, Chew KA, Wong ZX, Phua AKS, Chong EJY, Teo CKL, Sathe N, Chooi YC, Chia WPF, Henry CJ, Chew E, Wang M, Maier AB, Kandiah N, Chen CL. The SINgapore GERiatric Intervention Study to Reduce Cognitive Decline and Physical Frailty (SINGER): Study Design and Protocol. J Prev Alzheimers Dis. 2022;9(1):40-48. doi: 10.14283/jpad.2022.5. PMID: 35098972; PMCID: PMC8753332.</w:t>
      </w:r>
    </w:p>
    <w:p w14:paraId="6C785A89" w14:textId="77777777" w:rsidR="00E84D1A" w:rsidRPr="000D69BB" w:rsidRDefault="00E84D1A" w:rsidP="000D69BB">
      <w:pPr>
        <w:spacing w:line="360" w:lineRule="auto"/>
        <w:jc w:val="both"/>
        <w:rPr>
          <w:rFonts w:ascii="Times New Roman" w:hAnsi="Times New Roman" w:cs="Times New Roman"/>
        </w:rPr>
      </w:pPr>
    </w:p>
    <w:sectPr w:rsidR="00E84D1A" w:rsidRPr="000D69BB" w:rsidSect="00DF551E">
      <w:footerReference w:type="even" r:id="rId9"/>
      <w:footerReference w:type="default" r:id="rId10"/>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F2DB8" w14:textId="77777777" w:rsidR="00401FEC" w:rsidRDefault="00401FEC" w:rsidP="00DF551E">
      <w:pPr>
        <w:spacing w:after="0" w:line="240" w:lineRule="auto"/>
      </w:pPr>
      <w:r>
        <w:separator/>
      </w:r>
    </w:p>
  </w:endnote>
  <w:endnote w:type="continuationSeparator" w:id="0">
    <w:p w14:paraId="62CC16BE" w14:textId="77777777" w:rsidR="00401FEC" w:rsidRDefault="00401FEC" w:rsidP="00DF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w:panose1 w:val="00000000000000000000"/>
    <w:charset w:val="00"/>
    <w:family w:val="auto"/>
    <w:pitch w:val="variable"/>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376943"/>
      <w:docPartObj>
        <w:docPartGallery w:val="Page Numbers (Bottom of Page)"/>
        <w:docPartUnique/>
      </w:docPartObj>
    </w:sdtPr>
    <w:sdtContent>
      <w:p w14:paraId="216BDFF1" w14:textId="003B5EA8" w:rsidR="00DF551E" w:rsidRDefault="00DF551E" w:rsidP="004B5F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16D164" w14:textId="77777777" w:rsidR="00DF551E" w:rsidRDefault="00DF551E" w:rsidP="00DF5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668740"/>
      <w:docPartObj>
        <w:docPartGallery w:val="Page Numbers (Bottom of Page)"/>
        <w:docPartUnique/>
      </w:docPartObj>
    </w:sdtPr>
    <w:sdtContent>
      <w:p w14:paraId="0AE01CB8" w14:textId="45B31A67" w:rsidR="00DF551E" w:rsidRDefault="00DF551E" w:rsidP="004B5F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88AAB72" w14:textId="77777777" w:rsidR="00DF551E" w:rsidRDefault="00DF551E" w:rsidP="00DF55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1F273" w14:textId="77777777" w:rsidR="00401FEC" w:rsidRDefault="00401FEC" w:rsidP="00DF551E">
      <w:pPr>
        <w:spacing w:after="0" w:line="240" w:lineRule="auto"/>
      </w:pPr>
      <w:r>
        <w:separator/>
      </w:r>
    </w:p>
  </w:footnote>
  <w:footnote w:type="continuationSeparator" w:id="0">
    <w:p w14:paraId="21C789B4" w14:textId="77777777" w:rsidR="00401FEC" w:rsidRDefault="00401FEC" w:rsidP="00DF5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A92"/>
    <w:multiLevelType w:val="multilevel"/>
    <w:tmpl w:val="0B7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503EE"/>
    <w:multiLevelType w:val="multilevel"/>
    <w:tmpl w:val="0036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937AA"/>
    <w:multiLevelType w:val="multilevel"/>
    <w:tmpl w:val="653E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D7167"/>
    <w:multiLevelType w:val="multilevel"/>
    <w:tmpl w:val="BF5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D78AE"/>
    <w:multiLevelType w:val="multilevel"/>
    <w:tmpl w:val="012C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936B5"/>
    <w:multiLevelType w:val="hybridMultilevel"/>
    <w:tmpl w:val="AE080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E4316"/>
    <w:multiLevelType w:val="multilevel"/>
    <w:tmpl w:val="AAE2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519AB"/>
    <w:multiLevelType w:val="multilevel"/>
    <w:tmpl w:val="C4B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54938"/>
    <w:multiLevelType w:val="multilevel"/>
    <w:tmpl w:val="6024C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8215414">
    <w:abstractNumId w:val="0"/>
  </w:num>
  <w:num w:numId="2" w16cid:durableId="775831860">
    <w:abstractNumId w:val="1"/>
  </w:num>
  <w:num w:numId="3" w16cid:durableId="622153630">
    <w:abstractNumId w:val="6"/>
  </w:num>
  <w:num w:numId="4" w16cid:durableId="718363321">
    <w:abstractNumId w:val="3"/>
  </w:num>
  <w:num w:numId="5" w16cid:durableId="2120832920">
    <w:abstractNumId w:val="4"/>
  </w:num>
  <w:num w:numId="6" w16cid:durableId="104737367">
    <w:abstractNumId w:val="7"/>
  </w:num>
  <w:num w:numId="7" w16cid:durableId="1416122192">
    <w:abstractNumId w:val="2"/>
  </w:num>
  <w:num w:numId="8" w16cid:durableId="1028531569">
    <w:abstractNumId w:val="8"/>
  </w:num>
  <w:num w:numId="9" w16cid:durableId="788554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0E"/>
    <w:rsid w:val="000071FD"/>
    <w:rsid w:val="00011166"/>
    <w:rsid w:val="00043BFE"/>
    <w:rsid w:val="000660B9"/>
    <w:rsid w:val="00070FB8"/>
    <w:rsid w:val="00086D4E"/>
    <w:rsid w:val="000A5393"/>
    <w:rsid w:val="000D69BB"/>
    <w:rsid w:val="000E3504"/>
    <w:rsid w:val="001134F4"/>
    <w:rsid w:val="00133D8B"/>
    <w:rsid w:val="00163B42"/>
    <w:rsid w:val="00180F6F"/>
    <w:rsid w:val="001955DF"/>
    <w:rsid w:val="001D40F9"/>
    <w:rsid w:val="00221641"/>
    <w:rsid w:val="0023273A"/>
    <w:rsid w:val="00233FE8"/>
    <w:rsid w:val="00275679"/>
    <w:rsid w:val="002F2C48"/>
    <w:rsid w:val="0031575C"/>
    <w:rsid w:val="00365D30"/>
    <w:rsid w:val="003A342C"/>
    <w:rsid w:val="003A3C8D"/>
    <w:rsid w:val="00401FEC"/>
    <w:rsid w:val="00480ACC"/>
    <w:rsid w:val="0049159A"/>
    <w:rsid w:val="004A2330"/>
    <w:rsid w:val="004B663E"/>
    <w:rsid w:val="004C22D6"/>
    <w:rsid w:val="004E4E3F"/>
    <w:rsid w:val="00507124"/>
    <w:rsid w:val="005242F2"/>
    <w:rsid w:val="00562496"/>
    <w:rsid w:val="00594BDF"/>
    <w:rsid w:val="005C58F8"/>
    <w:rsid w:val="005E2927"/>
    <w:rsid w:val="00607522"/>
    <w:rsid w:val="00654620"/>
    <w:rsid w:val="00680A45"/>
    <w:rsid w:val="006D6B25"/>
    <w:rsid w:val="006E33D3"/>
    <w:rsid w:val="006E3DC5"/>
    <w:rsid w:val="007028B0"/>
    <w:rsid w:val="00704CF5"/>
    <w:rsid w:val="00722DE8"/>
    <w:rsid w:val="00735DDA"/>
    <w:rsid w:val="007406D5"/>
    <w:rsid w:val="00773B04"/>
    <w:rsid w:val="007A3D93"/>
    <w:rsid w:val="007A4759"/>
    <w:rsid w:val="007B5E9B"/>
    <w:rsid w:val="007D12A7"/>
    <w:rsid w:val="00827B10"/>
    <w:rsid w:val="0084654C"/>
    <w:rsid w:val="00877260"/>
    <w:rsid w:val="00897169"/>
    <w:rsid w:val="008C5A6A"/>
    <w:rsid w:val="00930792"/>
    <w:rsid w:val="009C2043"/>
    <w:rsid w:val="009D12EC"/>
    <w:rsid w:val="009F24DA"/>
    <w:rsid w:val="009F65CF"/>
    <w:rsid w:val="00A21EBE"/>
    <w:rsid w:val="00A57346"/>
    <w:rsid w:val="00A810FA"/>
    <w:rsid w:val="00A91D8C"/>
    <w:rsid w:val="00A96199"/>
    <w:rsid w:val="00AA0F8A"/>
    <w:rsid w:val="00AB3AA6"/>
    <w:rsid w:val="00AB6988"/>
    <w:rsid w:val="00B518F7"/>
    <w:rsid w:val="00B6607F"/>
    <w:rsid w:val="00B94119"/>
    <w:rsid w:val="00B9533B"/>
    <w:rsid w:val="00B957DA"/>
    <w:rsid w:val="00BD4428"/>
    <w:rsid w:val="00BE7D39"/>
    <w:rsid w:val="00C00DD3"/>
    <w:rsid w:val="00C6391E"/>
    <w:rsid w:val="00C81385"/>
    <w:rsid w:val="00C84046"/>
    <w:rsid w:val="00C84FE5"/>
    <w:rsid w:val="00C95A74"/>
    <w:rsid w:val="00CC6A23"/>
    <w:rsid w:val="00D12DAA"/>
    <w:rsid w:val="00D2097C"/>
    <w:rsid w:val="00D7176D"/>
    <w:rsid w:val="00D71805"/>
    <w:rsid w:val="00D84A25"/>
    <w:rsid w:val="00D8624F"/>
    <w:rsid w:val="00DC53E3"/>
    <w:rsid w:val="00DD6A9B"/>
    <w:rsid w:val="00DF12A7"/>
    <w:rsid w:val="00DF23AF"/>
    <w:rsid w:val="00DF551E"/>
    <w:rsid w:val="00E12E30"/>
    <w:rsid w:val="00E72295"/>
    <w:rsid w:val="00E74EF4"/>
    <w:rsid w:val="00E84D1A"/>
    <w:rsid w:val="00E91F47"/>
    <w:rsid w:val="00EA45A6"/>
    <w:rsid w:val="00EA780E"/>
    <w:rsid w:val="00EB36B9"/>
    <w:rsid w:val="00EC19BD"/>
    <w:rsid w:val="00ED6874"/>
    <w:rsid w:val="00EE367D"/>
    <w:rsid w:val="00EE4343"/>
    <w:rsid w:val="00F371C8"/>
    <w:rsid w:val="00F43427"/>
    <w:rsid w:val="00F515AC"/>
    <w:rsid w:val="00F53E5F"/>
    <w:rsid w:val="00F706E3"/>
    <w:rsid w:val="00FD25E7"/>
    <w:rsid w:val="00FF2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4948"/>
  <w15:chartTrackingRefBased/>
  <w15:docId w15:val="{60109C4D-9E2B-774F-991A-F24EEA5B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84D1A"/>
  </w:style>
  <w:style w:type="paragraph" w:styleId="Heading1">
    <w:name w:val="heading 1"/>
    <w:basedOn w:val="Normal"/>
    <w:next w:val="Normal"/>
    <w:link w:val="Heading1Char"/>
    <w:uiPriority w:val="9"/>
    <w:qFormat/>
    <w:rsid w:val="00EA7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7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7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80E"/>
    <w:rPr>
      <w:rFonts w:eastAsiaTheme="majorEastAsia" w:cstheme="majorBidi"/>
      <w:color w:val="272727" w:themeColor="text1" w:themeTint="D8"/>
    </w:rPr>
  </w:style>
  <w:style w:type="paragraph" w:styleId="Title">
    <w:name w:val="Title"/>
    <w:basedOn w:val="Normal"/>
    <w:next w:val="Normal"/>
    <w:link w:val="TitleChar"/>
    <w:uiPriority w:val="10"/>
    <w:qFormat/>
    <w:rsid w:val="00EA7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80E"/>
    <w:pPr>
      <w:spacing w:before="160"/>
      <w:jc w:val="center"/>
    </w:pPr>
    <w:rPr>
      <w:i/>
      <w:iCs/>
      <w:color w:val="404040" w:themeColor="text1" w:themeTint="BF"/>
    </w:rPr>
  </w:style>
  <w:style w:type="character" w:customStyle="1" w:styleId="QuoteChar">
    <w:name w:val="Quote Char"/>
    <w:basedOn w:val="DefaultParagraphFont"/>
    <w:link w:val="Quote"/>
    <w:uiPriority w:val="29"/>
    <w:rsid w:val="00EA780E"/>
    <w:rPr>
      <w:i/>
      <w:iCs/>
      <w:color w:val="404040" w:themeColor="text1" w:themeTint="BF"/>
    </w:rPr>
  </w:style>
  <w:style w:type="paragraph" w:styleId="ListParagraph">
    <w:name w:val="List Paragraph"/>
    <w:basedOn w:val="Normal"/>
    <w:uiPriority w:val="34"/>
    <w:qFormat/>
    <w:rsid w:val="00EA780E"/>
    <w:pPr>
      <w:ind w:left="720"/>
      <w:contextualSpacing/>
    </w:pPr>
  </w:style>
  <w:style w:type="character" w:styleId="IntenseEmphasis">
    <w:name w:val="Intense Emphasis"/>
    <w:basedOn w:val="DefaultParagraphFont"/>
    <w:uiPriority w:val="21"/>
    <w:qFormat/>
    <w:rsid w:val="00EA780E"/>
    <w:rPr>
      <w:i/>
      <w:iCs/>
      <w:color w:val="0F4761" w:themeColor="accent1" w:themeShade="BF"/>
    </w:rPr>
  </w:style>
  <w:style w:type="paragraph" w:styleId="IntenseQuote">
    <w:name w:val="Intense Quote"/>
    <w:basedOn w:val="Normal"/>
    <w:next w:val="Normal"/>
    <w:link w:val="IntenseQuoteChar"/>
    <w:uiPriority w:val="30"/>
    <w:qFormat/>
    <w:rsid w:val="00EA7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80E"/>
    <w:rPr>
      <w:i/>
      <w:iCs/>
      <w:color w:val="0F4761" w:themeColor="accent1" w:themeShade="BF"/>
    </w:rPr>
  </w:style>
  <w:style w:type="character" w:styleId="IntenseReference">
    <w:name w:val="Intense Reference"/>
    <w:basedOn w:val="DefaultParagraphFont"/>
    <w:uiPriority w:val="32"/>
    <w:qFormat/>
    <w:rsid w:val="00EA780E"/>
    <w:rPr>
      <w:b/>
      <w:bCs/>
      <w:smallCaps/>
      <w:color w:val="0F4761" w:themeColor="accent1" w:themeShade="BF"/>
      <w:spacing w:val="5"/>
    </w:rPr>
  </w:style>
  <w:style w:type="paragraph" w:styleId="NormalWeb">
    <w:name w:val="Normal (Web)"/>
    <w:basedOn w:val="Normal"/>
    <w:uiPriority w:val="99"/>
    <w:semiHidden/>
    <w:unhideWhenUsed/>
    <w:rsid w:val="00EA78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A780E"/>
    <w:rPr>
      <w:b/>
      <w:bCs/>
    </w:rPr>
  </w:style>
  <w:style w:type="character" w:customStyle="1" w:styleId="apple-converted-space">
    <w:name w:val="apple-converted-space"/>
    <w:basedOn w:val="DefaultParagraphFont"/>
    <w:rsid w:val="00EA780E"/>
  </w:style>
  <w:style w:type="character" w:styleId="Emphasis">
    <w:name w:val="Emphasis"/>
    <w:basedOn w:val="DefaultParagraphFont"/>
    <w:uiPriority w:val="20"/>
    <w:qFormat/>
    <w:rsid w:val="00EA780E"/>
    <w:rPr>
      <w:i/>
      <w:iCs/>
    </w:rPr>
  </w:style>
  <w:style w:type="character" w:styleId="Hyperlink">
    <w:name w:val="Hyperlink"/>
    <w:basedOn w:val="DefaultParagraphFont"/>
    <w:uiPriority w:val="99"/>
    <w:unhideWhenUsed/>
    <w:rsid w:val="007406D5"/>
    <w:rPr>
      <w:color w:val="467886" w:themeColor="hyperlink"/>
      <w:u w:val="single"/>
    </w:rPr>
  </w:style>
  <w:style w:type="character" w:styleId="UnresolvedMention">
    <w:name w:val="Unresolved Mention"/>
    <w:basedOn w:val="DefaultParagraphFont"/>
    <w:uiPriority w:val="99"/>
    <w:rsid w:val="007406D5"/>
    <w:rPr>
      <w:color w:val="605E5C"/>
      <w:shd w:val="clear" w:color="auto" w:fill="E1DFDD"/>
    </w:rPr>
  </w:style>
  <w:style w:type="paragraph" w:customStyle="1" w:styleId="p1">
    <w:name w:val="p1"/>
    <w:basedOn w:val="Normal"/>
    <w:rsid w:val="00DF23AF"/>
    <w:pPr>
      <w:spacing w:after="0" w:line="240" w:lineRule="auto"/>
    </w:pPr>
    <w:rPr>
      <w:rFonts w:ascii="Palatino" w:eastAsia="Times New Roman" w:hAnsi="Palatino" w:cs="Times New Roman"/>
      <w:color w:val="21201E"/>
      <w:kern w:val="0"/>
      <w:sz w:val="14"/>
      <w:szCs w:val="14"/>
      <w14:ligatures w14:val="none"/>
    </w:rPr>
  </w:style>
  <w:style w:type="table" w:styleId="TableGrid">
    <w:name w:val="Table Grid"/>
    <w:basedOn w:val="TableNormal"/>
    <w:uiPriority w:val="59"/>
    <w:rsid w:val="00F515A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43427"/>
  </w:style>
  <w:style w:type="paragraph" w:customStyle="1" w:styleId="Normal1">
    <w:name w:val="Normal1"/>
    <w:rsid w:val="00F706E3"/>
    <w:pPr>
      <w:pBdr>
        <w:top w:val="nil"/>
        <w:left w:val="nil"/>
        <w:bottom w:val="nil"/>
        <w:right w:val="nil"/>
        <w:between w:val="nil"/>
      </w:pBdr>
      <w:spacing w:after="0" w:line="240" w:lineRule="auto"/>
    </w:pPr>
    <w:rPr>
      <w:rFonts w:ascii="Times New Roman" w:eastAsia="Times New Roman" w:hAnsi="Times New Roman" w:cs="Times New Roman"/>
      <w:color w:val="000000"/>
      <w:kern w:val="0"/>
      <w14:ligatures w14:val="none"/>
    </w:rPr>
  </w:style>
  <w:style w:type="paragraph" w:styleId="Footer">
    <w:name w:val="footer"/>
    <w:basedOn w:val="Normal"/>
    <w:link w:val="FooterChar"/>
    <w:uiPriority w:val="99"/>
    <w:unhideWhenUsed/>
    <w:rsid w:val="00DF5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51E"/>
  </w:style>
  <w:style w:type="character" w:styleId="PageNumber">
    <w:name w:val="page number"/>
    <w:basedOn w:val="DefaultParagraphFont"/>
    <w:uiPriority w:val="99"/>
    <w:semiHidden/>
    <w:unhideWhenUsed/>
    <w:rsid w:val="00DF551E"/>
  </w:style>
  <w:style w:type="paragraph" w:styleId="Revision">
    <w:name w:val="Revision"/>
    <w:hidden/>
    <w:uiPriority w:val="99"/>
    <w:semiHidden/>
    <w:rsid w:val="006E33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70">
      <w:bodyDiv w:val="1"/>
      <w:marLeft w:val="0"/>
      <w:marRight w:val="0"/>
      <w:marTop w:val="0"/>
      <w:marBottom w:val="0"/>
      <w:divBdr>
        <w:top w:val="none" w:sz="0" w:space="0" w:color="auto"/>
        <w:left w:val="none" w:sz="0" w:space="0" w:color="auto"/>
        <w:bottom w:val="none" w:sz="0" w:space="0" w:color="auto"/>
        <w:right w:val="none" w:sz="0" w:space="0" w:color="auto"/>
      </w:divBdr>
    </w:div>
    <w:div w:id="7104929">
      <w:bodyDiv w:val="1"/>
      <w:marLeft w:val="0"/>
      <w:marRight w:val="0"/>
      <w:marTop w:val="0"/>
      <w:marBottom w:val="0"/>
      <w:divBdr>
        <w:top w:val="none" w:sz="0" w:space="0" w:color="auto"/>
        <w:left w:val="none" w:sz="0" w:space="0" w:color="auto"/>
        <w:bottom w:val="none" w:sz="0" w:space="0" w:color="auto"/>
        <w:right w:val="none" w:sz="0" w:space="0" w:color="auto"/>
      </w:divBdr>
    </w:div>
    <w:div w:id="38937794">
      <w:bodyDiv w:val="1"/>
      <w:marLeft w:val="0"/>
      <w:marRight w:val="0"/>
      <w:marTop w:val="0"/>
      <w:marBottom w:val="0"/>
      <w:divBdr>
        <w:top w:val="none" w:sz="0" w:space="0" w:color="auto"/>
        <w:left w:val="none" w:sz="0" w:space="0" w:color="auto"/>
        <w:bottom w:val="none" w:sz="0" w:space="0" w:color="auto"/>
        <w:right w:val="none" w:sz="0" w:space="0" w:color="auto"/>
      </w:divBdr>
    </w:div>
    <w:div w:id="149568767">
      <w:bodyDiv w:val="1"/>
      <w:marLeft w:val="0"/>
      <w:marRight w:val="0"/>
      <w:marTop w:val="0"/>
      <w:marBottom w:val="0"/>
      <w:divBdr>
        <w:top w:val="none" w:sz="0" w:space="0" w:color="auto"/>
        <w:left w:val="none" w:sz="0" w:space="0" w:color="auto"/>
        <w:bottom w:val="none" w:sz="0" w:space="0" w:color="auto"/>
        <w:right w:val="none" w:sz="0" w:space="0" w:color="auto"/>
      </w:divBdr>
    </w:div>
    <w:div w:id="161707420">
      <w:bodyDiv w:val="1"/>
      <w:marLeft w:val="0"/>
      <w:marRight w:val="0"/>
      <w:marTop w:val="0"/>
      <w:marBottom w:val="0"/>
      <w:divBdr>
        <w:top w:val="none" w:sz="0" w:space="0" w:color="auto"/>
        <w:left w:val="none" w:sz="0" w:space="0" w:color="auto"/>
        <w:bottom w:val="none" w:sz="0" w:space="0" w:color="auto"/>
        <w:right w:val="none" w:sz="0" w:space="0" w:color="auto"/>
      </w:divBdr>
    </w:div>
    <w:div w:id="192573121">
      <w:bodyDiv w:val="1"/>
      <w:marLeft w:val="0"/>
      <w:marRight w:val="0"/>
      <w:marTop w:val="0"/>
      <w:marBottom w:val="0"/>
      <w:divBdr>
        <w:top w:val="none" w:sz="0" w:space="0" w:color="auto"/>
        <w:left w:val="none" w:sz="0" w:space="0" w:color="auto"/>
        <w:bottom w:val="none" w:sz="0" w:space="0" w:color="auto"/>
        <w:right w:val="none" w:sz="0" w:space="0" w:color="auto"/>
      </w:divBdr>
    </w:div>
    <w:div w:id="202057947">
      <w:bodyDiv w:val="1"/>
      <w:marLeft w:val="0"/>
      <w:marRight w:val="0"/>
      <w:marTop w:val="0"/>
      <w:marBottom w:val="0"/>
      <w:divBdr>
        <w:top w:val="none" w:sz="0" w:space="0" w:color="auto"/>
        <w:left w:val="none" w:sz="0" w:space="0" w:color="auto"/>
        <w:bottom w:val="none" w:sz="0" w:space="0" w:color="auto"/>
        <w:right w:val="none" w:sz="0" w:space="0" w:color="auto"/>
      </w:divBdr>
    </w:div>
    <w:div w:id="249655236">
      <w:bodyDiv w:val="1"/>
      <w:marLeft w:val="0"/>
      <w:marRight w:val="0"/>
      <w:marTop w:val="0"/>
      <w:marBottom w:val="0"/>
      <w:divBdr>
        <w:top w:val="none" w:sz="0" w:space="0" w:color="auto"/>
        <w:left w:val="none" w:sz="0" w:space="0" w:color="auto"/>
        <w:bottom w:val="none" w:sz="0" w:space="0" w:color="auto"/>
        <w:right w:val="none" w:sz="0" w:space="0" w:color="auto"/>
      </w:divBdr>
    </w:div>
    <w:div w:id="470632649">
      <w:bodyDiv w:val="1"/>
      <w:marLeft w:val="0"/>
      <w:marRight w:val="0"/>
      <w:marTop w:val="0"/>
      <w:marBottom w:val="0"/>
      <w:divBdr>
        <w:top w:val="none" w:sz="0" w:space="0" w:color="auto"/>
        <w:left w:val="none" w:sz="0" w:space="0" w:color="auto"/>
        <w:bottom w:val="none" w:sz="0" w:space="0" w:color="auto"/>
        <w:right w:val="none" w:sz="0" w:space="0" w:color="auto"/>
      </w:divBdr>
    </w:div>
    <w:div w:id="563182993">
      <w:bodyDiv w:val="1"/>
      <w:marLeft w:val="0"/>
      <w:marRight w:val="0"/>
      <w:marTop w:val="0"/>
      <w:marBottom w:val="0"/>
      <w:divBdr>
        <w:top w:val="none" w:sz="0" w:space="0" w:color="auto"/>
        <w:left w:val="none" w:sz="0" w:space="0" w:color="auto"/>
        <w:bottom w:val="none" w:sz="0" w:space="0" w:color="auto"/>
        <w:right w:val="none" w:sz="0" w:space="0" w:color="auto"/>
      </w:divBdr>
    </w:div>
    <w:div w:id="667175173">
      <w:bodyDiv w:val="1"/>
      <w:marLeft w:val="0"/>
      <w:marRight w:val="0"/>
      <w:marTop w:val="0"/>
      <w:marBottom w:val="0"/>
      <w:divBdr>
        <w:top w:val="none" w:sz="0" w:space="0" w:color="auto"/>
        <w:left w:val="none" w:sz="0" w:space="0" w:color="auto"/>
        <w:bottom w:val="none" w:sz="0" w:space="0" w:color="auto"/>
        <w:right w:val="none" w:sz="0" w:space="0" w:color="auto"/>
      </w:divBdr>
    </w:div>
    <w:div w:id="910308345">
      <w:bodyDiv w:val="1"/>
      <w:marLeft w:val="0"/>
      <w:marRight w:val="0"/>
      <w:marTop w:val="0"/>
      <w:marBottom w:val="0"/>
      <w:divBdr>
        <w:top w:val="none" w:sz="0" w:space="0" w:color="auto"/>
        <w:left w:val="none" w:sz="0" w:space="0" w:color="auto"/>
        <w:bottom w:val="none" w:sz="0" w:space="0" w:color="auto"/>
        <w:right w:val="none" w:sz="0" w:space="0" w:color="auto"/>
      </w:divBdr>
    </w:div>
    <w:div w:id="912272789">
      <w:bodyDiv w:val="1"/>
      <w:marLeft w:val="0"/>
      <w:marRight w:val="0"/>
      <w:marTop w:val="0"/>
      <w:marBottom w:val="0"/>
      <w:divBdr>
        <w:top w:val="none" w:sz="0" w:space="0" w:color="auto"/>
        <w:left w:val="none" w:sz="0" w:space="0" w:color="auto"/>
        <w:bottom w:val="none" w:sz="0" w:space="0" w:color="auto"/>
        <w:right w:val="none" w:sz="0" w:space="0" w:color="auto"/>
      </w:divBdr>
    </w:div>
    <w:div w:id="951860381">
      <w:bodyDiv w:val="1"/>
      <w:marLeft w:val="0"/>
      <w:marRight w:val="0"/>
      <w:marTop w:val="0"/>
      <w:marBottom w:val="0"/>
      <w:divBdr>
        <w:top w:val="none" w:sz="0" w:space="0" w:color="auto"/>
        <w:left w:val="none" w:sz="0" w:space="0" w:color="auto"/>
        <w:bottom w:val="none" w:sz="0" w:space="0" w:color="auto"/>
        <w:right w:val="none" w:sz="0" w:space="0" w:color="auto"/>
      </w:divBdr>
    </w:div>
    <w:div w:id="995453454">
      <w:bodyDiv w:val="1"/>
      <w:marLeft w:val="0"/>
      <w:marRight w:val="0"/>
      <w:marTop w:val="0"/>
      <w:marBottom w:val="0"/>
      <w:divBdr>
        <w:top w:val="none" w:sz="0" w:space="0" w:color="auto"/>
        <w:left w:val="none" w:sz="0" w:space="0" w:color="auto"/>
        <w:bottom w:val="none" w:sz="0" w:space="0" w:color="auto"/>
        <w:right w:val="none" w:sz="0" w:space="0" w:color="auto"/>
      </w:divBdr>
    </w:div>
    <w:div w:id="1072654982">
      <w:bodyDiv w:val="1"/>
      <w:marLeft w:val="0"/>
      <w:marRight w:val="0"/>
      <w:marTop w:val="0"/>
      <w:marBottom w:val="0"/>
      <w:divBdr>
        <w:top w:val="none" w:sz="0" w:space="0" w:color="auto"/>
        <w:left w:val="none" w:sz="0" w:space="0" w:color="auto"/>
        <w:bottom w:val="none" w:sz="0" w:space="0" w:color="auto"/>
        <w:right w:val="none" w:sz="0" w:space="0" w:color="auto"/>
      </w:divBdr>
    </w:div>
    <w:div w:id="1254363849">
      <w:bodyDiv w:val="1"/>
      <w:marLeft w:val="0"/>
      <w:marRight w:val="0"/>
      <w:marTop w:val="0"/>
      <w:marBottom w:val="0"/>
      <w:divBdr>
        <w:top w:val="none" w:sz="0" w:space="0" w:color="auto"/>
        <w:left w:val="none" w:sz="0" w:space="0" w:color="auto"/>
        <w:bottom w:val="none" w:sz="0" w:space="0" w:color="auto"/>
        <w:right w:val="none" w:sz="0" w:space="0" w:color="auto"/>
      </w:divBdr>
    </w:div>
    <w:div w:id="1298141195">
      <w:bodyDiv w:val="1"/>
      <w:marLeft w:val="0"/>
      <w:marRight w:val="0"/>
      <w:marTop w:val="0"/>
      <w:marBottom w:val="0"/>
      <w:divBdr>
        <w:top w:val="none" w:sz="0" w:space="0" w:color="auto"/>
        <w:left w:val="none" w:sz="0" w:space="0" w:color="auto"/>
        <w:bottom w:val="none" w:sz="0" w:space="0" w:color="auto"/>
        <w:right w:val="none" w:sz="0" w:space="0" w:color="auto"/>
      </w:divBdr>
    </w:div>
    <w:div w:id="1508128878">
      <w:bodyDiv w:val="1"/>
      <w:marLeft w:val="0"/>
      <w:marRight w:val="0"/>
      <w:marTop w:val="0"/>
      <w:marBottom w:val="0"/>
      <w:divBdr>
        <w:top w:val="none" w:sz="0" w:space="0" w:color="auto"/>
        <w:left w:val="none" w:sz="0" w:space="0" w:color="auto"/>
        <w:bottom w:val="none" w:sz="0" w:space="0" w:color="auto"/>
        <w:right w:val="none" w:sz="0" w:space="0" w:color="auto"/>
      </w:divBdr>
    </w:div>
    <w:div w:id="1585451769">
      <w:bodyDiv w:val="1"/>
      <w:marLeft w:val="0"/>
      <w:marRight w:val="0"/>
      <w:marTop w:val="0"/>
      <w:marBottom w:val="0"/>
      <w:divBdr>
        <w:top w:val="none" w:sz="0" w:space="0" w:color="auto"/>
        <w:left w:val="none" w:sz="0" w:space="0" w:color="auto"/>
        <w:bottom w:val="none" w:sz="0" w:space="0" w:color="auto"/>
        <w:right w:val="none" w:sz="0" w:space="0" w:color="auto"/>
      </w:divBdr>
    </w:div>
    <w:div w:id="1618949902">
      <w:bodyDiv w:val="1"/>
      <w:marLeft w:val="0"/>
      <w:marRight w:val="0"/>
      <w:marTop w:val="0"/>
      <w:marBottom w:val="0"/>
      <w:divBdr>
        <w:top w:val="none" w:sz="0" w:space="0" w:color="auto"/>
        <w:left w:val="none" w:sz="0" w:space="0" w:color="auto"/>
        <w:bottom w:val="none" w:sz="0" w:space="0" w:color="auto"/>
        <w:right w:val="none" w:sz="0" w:space="0" w:color="auto"/>
      </w:divBdr>
    </w:div>
    <w:div w:id="1767843666">
      <w:bodyDiv w:val="1"/>
      <w:marLeft w:val="0"/>
      <w:marRight w:val="0"/>
      <w:marTop w:val="0"/>
      <w:marBottom w:val="0"/>
      <w:divBdr>
        <w:top w:val="none" w:sz="0" w:space="0" w:color="auto"/>
        <w:left w:val="none" w:sz="0" w:space="0" w:color="auto"/>
        <w:bottom w:val="none" w:sz="0" w:space="0" w:color="auto"/>
        <w:right w:val="none" w:sz="0" w:space="0" w:color="auto"/>
      </w:divBdr>
    </w:div>
    <w:div w:id="181621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lz.0442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18</Pages>
  <Words>4798</Words>
  <Characters>27354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Roach</dc:creator>
  <cp:keywords/>
  <dc:description/>
  <cp:lastModifiedBy>Jared Roach</cp:lastModifiedBy>
  <cp:revision>45</cp:revision>
  <dcterms:created xsi:type="dcterms:W3CDTF">2025-02-27T14:37:00Z</dcterms:created>
  <dcterms:modified xsi:type="dcterms:W3CDTF">2025-10-08T01:44:00Z</dcterms:modified>
</cp:coreProperties>
</file>