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2C344" w14:textId="77777777" w:rsidR="00DF6E6E" w:rsidRPr="00B3024A" w:rsidRDefault="00000000">
      <w:pPr>
        <w:spacing w:line="480" w:lineRule="auto"/>
        <w:jc w:val="center"/>
        <w:rPr>
          <w:rFonts w:ascii="Arial" w:hAnsi="Arial" w:cs="Arial"/>
          <w:b/>
          <w:bCs/>
        </w:rPr>
      </w:pPr>
      <w:r w:rsidRPr="00B3024A">
        <w:rPr>
          <w:rFonts w:ascii="Arial" w:hAnsi="Arial" w:cs="Arial"/>
          <w:b/>
          <w:bCs/>
        </w:rPr>
        <w:t xml:space="preserve">Supplementary Information </w:t>
      </w:r>
    </w:p>
    <w:p w14:paraId="2EF9ECC8" w14:textId="77777777" w:rsidR="00DF6E6E" w:rsidRPr="00B3024A" w:rsidRDefault="00000000">
      <w:pPr>
        <w:spacing w:line="480" w:lineRule="auto"/>
        <w:rPr>
          <w:rFonts w:ascii="Arial" w:hAnsi="Arial" w:cs="Arial"/>
          <w:b/>
          <w:iCs/>
        </w:rPr>
      </w:pPr>
      <w:r w:rsidRPr="00B3024A">
        <w:rPr>
          <w:rFonts w:ascii="Arial" w:hAnsi="Arial" w:cs="Arial"/>
          <w:b/>
          <w:iCs/>
        </w:rPr>
        <w:t>Supplementary Methods</w:t>
      </w:r>
    </w:p>
    <w:tbl>
      <w:tblPr>
        <w:tblStyle w:val="Gitternetztabelle1hell"/>
        <w:tblW w:w="9016" w:type="dxa"/>
        <w:tblLook w:val="04A0" w:firstRow="1" w:lastRow="0" w:firstColumn="1" w:lastColumn="0" w:noHBand="0" w:noVBand="1"/>
      </w:tblPr>
      <w:tblGrid>
        <w:gridCol w:w="3612"/>
        <w:gridCol w:w="1827"/>
        <w:gridCol w:w="1834"/>
        <w:gridCol w:w="1743"/>
      </w:tblGrid>
      <w:tr w:rsidR="00DF6E6E" w:rsidRPr="00B3024A" w14:paraId="5FB90AA7" w14:textId="77777777" w:rsidTr="00DF6E6E">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3612" w:type="dxa"/>
          </w:tcPr>
          <w:p w14:paraId="44FD8FC5"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Demographics</w:t>
            </w:r>
          </w:p>
        </w:tc>
        <w:tc>
          <w:tcPr>
            <w:tcW w:w="1827" w:type="dxa"/>
          </w:tcPr>
          <w:p w14:paraId="4E814D9C" w14:textId="77777777" w:rsidR="00DF6E6E" w:rsidRPr="00B3024A"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PSP</w:t>
            </w:r>
          </w:p>
        </w:tc>
        <w:tc>
          <w:tcPr>
            <w:tcW w:w="1834" w:type="dxa"/>
          </w:tcPr>
          <w:p w14:paraId="518B39BB" w14:textId="77777777" w:rsidR="00DF6E6E" w:rsidRPr="00B3024A"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CBS</w:t>
            </w:r>
          </w:p>
        </w:tc>
        <w:tc>
          <w:tcPr>
            <w:tcW w:w="1743" w:type="dxa"/>
          </w:tcPr>
          <w:p w14:paraId="65328F87" w14:textId="77777777" w:rsidR="00DF6E6E" w:rsidRPr="00B3024A" w:rsidRDefault="00000000">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FTD</w:t>
            </w:r>
          </w:p>
        </w:tc>
      </w:tr>
      <w:tr w:rsidR="00DF6E6E" w:rsidRPr="00B3024A" w14:paraId="11D5E4C6" w14:textId="77777777" w:rsidTr="00DF6E6E">
        <w:trPr>
          <w:trHeight w:val="260"/>
        </w:trPr>
        <w:tc>
          <w:tcPr>
            <w:cnfStyle w:val="001000000000" w:firstRow="0" w:lastRow="0" w:firstColumn="1" w:lastColumn="0" w:oddVBand="0" w:evenVBand="0" w:oddHBand="0" w:evenHBand="0" w:firstRowFirstColumn="0" w:firstRowLastColumn="0" w:lastRowFirstColumn="0" w:lastRowLastColumn="0"/>
            <w:tcW w:w="3612" w:type="dxa"/>
          </w:tcPr>
          <w:p w14:paraId="58DA95FD"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No.</w:t>
            </w:r>
          </w:p>
        </w:tc>
        <w:tc>
          <w:tcPr>
            <w:tcW w:w="1827" w:type="dxa"/>
          </w:tcPr>
          <w:p w14:paraId="54B8E546" w14:textId="77777777" w:rsidR="00DF6E6E" w:rsidRPr="00B3024A" w:rsidRDefault="00000000">
            <w:pPr>
              <w:tabs>
                <w:tab w:val="left" w:pos="651"/>
              </w:tabs>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12</w:t>
            </w:r>
          </w:p>
        </w:tc>
        <w:tc>
          <w:tcPr>
            <w:tcW w:w="1834" w:type="dxa"/>
          </w:tcPr>
          <w:p w14:paraId="54408A84"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58</w:t>
            </w:r>
          </w:p>
        </w:tc>
        <w:tc>
          <w:tcPr>
            <w:tcW w:w="1743" w:type="dxa"/>
          </w:tcPr>
          <w:p w14:paraId="4B0ECCDC"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27</w:t>
            </w:r>
          </w:p>
        </w:tc>
      </w:tr>
      <w:tr w:rsidR="00DF6E6E" w:rsidRPr="00B3024A" w14:paraId="289EE9C3" w14:textId="77777777" w:rsidTr="00DF6E6E">
        <w:trPr>
          <w:trHeight w:val="252"/>
        </w:trPr>
        <w:tc>
          <w:tcPr>
            <w:cnfStyle w:val="001000000000" w:firstRow="0" w:lastRow="0" w:firstColumn="1" w:lastColumn="0" w:oddVBand="0" w:evenVBand="0" w:oddHBand="0" w:evenHBand="0" w:firstRowFirstColumn="0" w:firstRowLastColumn="0" w:lastRowFirstColumn="0" w:lastRowLastColumn="0"/>
            <w:tcW w:w="3612" w:type="dxa"/>
          </w:tcPr>
          <w:p w14:paraId="55B63308"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Age, mean (SD), y</w:t>
            </w:r>
          </w:p>
        </w:tc>
        <w:tc>
          <w:tcPr>
            <w:tcW w:w="1827" w:type="dxa"/>
          </w:tcPr>
          <w:p w14:paraId="49D08F19" w14:textId="77777777" w:rsidR="00DF6E6E" w:rsidRPr="00B3024A" w:rsidRDefault="00000000">
            <w:pPr>
              <w:tabs>
                <w:tab w:val="left" w:pos="691"/>
              </w:tabs>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68.8 (9.4)</w:t>
            </w:r>
          </w:p>
        </w:tc>
        <w:tc>
          <w:tcPr>
            <w:tcW w:w="1834" w:type="dxa"/>
          </w:tcPr>
          <w:p w14:paraId="610EA013"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69.1 (8.6)</w:t>
            </w:r>
          </w:p>
        </w:tc>
        <w:tc>
          <w:tcPr>
            <w:tcW w:w="1743" w:type="dxa"/>
          </w:tcPr>
          <w:p w14:paraId="091FEB9F"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68.1 (8.6)</w:t>
            </w:r>
          </w:p>
        </w:tc>
      </w:tr>
      <w:tr w:rsidR="00DF6E6E" w:rsidRPr="00B3024A" w14:paraId="6EC83014" w14:textId="77777777" w:rsidTr="00DF6E6E">
        <w:trPr>
          <w:trHeight w:val="252"/>
        </w:trPr>
        <w:tc>
          <w:tcPr>
            <w:cnfStyle w:val="001000000000" w:firstRow="0" w:lastRow="0" w:firstColumn="1" w:lastColumn="0" w:oddVBand="0" w:evenVBand="0" w:oddHBand="0" w:evenHBand="0" w:firstRowFirstColumn="0" w:firstRowLastColumn="0" w:lastRowFirstColumn="0" w:lastRowLastColumn="0"/>
            <w:tcW w:w="3612" w:type="dxa"/>
          </w:tcPr>
          <w:p w14:paraId="737A9DC0"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Female</w:t>
            </w:r>
          </w:p>
        </w:tc>
        <w:tc>
          <w:tcPr>
            <w:tcW w:w="1827" w:type="dxa"/>
          </w:tcPr>
          <w:p w14:paraId="4202CCA1"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6</w:t>
            </w:r>
          </w:p>
        </w:tc>
        <w:tc>
          <w:tcPr>
            <w:tcW w:w="1834" w:type="dxa"/>
          </w:tcPr>
          <w:p w14:paraId="00711C53"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32</w:t>
            </w:r>
          </w:p>
        </w:tc>
        <w:tc>
          <w:tcPr>
            <w:tcW w:w="1743" w:type="dxa"/>
          </w:tcPr>
          <w:p w14:paraId="0E585BD8"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16</w:t>
            </w:r>
          </w:p>
        </w:tc>
      </w:tr>
      <w:tr w:rsidR="00DF6E6E" w:rsidRPr="00B3024A" w14:paraId="17184364" w14:textId="77777777" w:rsidTr="00DF6E6E">
        <w:trPr>
          <w:trHeight w:val="252"/>
        </w:trPr>
        <w:tc>
          <w:tcPr>
            <w:cnfStyle w:val="001000000000" w:firstRow="0" w:lastRow="0" w:firstColumn="1" w:lastColumn="0" w:oddVBand="0" w:evenVBand="0" w:oddHBand="0" w:evenHBand="0" w:firstRowFirstColumn="0" w:firstRowLastColumn="0" w:lastRowFirstColumn="0" w:lastRowLastColumn="0"/>
            <w:tcW w:w="3612" w:type="dxa"/>
          </w:tcPr>
          <w:p w14:paraId="10E966F7"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Male</w:t>
            </w:r>
          </w:p>
        </w:tc>
        <w:tc>
          <w:tcPr>
            <w:tcW w:w="1827" w:type="dxa"/>
          </w:tcPr>
          <w:p w14:paraId="651FDEFB"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6</w:t>
            </w:r>
          </w:p>
        </w:tc>
        <w:tc>
          <w:tcPr>
            <w:tcW w:w="1834" w:type="dxa"/>
          </w:tcPr>
          <w:p w14:paraId="12BA2771"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26</w:t>
            </w:r>
          </w:p>
        </w:tc>
        <w:tc>
          <w:tcPr>
            <w:tcW w:w="1743" w:type="dxa"/>
          </w:tcPr>
          <w:p w14:paraId="0A87CEE1"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11</w:t>
            </w:r>
          </w:p>
        </w:tc>
      </w:tr>
      <w:tr w:rsidR="00DF6E6E" w:rsidRPr="00B3024A" w14:paraId="0CAC4D36" w14:textId="77777777" w:rsidTr="00DF6E6E">
        <w:trPr>
          <w:trHeight w:val="387"/>
        </w:trPr>
        <w:tc>
          <w:tcPr>
            <w:cnfStyle w:val="001000000000" w:firstRow="0" w:lastRow="0" w:firstColumn="1" w:lastColumn="0" w:oddVBand="0" w:evenVBand="0" w:oddHBand="0" w:evenHBand="0" w:firstRowFirstColumn="0" w:firstRowLastColumn="0" w:lastRowFirstColumn="0" w:lastRowLastColumn="0"/>
            <w:tcW w:w="3612" w:type="dxa"/>
          </w:tcPr>
          <w:p w14:paraId="18DE08E8"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 xml:space="preserve">Dynamic </w:t>
            </w:r>
            <w:r w:rsidRPr="00B3024A">
              <w:rPr>
                <w:rFonts w:ascii="Arial" w:hAnsi="Arial" w:cs="Arial"/>
                <w:sz w:val="20"/>
                <w:szCs w:val="20"/>
              </w:rPr>
              <w:t>[</w:t>
            </w:r>
            <w:r w:rsidRPr="00B3024A">
              <w:rPr>
                <w:rFonts w:ascii="Arial" w:hAnsi="Arial" w:cs="Arial"/>
                <w:sz w:val="20"/>
                <w:szCs w:val="20"/>
                <w:vertAlign w:val="superscript"/>
              </w:rPr>
              <w:t>18</w:t>
            </w:r>
            <w:r w:rsidRPr="00B3024A">
              <w:rPr>
                <w:rFonts w:ascii="Arial" w:hAnsi="Arial" w:cs="Arial"/>
                <w:sz w:val="20"/>
                <w:szCs w:val="20"/>
              </w:rPr>
              <w:t>F]PI-2620 PET</w:t>
            </w:r>
            <w:r w:rsidRPr="00B3024A">
              <w:rPr>
                <w:rFonts w:ascii="Arial" w:hAnsi="Arial" w:cs="Arial"/>
                <w:iCs/>
                <w:sz w:val="20"/>
                <w:szCs w:val="20"/>
              </w:rPr>
              <w:t>, No.</w:t>
            </w:r>
          </w:p>
        </w:tc>
        <w:tc>
          <w:tcPr>
            <w:tcW w:w="1827" w:type="dxa"/>
          </w:tcPr>
          <w:p w14:paraId="19085AE4"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12</w:t>
            </w:r>
          </w:p>
        </w:tc>
        <w:tc>
          <w:tcPr>
            <w:tcW w:w="1834" w:type="dxa"/>
          </w:tcPr>
          <w:p w14:paraId="70938F8D"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58</w:t>
            </w:r>
          </w:p>
        </w:tc>
        <w:tc>
          <w:tcPr>
            <w:tcW w:w="1743" w:type="dxa"/>
          </w:tcPr>
          <w:p w14:paraId="67F7134D"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27</w:t>
            </w:r>
          </w:p>
        </w:tc>
      </w:tr>
      <w:tr w:rsidR="00DF6E6E" w:rsidRPr="00B3024A" w14:paraId="55F65493" w14:textId="77777777" w:rsidTr="00DF6E6E">
        <w:trPr>
          <w:trHeight w:val="387"/>
        </w:trPr>
        <w:tc>
          <w:tcPr>
            <w:cnfStyle w:val="001000000000" w:firstRow="0" w:lastRow="0" w:firstColumn="1" w:lastColumn="0" w:oddVBand="0" w:evenVBand="0" w:oddHBand="0" w:evenHBand="0" w:firstRowFirstColumn="0" w:firstRowLastColumn="0" w:lastRowFirstColumn="0" w:lastRowLastColumn="0"/>
            <w:tcW w:w="3612" w:type="dxa"/>
          </w:tcPr>
          <w:p w14:paraId="491ADB18"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Tau-PET, % pos.</w:t>
            </w:r>
          </w:p>
        </w:tc>
        <w:tc>
          <w:tcPr>
            <w:tcW w:w="1827" w:type="dxa"/>
          </w:tcPr>
          <w:p w14:paraId="265416B0"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83.3</w:t>
            </w:r>
          </w:p>
        </w:tc>
        <w:tc>
          <w:tcPr>
            <w:tcW w:w="1834" w:type="dxa"/>
          </w:tcPr>
          <w:p w14:paraId="02F73828"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79.3</w:t>
            </w:r>
          </w:p>
        </w:tc>
        <w:tc>
          <w:tcPr>
            <w:tcW w:w="1743" w:type="dxa"/>
          </w:tcPr>
          <w:p w14:paraId="6131FE51"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55.6</w:t>
            </w:r>
          </w:p>
        </w:tc>
      </w:tr>
      <w:tr w:rsidR="00DF6E6E" w:rsidRPr="00B3024A" w14:paraId="0F1ED0A1" w14:textId="77777777" w:rsidTr="00DF6E6E">
        <w:trPr>
          <w:trHeight w:val="252"/>
        </w:trPr>
        <w:tc>
          <w:tcPr>
            <w:cnfStyle w:val="001000000000" w:firstRow="0" w:lastRow="0" w:firstColumn="1" w:lastColumn="0" w:oddVBand="0" w:evenVBand="0" w:oddHBand="0" w:evenHBand="0" w:firstRowFirstColumn="0" w:firstRowLastColumn="0" w:lastRowFirstColumn="0" w:lastRowLastColumn="0"/>
            <w:tcW w:w="3612" w:type="dxa"/>
          </w:tcPr>
          <w:p w14:paraId="66177280"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 xml:space="preserve">β-amyloid-PET, No. </w:t>
            </w:r>
          </w:p>
        </w:tc>
        <w:tc>
          <w:tcPr>
            <w:tcW w:w="1827" w:type="dxa"/>
          </w:tcPr>
          <w:p w14:paraId="2C90964E"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7</w:t>
            </w:r>
          </w:p>
        </w:tc>
        <w:tc>
          <w:tcPr>
            <w:tcW w:w="1834" w:type="dxa"/>
          </w:tcPr>
          <w:p w14:paraId="41E30733"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24</w:t>
            </w:r>
          </w:p>
        </w:tc>
        <w:tc>
          <w:tcPr>
            <w:tcW w:w="1743" w:type="dxa"/>
          </w:tcPr>
          <w:p w14:paraId="3D9819B4"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13</w:t>
            </w:r>
          </w:p>
        </w:tc>
      </w:tr>
      <w:tr w:rsidR="00DF6E6E" w:rsidRPr="00B3024A" w14:paraId="4CC9F419" w14:textId="77777777" w:rsidTr="00DF6E6E">
        <w:trPr>
          <w:trHeight w:val="252"/>
        </w:trPr>
        <w:tc>
          <w:tcPr>
            <w:cnfStyle w:val="001000000000" w:firstRow="0" w:lastRow="0" w:firstColumn="1" w:lastColumn="0" w:oddVBand="0" w:evenVBand="0" w:oddHBand="0" w:evenHBand="0" w:firstRowFirstColumn="0" w:firstRowLastColumn="0" w:lastRowFirstColumn="0" w:lastRowLastColumn="0"/>
            <w:tcW w:w="3612" w:type="dxa"/>
          </w:tcPr>
          <w:p w14:paraId="2C3679D8"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 xml:space="preserve">CSF </w:t>
            </w:r>
            <w:r w:rsidRPr="00B3024A">
              <w:rPr>
                <w:rFonts w:ascii="Arial" w:hAnsi="Arial" w:cs="Arial"/>
                <w:sz w:val="20"/>
                <w:szCs w:val="20"/>
              </w:rPr>
              <w:t>Aβ</w:t>
            </w:r>
            <w:r w:rsidRPr="00B3024A">
              <w:rPr>
                <w:rFonts w:ascii="Arial" w:hAnsi="Arial" w:cs="Arial"/>
                <w:sz w:val="20"/>
                <w:szCs w:val="20"/>
                <w:vertAlign w:val="subscript"/>
              </w:rPr>
              <w:t>42/40</w:t>
            </w:r>
            <w:r w:rsidRPr="00B3024A">
              <w:rPr>
                <w:rFonts w:ascii="Arial" w:hAnsi="Arial" w:cs="Arial"/>
                <w:iCs/>
                <w:sz w:val="20"/>
                <w:szCs w:val="20"/>
              </w:rPr>
              <w:t>, No.</w:t>
            </w:r>
          </w:p>
        </w:tc>
        <w:tc>
          <w:tcPr>
            <w:tcW w:w="1827" w:type="dxa"/>
          </w:tcPr>
          <w:p w14:paraId="40ED26A4"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11</w:t>
            </w:r>
          </w:p>
        </w:tc>
        <w:tc>
          <w:tcPr>
            <w:tcW w:w="1834" w:type="dxa"/>
          </w:tcPr>
          <w:p w14:paraId="64F02CE1"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48</w:t>
            </w:r>
          </w:p>
        </w:tc>
        <w:tc>
          <w:tcPr>
            <w:tcW w:w="1743" w:type="dxa"/>
          </w:tcPr>
          <w:p w14:paraId="6CF6A2A1"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23</w:t>
            </w:r>
          </w:p>
        </w:tc>
      </w:tr>
      <w:tr w:rsidR="00DF6E6E" w:rsidRPr="00B3024A" w14:paraId="1DC7B241" w14:textId="77777777" w:rsidTr="00DF6E6E">
        <w:trPr>
          <w:trHeight w:val="252"/>
        </w:trPr>
        <w:tc>
          <w:tcPr>
            <w:cnfStyle w:val="001000000000" w:firstRow="0" w:lastRow="0" w:firstColumn="1" w:lastColumn="0" w:oddVBand="0" w:evenVBand="0" w:oddHBand="0" w:evenHBand="0" w:firstRowFirstColumn="0" w:firstRowLastColumn="0" w:lastRowFirstColumn="0" w:lastRowLastColumn="0"/>
            <w:tcW w:w="3612" w:type="dxa"/>
          </w:tcPr>
          <w:p w14:paraId="7AA6356D" w14:textId="77777777" w:rsidR="00DF6E6E" w:rsidRPr="00B3024A" w:rsidRDefault="00000000">
            <w:pPr>
              <w:spacing w:line="480" w:lineRule="auto"/>
              <w:rPr>
                <w:rFonts w:ascii="Arial" w:hAnsi="Arial" w:cs="Arial"/>
                <w:iCs/>
                <w:sz w:val="20"/>
                <w:szCs w:val="20"/>
              </w:rPr>
            </w:pPr>
            <w:r w:rsidRPr="00B3024A">
              <w:rPr>
                <w:rFonts w:ascii="Arial" w:hAnsi="Arial" w:cs="Arial"/>
                <w:iCs/>
                <w:sz w:val="20"/>
                <w:szCs w:val="20"/>
              </w:rPr>
              <w:t>β-amyloid, % pos.</w:t>
            </w:r>
          </w:p>
        </w:tc>
        <w:tc>
          <w:tcPr>
            <w:tcW w:w="1827" w:type="dxa"/>
          </w:tcPr>
          <w:p w14:paraId="555C8856"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0</w:t>
            </w:r>
          </w:p>
        </w:tc>
        <w:tc>
          <w:tcPr>
            <w:tcW w:w="1834" w:type="dxa"/>
          </w:tcPr>
          <w:p w14:paraId="59E74141"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41.4</w:t>
            </w:r>
          </w:p>
        </w:tc>
        <w:tc>
          <w:tcPr>
            <w:tcW w:w="1743" w:type="dxa"/>
          </w:tcPr>
          <w:p w14:paraId="17BF37AD" w14:textId="77777777" w:rsidR="00DF6E6E" w:rsidRPr="00B3024A" w:rsidRDefault="0000000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B3024A">
              <w:rPr>
                <w:rFonts w:ascii="Arial" w:hAnsi="Arial" w:cs="Arial"/>
                <w:iCs/>
                <w:sz w:val="20"/>
                <w:szCs w:val="20"/>
              </w:rPr>
              <w:t>29.6</w:t>
            </w:r>
          </w:p>
        </w:tc>
      </w:tr>
    </w:tbl>
    <w:p w14:paraId="110E2941" w14:textId="77777777" w:rsidR="00DF6E6E" w:rsidRPr="00B3024A" w:rsidRDefault="00000000">
      <w:pPr>
        <w:spacing w:line="480" w:lineRule="auto"/>
        <w:rPr>
          <w:rFonts w:ascii="Arial" w:hAnsi="Arial" w:cs="Arial"/>
          <w:i/>
          <w:iCs/>
        </w:rPr>
      </w:pPr>
      <w:r w:rsidRPr="00B3024A">
        <w:rPr>
          <w:rFonts w:ascii="Arial" w:hAnsi="Arial" w:cs="Arial"/>
          <w:b/>
          <w:bCs/>
          <w:sz w:val="20"/>
          <w:szCs w:val="24"/>
        </w:rPr>
        <w:t>Supplementary Table 1. Demographics of the validation cohort at the group level.</w:t>
      </w:r>
    </w:p>
    <w:p w14:paraId="67515A95" w14:textId="77777777" w:rsidR="00DF6E6E" w:rsidRPr="00B3024A" w:rsidRDefault="00DF6E6E">
      <w:pPr>
        <w:spacing w:line="480" w:lineRule="auto"/>
        <w:rPr>
          <w:rFonts w:ascii="Arial" w:hAnsi="Arial" w:cs="Arial"/>
          <w:i/>
          <w:iCs/>
        </w:rPr>
      </w:pPr>
    </w:p>
    <w:p w14:paraId="370CFA45" w14:textId="77777777" w:rsidR="00DF6E6E" w:rsidRPr="00B3024A" w:rsidRDefault="00000000">
      <w:pPr>
        <w:spacing w:line="480" w:lineRule="auto"/>
        <w:rPr>
          <w:rFonts w:ascii="Arial" w:hAnsi="Arial" w:cs="Arial"/>
          <w:i/>
          <w:iCs/>
        </w:rPr>
      </w:pPr>
      <w:r w:rsidRPr="00B3024A">
        <w:rPr>
          <w:rFonts w:ascii="Arial" w:hAnsi="Arial" w:cs="Arial"/>
          <w:i/>
          <w:iCs/>
        </w:rPr>
        <w:t>Visual analysis of late-phase β-amyloid PET images</w:t>
      </w:r>
    </w:p>
    <w:p w14:paraId="07E9F160" w14:textId="77777777" w:rsidR="00DF6E6E" w:rsidRPr="00B3024A" w:rsidRDefault="00000000">
      <w:pPr>
        <w:spacing w:line="480" w:lineRule="auto"/>
        <w:jc w:val="both"/>
        <w:rPr>
          <w:rFonts w:ascii="Arial" w:hAnsi="Arial" w:cs="Arial"/>
          <w:iCs/>
        </w:rPr>
      </w:pPr>
      <w:r w:rsidRPr="00B3024A">
        <w:rPr>
          <w:rFonts w:ascii="Arial" w:hAnsi="Arial" w:cs="Arial"/>
          <w:iCs/>
        </w:rPr>
        <w:t xml:space="preserve">Late-phase β-amyloid PET scans (90-110 min </w:t>
      </w:r>
      <w:proofErr w:type="spellStart"/>
      <w:r w:rsidRPr="00B3024A">
        <w:rPr>
          <w:rFonts w:ascii="Arial" w:hAnsi="Arial" w:cs="Arial"/>
          <w:iCs/>
        </w:rPr>
        <w:t>p.i.</w:t>
      </w:r>
      <w:proofErr w:type="spellEnd"/>
      <w:r w:rsidRPr="00B3024A">
        <w:rPr>
          <w:rFonts w:ascii="Arial" w:hAnsi="Arial" w:cs="Arial"/>
          <w:iCs/>
        </w:rPr>
        <w:t>) with [</w:t>
      </w:r>
      <w:r w:rsidRPr="00B3024A">
        <w:rPr>
          <w:rFonts w:ascii="Arial" w:hAnsi="Arial" w:cs="Arial"/>
          <w:iCs/>
          <w:vertAlign w:val="superscript"/>
        </w:rPr>
        <w:t>18</w:t>
      </w:r>
      <w:r w:rsidRPr="00B3024A">
        <w:rPr>
          <w:rFonts w:ascii="Arial" w:hAnsi="Arial" w:cs="Arial"/>
          <w:iCs/>
        </w:rPr>
        <w:t>F]</w:t>
      </w:r>
      <w:proofErr w:type="spellStart"/>
      <w:r w:rsidRPr="00B3024A">
        <w:rPr>
          <w:rFonts w:ascii="Arial" w:hAnsi="Arial" w:cs="Arial"/>
          <w:iCs/>
        </w:rPr>
        <w:t>flutemetamol</w:t>
      </w:r>
      <w:proofErr w:type="spellEnd"/>
      <w:r w:rsidRPr="00B3024A">
        <w:rPr>
          <w:rFonts w:ascii="Arial" w:hAnsi="Arial" w:cs="Arial"/>
          <w:iCs/>
        </w:rPr>
        <w:t xml:space="preserve"> and [</w:t>
      </w:r>
      <w:r w:rsidRPr="00B3024A">
        <w:rPr>
          <w:rFonts w:ascii="Arial" w:hAnsi="Arial" w:cs="Arial"/>
          <w:iCs/>
          <w:vertAlign w:val="superscript"/>
        </w:rPr>
        <w:t>18</w:t>
      </w:r>
      <w:r w:rsidRPr="00B3024A">
        <w:rPr>
          <w:rFonts w:ascii="Arial" w:hAnsi="Arial" w:cs="Arial"/>
          <w:iCs/>
        </w:rPr>
        <w:t>F]</w:t>
      </w:r>
      <w:proofErr w:type="spellStart"/>
      <w:r w:rsidRPr="00B3024A">
        <w:rPr>
          <w:rFonts w:ascii="Arial" w:hAnsi="Arial" w:cs="Arial"/>
          <w:iCs/>
        </w:rPr>
        <w:t>florbetaben</w:t>
      </w:r>
      <w:proofErr w:type="spellEnd"/>
      <w:r w:rsidRPr="00B3024A">
        <w:rPr>
          <w:rFonts w:ascii="Arial" w:hAnsi="Arial" w:cs="Arial"/>
          <w:iCs/>
        </w:rPr>
        <w:t xml:space="preserve"> were visually assessed by three experienced nuclear physicians (J.G., P.B., and M.B.) following manufacturer guidelines (Life Molecular Imaging for </w:t>
      </w:r>
      <w:proofErr w:type="spellStart"/>
      <w:r w:rsidRPr="00B3024A">
        <w:rPr>
          <w:rFonts w:ascii="Arial" w:hAnsi="Arial" w:cs="Arial"/>
          <w:iCs/>
        </w:rPr>
        <w:t>NeuraCeq</w:t>
      </w:r>
      <w:proofErr w:type="spellEnd"/>
      <w:r w:rsidRPr="00B3024A">
        <w:rPr>
          <w:rFonts w:ascii="Arial" w:hAnsi="Arial" w:cs="Arial"/>
          <w:iCs/>
        </w:rPr>
        <w:t xml:space="preserve">, GE HealthCare for </w:t>
      </w:r>
      <w:proofErr w:type="spellStart"/>
      <w:r w:rsidRPr="00B3024A">
        <w:rPr>
          <w:rFonts w:ascii="Arial" w:hAnsi="Arial" w:cs="Arial"/>
          <w:iCs/>
        </w:rPr>
        <w:t>Vizamyl</w:t>
      </w:r>
      <w:proofErr w:type="spellEnd"/>
      <w:r w:rsidRPr="00B3024A">
        <w:rPr>
          <w:rFonts w:ascii="Arial" w:hAnsi="Arial" w:cs="Arial"/>
          <w:iCs/>
        </w:rPr>
        <w:t xml:space="preserve">) as described previously </w:t>
      </w:r>
      <w:r w:rsidRPr="00B3024A">
        <w:rPr>
          <w:rFonts w:ascii="Arial" w:hAnsi="Arial" w:cs="Arial"/>
          <w:iCs/>
        </w:rPr>
        <w:fldChar w:fldCharType="begin"/>
      </w:r>
      <w:r w:rsidRPr="00B3024A">
        <w:rPr>
          <w:rFonts w:ascii="Arial" w:hAnsi="Arial" w:cs="Arial"/>
          <w:iCs/>
        </w:rPr>
        <w:instrText xml:space="preserve"> ADDIN EN.CITE &lt;EndNote&gt;&lt;Cite&gt;&lt;Author&gt;Brendel&lt;/Author&gt;&lt;Year&gt;2024&lt;/Year&gt;&lt;RecNum&gt;62&lt;/RecNum&gt;&lt;DisplayText&gt;[1]&lt;/DisplayText&gt;&lt;record&gt;&lt;rec-number&gt;62&lt;/rec-number&gt;&lt;foreign-keys&gt;&lt;key app="EN" db-id="5pvr5pttt9xxa5ef9w9v2v53xrxefsv5a52a" timestamp="1732522979"&gt;62&lt;/key&gt;&lt;/foreign-keys&gt;&lt;ref-type name="Journal Article"&gt;17&lt;/ref-type&gt;&lt;contributors&gt;&lt;authors&gt;&lt;author&gt;Brendel, Matthias&lt;/author&gt;&lt;author&gt;Parvizi, Tandis&lt;/author&gt;&lt;author&gt;Gnörich, Johannes&lt;/author&gt;&lt;author&gt;Topfstedt, Christof Elias&lt;/author&gt;&lt;author&gt;Buerger, Katharina&lt;/author&gt;&lt;author&gt;Janowitz, Daniel&lt;/author&gt;&lt;author&gt;Rauchmann, Boris-Stephan&lt;/author&gt;&lt;author&gt;Perneczky, Robert&lt;/author&gt;&lt;author&gt;Kurz, Carolin&lt;/author&gt;&lt;author&gt;Mehrens, Dirk&lt;/author&gt;&lt;author&gt;Kunz, Wolfgang G.&lt;/author&gt;&lt;author&gt;Kusche-Palenga, Julia&lt;/author&gt;&lt;author&gt;Kling, Agnes Bernadette&lt;/author&gt;&lt;author&gt;Buchal, Antonia&lt;/author&gt;&lt;author&gt;Nestorova, Elizabet&lt;/author&gt;&lt;author&gt;Silvaieh, Sara&lt;/author&gt;&lt;author&gt;Wurm, Raphael&lt;/author&gt;&lt;author&gt;Traub-Weidinger, Tatjana&lt;/author&gt;&lt;author&gt;Klotz, Sigrid&lt;/author&gt;&lt;author&gt;Regelsberger, Günther&lt;/author&gt;&lt;author&gt;Rominger, Axel&lt;/author&gt;&lt;author&gt;Drzezga, Alexander&lt;/author&gt;&lt;author&gt;Levin, Johannes&lt;/author&gt;&lt;author&gt;Stögmann, Elisabeth&lt;/author&gt;&lt;author&gt;Franzmeier, Nicolai&lt;/author&gt;&lt;author&gt;Höglinger, Günter U.&lt;/author&gt;&lt;/authors&gt;&lt;/contributors&gt;&lt;titles&gt;&lt;title&gt;Aβ status assessment in a hypothetical scenario prior to treatment with disease-modifying therapies: Evidence from 10-year real-world experience at university memory clinics&lt;/title&gt;&lt;secondary-title&gt;Alzheimer&amp;apos;s &amp;amp; Dementia: Diagnosis, Assessment &amp;amp; Disease Monitoring&lt;/secondary-title&gt;&lt;/titles&gt;&lt;pages&gt;e70031&lt;/pages&gt;&lt;volume&gt;16&lt;/volume&gt;&lt;number&gt;4&lt;/number&gt;&lt;dates&gt;&lt;year&gt;2024&lt;/year&gt;&lt;/dates&gt;&lt;isbn&gt;2352-8729&lt;/isbn&gt;&lt;urls&gt;&lt;related-urls&gt;&lt;url&gt;https://alz-journals.onlinelibrary.wiley.com/doi/abs/10.1002/dad2.70031&lt;/url&gt;&lt;/related-urls&gt;&lt;/urls&gt;&lt;electronic-resource-num&gt;https://doi.org/10.1002/dad2.70031&lt;/electronic-resource-num&gt;&lt;/record&gt;&lt;/Cite&gt;&lt;/EndNote&gt;</w:instrText>
      </w:r>
      <w:r w:rsidRPr="00B3024A">
        <w:rPr>
          <w:rFonts w:ascii="Arial" w:hAnsi="Arial" w:cs="Arial"/>
          <w:iCs/>
        </w:rPr>
        <w:fldChar w:fldCharType="separate"/>
      </w:r>
      <w:r w:rsidRPr="00B3024A">
        <w:rPr>
          <w:rFonts w:ascii="Arial" w:hAnsi="Arial" w:cs="Arial"/>
          <w:iCs/>
          <w:noProof/>
        </w:rPr>
        <w:t>[1]</w:t>
      </w:r>
      <w:r w:rsidRPr="00B3024A">
        <w:rPr>
          <w:rFonts w:ascii="Arial" w:hAnsi="Arial" w:cs="Arial"/>
          <w:iCs/>
        </w:rPr>
        <w:fldChar w:fldCharType="end"/>
      </w:r>
      <w:r w:rsidRPr="00B3024A">
        <w:rPr>
          <w:rFonts w:ascii="Arial" w:hAnsi="Arial" w:cs="Arial"/>
          <w:iCs/>
        </w:rPr>
        <w:t xml:space="preserve">. In brief, images were classified as positive (binding in one or more cortical brain regions) or negative (predominantly white matter uptake). All images were systematically evaluated from the pons/cerebellum upwards through the frontal lobes, anterior cingulate, posterior cingulate, </w:t>
      </w:r>
      <w:proofErr w:type="spellStart"/>
      <w:r w:rsidRPr="00B3024A">
        <w:rPr>
          <w:rFonts w:ascii="Arial" w:hAnsi="Arial" w:cs="Arial"/>
          <w:iCs/>
        </w:rPr>
        <w:t>precuneus</w:t>
      </w:r>
      <w:proofErr w:type="spellEnd"/>
      <w:r w:rsidRPr="00B3024A">
        <w:rPr>
          <w:rFonts w:ascii="Arial" w:hAnsi="Arial" w:cs="Arial"/>
          <w:iCs/>
        </w:rPr>
        <w:t xml:space="preserve">, temporoparietal regions (including the insula and lateral temporal lobes), and the striatum. Visual interpretation was based on comparing tracer uptake in cortical grey matter with adjacent white matter. Readers manually adjusted the threshold window using the pontine/cerebellar white/grey matter contrast as a reference. Semiquantitative Aβ-PET data, expressed as SUVR and z-scores in the target regions and their composite, were available as supporting information. The pons was used as the reference </w:t>
      </w:r>
      <w:r w:rsidRPr="00B3024A">
        <w:rPr>
          <w:rFonts w:ascii="Arial" w:hAnsi="Arial" w:cs="Arial"/>
          <w:iCs/>
        </w:rPr>
        <w:lastRenderedPageBreak/>
        <w:t>tissue for [</w:t>
      </w:r>
      <w:r w:rsidRPr="00B3024A">
        <w:rPr>
          <w:rFonts w:ascii="Arial" w:hAnsi="Arial" w:cs="Arial"/>
          <w:iCs/>
          <w:vertAlign w:val="superscript"/>
        </w:rPr>
        <w:t>18</w:t>
      </w:r>
      <w:r w:rsidRPr="00B3024A">
        <w:rPr>
          <w:rFonts w:ascii="Arial" w:hAnsi="Arial" w:cs="Arial"/>
          <w:iCs/>
        </w:rPr>
        <w:t>F]</w:t>
      </w:r>
      <w:proofErr w:type="spellStart"/>
      <w:r w:rsidRPr="00B3024A">
        <w:rPr>
          <w:rFonts w:ascii="Arial" w:hAnsi="Arial" w:cs="Arial"/>
          <w:iCs/>
        </w:rPr>
        <w:t>flutemetamol</w:t>
      </w:r>
      <w:proofErr w:type="spellEnd"/>
      <w:r w:rsidRPr="00B3024A">
        <w:rPr>
          <w:rFonts w:ascii="Arial" w:hAnsi="Arial" w:cs="Arial"/>
          <w:iCs/>
        </w:rPr>
        <w:t>, while the cerebellar cortex served as the reference for [</w:t>
      </w:r>
      <w:r w:rsidRPr="00B3024A">
        <w:rPr>
          <w:rFonts w:ascii="Arial" w:hAnsi="Arial" w:cs="Arial"/>
          <w:iCs/>
          <w:vertAlign w:val="superscript"/>
        </w:rPr>
        <w:t>18</w:t>
      </w:r>
      <w:r w:rsidRPr="00B3024A">
        <w:rPr>
          <w:rFonts w:ascii="Arial" w:hAnsi="Arial" w:cs="Arial"/>
          <w:iCs/>
        </w:rPr>
        <w:t>F]</w:t>
      </w:r>
      <w:proofErr w:type="spellStart"/>
      <w:r w:rsidRPr="00B3024A">
        <w:rPr>
          <w:rFonts w:ascii="Arial" w:hAnsi="Arial" w:cs="Arial"/>
          <w:iCs/>
        </w:rPr>
        <w:t>florbetaben</w:t>
      </w:r>
      <w:proofErr w:type="spellEnd"/>
      <w:r w:rsidRPr="00B3024A">
        <w:rPr>
          <w:rFonts w:ascii="Arial" w:hAnsi="Arial" w:cs="Arial"/>
          <w:iCs/>
        </w:rPr>
        <w:t xml:space="preserve">. PET images were </w:t>
      </w:r>
      <w:proofErr w:type="spellStart"/>
      <w:r w:rsidRPr="00B3024A">
        <w:rPr>
          <w:rFonts w:ascii="Arial" w:hAnsi="Arial" w:cs="Arial"/>
          <w:iCs/>
        </w:rPr>
        <w:t>analyzed</w:t>
      </w:r>
      <w:proofErr w:type="spellEnd"/>
      <w:r w:rsidRPr="00B3024A">
        <w:rPr>
          <w:rFonts w:ascii="Arial" w:hAnsi="Arial" w:cs="Arial"/>
          <w:iCs/>
        </w:rPr>
        <w:t xml:space="preserve"> using a rainbow </w:t>
      </w:r>
      <w:proofErr w:type="spellStart"/>
      <w:r w:rsidRPr="00B3024A">
        <w:rPr>
          <w:rFonts w:ascii="Arial" w:hAnsi="Arial" w:cs="Arial"/>
          <w:iCs/>
        </w:rPr>
        <w:t>color</w:t>
      </w:r>
      <w:proofErr w:type="spellEnd"/>
      <w:r w:rsidRPr="00B3024A">
        <w:rPr>
          <w:rFonts w:ascii="Arial" w:hAnsi="Arial" w:cs="Arial"/>
          <w:iCs/>
        </w:rPr>
        <w:t xml:space="preserve"> scale for [¹⁸F]</w:t>
      </w:r>
      <w:proofErr w:type="spellStart"/>
      <w:r w:rsidRPr="00B3024A">
        <w:rPr>
          <w:rFonts w:ascii="Arial" w:hAnsi="Arial" w:cs="Arial"/>
          <w:iCs/>
        </w:rPr>
        <w:t>flutemetamol</w:t>
      </w:r>
      <w:proofErr w:type="spellEnd"/>
      <w:r w:rsidRPr="00B3024A">
        <w:rPr>
          <w:rFonts w:ascii="Arial" w:hAnsi="Arial" w:cs="Arial"/>
          <w:iCs/>
        </w:rPr>
        <w:t xml:space="preserve"> and a grayscale for </w:t>
      </w:r>
      <w:bookmarkStart w:id="0" w:name="_Hlk224917656"/>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bookmarkEnd w:id="0"/>
      <w:proofErr w:type="spellStart"/>
      <w:r w:rsidRPr="00B3024A">
        <w:rPr>
          <w:rFonts w:ascii="Arial" w:hAnsi="Arial" w:cs="Arial"/>
          <w:iCs/>
        </w:rPr>
        <w:t>florbetaben</w:t>
      </w:r>
      <w:proofErr w:type="spellEnd"/>
      <w:r w:rsidRPr="00B3024A">
        <w:rPr>
          <w:rFonts w:ascii="Arial" w:hAnsi="Arial" w:cs="Arial"/>
          <w:iCs/>
        </w:rPr>
        <w:t>. In cases of discrepancies, the final classification was determined by consensus. All readers had access to relevant clinical information and structural imaging (MRI ~70%, CT ~30%) to aid interpretation.</w:t>
      </w:r>
    </w:p>
    <w:p w14:paraId="34DDAE37" w14:textId="77777777" w:rsidR="00DF6E6E" w:rsidRPr="00B3024A" w:rsidRDefault="00000000">
      <w:pPr>
        <w:spacing w:line="480" w:lineRule="auto"/>
        <w:rPr>
          <w:rFonts w:ascii="Arial" w:hAnsi="Arial" w:cs="Arial"/>
          <w:i/>
          <w:iCs/>
        </w:rPr>
      </w:pPr>
      <w:r w:rsidRPr="00B3024A">
        <w:rPr>
          <w:rFonts w:ascii="Arial" w:hAnsi="Arial" w:cs="Arial"/>
          <w:i/>
          <w:iCs/>
        </w:rPr>
        <w:t>Visual analysis of stereotactic surface projections</w:t>
      </w:r>
    </w:p>
    <w:p w14:paraId="3771529E" w14:textId="77777777" w:rsidR="00DF6E6E" w:rsidRPr="00B3024A" w:rsidRDefault="00000000">
      <w:pPr>
        <w:spacing w:line="480" w:lineRule="auto"/>
        <w:jc w:val="both"/>
        <w:rPr>
          <w:rFonts w:ascii="Arial" w:hAnsi="Arial" w:cs="Arial"/>
        </w:rPr>
      </w:pPr>
      <w:r w:rsidRPr="00B3024A">
        <w:rPr>
          <w:rFonts w:ascii="Arial" w:hAnsi="Arial" w:cs="Arial"/>
        </w:rPr>
        <w:t>For visual interpretation of early-phase [</w:t>
      </w:r>
      <w:r w:rsidRPr="00B3024A">
        <w:rPr>
          <w:rFonts w:ascii="Arial" w:hAnsi="Arial" w:cs="Arial"/>
          <w:vertAlign w:val="superscript"/>
        </w:rPr>
        <w:t>18</w:t>
      </w:r>
      <w:r w:rsidRPr="00B3024A">
        <w:rPr>
          <w:rFonts w:ascii="Arial" w:hAnsi="Arial" w:cs="Arial"/>
        </w:rPr>
        <w:t>F]Flutemetamol</w:t>
      </w:r>
      <w:r w:rsidRPr="00B3024A">
        <w:rPr>
          <w:rFonts w:ascii="Arial" w:hAnsi="Arial" w:cs="Arial"/>
          <w:sz w:val="20"/>
          <w:szCs w:val="20"/>
          <w:vertAlign w:val="subscript"/>
        </w:rPr>
        <w:t>0–10min</w:t>
      </w:r>
      <w:r w:rsidRPr="00B3024A">
        <w:rPr>
          <w:rFonts w:ascii="Arial" w:hAnsi="Arial" w:cs="Arial"/>
        </w:rPr>
        <w:t>/[</w:t>
      </w:r>
      <w:r w:rsidRPr="00B3024A">
        <w:rPr>
          <w:rFonts w:ascii="Arial" w:hAnsi="Arial" w:cs="Arial"/>
          <w:vertAlign w:val="superscript"/>
        </w:rPr>
        <w:t>18</w:t>
      </w:r>
      <w:r w:rsidRPr="00B3024A">
        <w:rPr>
          <w:rFonts w:ascii="Arial" w:hAnsi="Arial" w:cs="Arial"/>
        </w:rPr>
        <w:t>F]Florbetaben</w:t>
      </w:r>
      <w:r w:rsidRPr="00B3024A">
        <w:rPr>
          <w:rFonts w:ascii="Arial" w:hAnsi="Arial" w:cs="Arial"/>
          <w:sz w:val="20"/>
          <w:szCs w:val="20"/>
          <w:vertAlign w:val="subscript"/>
        </w:rPr>
        <w:t xml:space="preserve">0–10min </w:t>
      </w:r>
      <w:r w:rsidRPr="00B3024A">
        <w:rPr>
          <w:rFonts w:ascii="Arial" w:hAnsi="Arial" w:cs="Arial"/>
          <w:sz w:val="20"/>
          <w:szCs w:val="20"/>
        </w:rPr>
        <w:t>(</w:t>
      </w:r>
      <w:r w:rsidRPr="00B3024A">
        <w:rPr>
          <w:rFonts w:ascii="Arial" w:hAnsi="Arial" w:cs="Arial"/>
          <w:szCs w:val="24"/>
        </w:rPr>
        <w:t>β</w:t>
      </w:r>
      <w:r w:rsidRPr="00B3024A">
        <w:rPr>
          <w:rFonts w:ascii="Arial" w:hAnsi="Arial" w:cs="Arial"/>
        </w:rPr>
        <w:t>-amyloid-PET</w:t>
      </w:r>
      <w:r w:rsidRPr="00B3024A">
        <w:rPr>
          <w:rFonts w:ascii="Arial" w:hAnsi="Arial" w:cs="Arial"/>
          <w:sz w:val="20"/>
          <w:szCs w:val="20"/>
          <w:vertAlign w:val="subscript"/>
        </w:rPr>
        <w:t>0–10min</w:t>
      </w:r>
      <w:r w:rsidRPr="00B3024A">
        <w:rPr>
          <w:rFonts w:ascii="Arial" w:hAnsi="Arial" w:cs="Arial"/>
          <w:sz w:val="20"/>
          <w:szCs w:val="20"/>
        </w:rPr>
        <w:t>)</w:t>
      </w:r>
      <w:r w:rsidRPr="00B3024A">
        <w:rPr>
          <w:rFonts w:ascii="Arial" w:hAnsi="Arial" w:cs="Arial"/>
        </w:rPr>
        <w:t>,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 xml:space="preserve">0.5–2.5min </w:t>
      </w:r>
      <w:r w:rsidRPr="00B3024A">
        <w:rPr>
          <w:rFonts w:ascii="Arial" w:hAnsi="Arial" w:cs="Arial"/>
        </w:rPr>
        <w:t xml:space="preserve">and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images, three-dimensional stereotactic surface projections (3D-SSP) </w:t>
      </w:r>
      <w:r w:rsidRPr="00B3024A">
        <w:rPr>
          <w:rFonts w:ascii="Arial" w:hAnsi="Arial" w:cs="Arial"/>
        </w:rPr>
        <w:fldChar w:fldCharType="begin"/>
      </w:r>
      <w:r w:rsidRPr="00B3024A">
        <w:rPr>
          <w:rFonts w:ascii="Arial" w:hAnsi="Arial" w:cs="Arial"/>
        </w:rPr>
        <w:instrText xml:space="preserve"> ADDIN EN.CITE &lt;EndNote&gt;&lt;Cite&gt;&lt;Author&gt;Minoshima&lt;/Author&gt;&lt;Year&gt;1995&lt;/Year&gt;&lt;RecNum&gt;26&lt;/RecNum&gt;&lt;DisplayText&gt;[2]&lt;/DisplayText&gt;&lt;record&gt;&lt;rec-number&gt;26&lt;/rec-number&gt;&lt;foreign-keys&gt;&lt;key app="EN" db-id="5pvr5pttt9xxa5ef9w9v2v53xrxefsv5a52a" timestamp="1731583022"&gt;26&lt;/key&gt;&lt;/foreign-keys&gt;&lt;ref-type name="Journal Article"&gt;17&lt;/ref-type&gt;&lt;contributors&gt;&lt;authors&gt;&lt;author&gt;Minoshima, S.&lt;/author&gt;&lt;author&gt;Frey, K. A.&lt;/author&gt;&lt;author&gt;Koeppe, R. A.&lt;/author&gt;&lt;author&gt;Foster, N. L.&lt;/author&gt;&lt;author&gt;Kuhl, D. E.&lt;/author&gt;&lt;/authors&gt;&lt;/contributors&gt;&lt;auth-address&gt;Department of Internal Medicine, University of Michigan, Ann Arbor, USA.&lt;/auth-address&gt;&lt;titles&gt;&lt;title&gt;A diagnostic approach in Alzheimer&amp;apos;s disease using three-dimensional stereotactic surface projections of fluorine-18-FDG PET&lt;/title&gt;&lt;secondary-title&gt;J Nucl Med&lt;/secondary-title&gt;&lt;/titles&gt;&lt;periodical&gt;&lt;full-title&gt;J Nucl Med&lt;/full-title&gt;&lt;/periodical&gt;&lt;pages&gt;1238-48&lt;/pages&gt;&lt;volume&gt;36&lt;/volume&gt;&lt;number&gt;7&lt;/number&gt;&lt;keywords&gt;&lt;keyword&gt;Aged&lt;/keyword&gt;&lt;keyword&gt;Alzheimer Disease/*diagnostic imaging/metabolism&lt;/keyword&gt;&lt;keyword&gt;Brain/*diagnostic imaging/metabolism&lt;/keyword&gt;&lt;keyword&gt;Deoxyglucose/*analogs &amp;amp; derivatives&lt;/keyword&gt;&lt;keyword&gt;Female&lt;/keyword&gt;&lt;keyword&gt;*Fluorine Radioisotopes&lt;/keyword&gt;&lt;keyword&gt;Fluorodeoxyglucose F18&lt;/keyword&gt;&lt;keyword&gt;Glucose/metabolism&lt;/keyword&gt;&lt;keyword&gt;Humans&lt;/keyword&gt;&lt;keyword&gt;Male&lt;/keyword&gt;&lt;keyword&gt;Middle Aged&lt;/keyword&gt;&lt;keyword&gt;Sensitivity and Specificity&lt;/keyword&gt;&lt;keyword&gt;*Stereotaxic Techniques&lt;/keyword&gt;&lt;keyword&gt;*Tomography, Emission-Computed&lt;/keyword&gt;&lt;/keywords&gt;&lt;dates&gt;&lt;year&gt;1995&lt;/year&gt;&lt;pub-dates&gt;&lt;date&gt;Jul&lt;/date&gt;&lt;/pub-dates&gt;&lt;/dates&gt;&lt;isbn&gt;0161-5505 (Print)&amp;#xD;0161-5505&lt;/isbn&gt;&lt;accession-num&gt;7790950&lt;/accession-num&gt;&lt;urls&gt;&lt;/urls&gt;&lt;remote-database-provider&gt;NLM&lt;/remote-database-provider&gt;&lt;language&gt;eng&lt;/language&gt;&lt;/record&gt;&lt;/Cite&gt;&lt;/EndNote&gt;</w:instrText>
      </w:r>
      <w:r w:rsidRPr="00B3024A">
        <w:rPr>
          <w:rFonts w:ascii="Arial" w:hAnsi="Arial" w:cs="Arial"/>
        </w:rPr>
        <w:fldChar w:fldCharType="separate"/>
      </w:r>
      <w:r w:rsidRPr="00B3024A">
        <w:rPr>
          <w:rFonts w:ascii="Arial" w:hAnsi="Arial" w:cs="Arial"/>
          <w:noProof/>
        </w:rPr>
        <w:t>[2]</w:t>
      </w:r>
      <w:r w:rsidRPr="00B3024A">
        <w:rPr>
          <w:rFonts w:ascii="Arial" w:hAnsi="Arial" w:cs="Arial"/>
        </w:rPr>
        <w:fldChar w:fldCharType="end"/>
      </w:r>
      <w:r w:rsidRPr="00B3024A">
        <w:rPr>
          <w:rFonts w:ascii="Arial" w:hAnsi="Arial" w:cs="Arial"/>
        </w:rPr>
        <w:t xml:space="preserve"> were generated using the software </w:t>
      </w:r>
      <w:proofErr w:type="spellStart"/>
      <w:r w:rsidRPr="00B3024A">
        <w:rPr>
          <w:rFonts w:ascii="Arial" w:hAnsi="Arial" w:cs="Arial"/>
        </w:rPr>
        <w:t>Neurostat</w:t>
      </w:r>
      <w:proofErr w:type="spellEnd"/>
      <w:r w:rsidRPr="00B3024A">
        <w:rPr>
          <w:rFonts w:ascii="Arial" w:hAnsi="Arial" w:cs="Arial"/>
        </w:rPr>
        <w:t xml:space="preserve"> (Department of Radiology, University of Washington, Seattle, WA, USA). Voxel-wise Z-scores were calculated in </w:t>
      </w:r>
      <w:proofErr w:type="spellStart"/>
      <w:r w:rsidRPr="00B3024A">
        <w:rPr>
          <w:rFonts w:ascii="Arial" w:hAnsi="Arial" w:cs="Arial"/>
        </w:rPr>
        <w:t>Neurostat</w:t>
      </w:r>
      <w:proofErr w:type="spellEnd"/>
      <w:r w:rsidRPr="00B3024A">
        <w:rPr>
          <w:rFonts w:ascii="Arial" w:hAnsi="Arial" w:cs="Arial"/>
        </w:rPr>
        <w:t xml:space="preserve"> by comparing the individual tracer uptake of </w:t>
      </w:r>
      <w:r w:rsidRPr="00B3024A">
        <w:rPr>
          <w:rFonts w:ascii="Arial" w:hAnsi="Arial" w:cs="Arial"/>
          <w:szCs w:val="24"/>
        </w:rPr>
        <w:t>β</w:t>
      </w:r>
      <w:r w:rsidRPr="00B3024A">
        <w:rPr>
          <w:rFonts w:ascii="Arial" w:hAnsi="Arial" w:cs="Arial"/>
        </w:rPr>
        <w:t>-amyloid-PET</w:t>
      </w:r>
      <w:r w:rsidRPr="00B3024A">
        <w:rPr>
          <w:rFonts w:ascii="Arial" w:hAnsi="Arial" w:cs="Arial"/>
          <w:sz w:val="20"/>
          <w:szCs w:val="20"/>
          <w:vertAlign w:val="subscript"/>
        </w:rPr>
        <w:t>0–10min</w:t>
      </w:r>
      <w:r w:rsidRPr="00B3024A">
        <w:rPr>
          <w:rFonts w:ascii="Arial" w:hAnsi="Arial" w:cs="Arial"/>
        </w:rPr>
        <w:t xml:space="preserve">, </w:t>
      </w:r>
      <w:bookmarkStart w:id="1" w:name="_Hlk172747880"/>
      <w:r w:rsidRPr="00B3024A">
        <w:rPr>
          <w:rFonts w:ascii="Arial" w:hAnsi="Arial" w:cs="Arial"/>
        </w:rPr>
        <w:t>[</w:t>
      </w:r>
      <w:r w:rsidRPr="00B3024A">
        <w:rPr>
          <w:rFonts w:ascii="Arial" w:hAnsi="Arial" w:cs="Arial"/>
          <w:vertAlign w:val="superscript"/>
        </w:rPr>
        <w:t>18</w:t>
      </w:r>
      <w:r w:rsidRPr="00B3024A">
        <w:rPr>
          <w:rFonts w:ascii="Arial" w:hAnsi="Arial" w:cs="Arial"/>
        </w:rPr>
        <w:t>F]PI-2620</w:t>
      </w:r>
      <w:bookmarkEnd w:id="1"/>
      <w:r w:rsidRPr="00B3024A">
        <w:rPr>
          <w:rFonts w:ascii="Arial" w:hAnsi="Arial" w:cs="Arial"/>
          <w:vertAlign w:val="subscript"/>
        </w:rPr>
        <w:t>0.5–2.5min</w:t>
      </w:r>
      <w:r w:rsidRPr="00B3024A">
        <w:rPr>
          <w:rFonts w:ascii="Arial" w:hAnsi="Arial" w:cs="Arial"/>
        </w:rPr>
        <w:t xml:space="preserve"> and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 to a historical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database (cognitively healthy individuals, age-matched, n=18). Three experienced nuclear medicine physicians (J.G., P.B., and M.B.) visually assessed the 3D-SSP images using the Z-score maps (GBM scaling) and rated the severity of perfusion and metabolic reduction in cortical regions used in the clinical routine (frontal, parietal, temporal, occipital cortex areas) from 0 to 3 (0 = no reduction, 1 = mild, 2 = intermediate, 3 = severe). Based on the individual readers assessment, whole-brain 3D-SSP images were rated binary (0/1) and according to the severity of present neurodegeneration (0 = no/1 = mild/2 = intermediate/3 = severe neurodegeneration). Readers had access to the pre-PET clinical diagnosis and to the scan modality. Prior to the visual read, all three readers received detailed instructions including 10 training sets. Reading was performed in balanced order to avoid systematic bias. Reader 1 started with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continued with </w:t>
      </w:r>
      <w:r w:rsidRPr="00B3024A">
        <w:rPr>
          <w:rFonts w:ascii="Arial" w:hAnsi="Arial" w:cs="Arial"/>
          <w:szCs w:val="24"/>
        </w:rPr>
        <w:t>β</w:t>
      </w:r>
      <w:r w:rsidRPr="00B3024A">
        <w:rPr>
          <w:rFonts w:ascii="Arial" w:hAnsi="Arial" w:cs="Arial"/>
        </w:rPr>
        <w:t>-amyloid-PET and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0.5–2.5min</w:t>
      </w:r>
      <w:r w:rsidRPr="00B3024A">
        <w:rPr>
          <w:rFonts w:ascii="Arial" w:hAnsi="Arial" w:cs="Arial"/>
        </w:rPr>
        <w:t>; Reader 2 started with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0.5–2.5min</w:t>
      </w:r>
      <w:r w:rsidRPr="00B3024A">
        <w:rPr>
          <w:rFonts w:ascii="Arial" w:hAnsi="Arial" w:cs="Arial"/>
        </w:rPr>
        <w:t xml:space="preserve">, continued with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and </w:t>
      </w:r>
      <w:r w:rsidRPr="00B3024A">
        <w:rPr>
          <w:rFonts w:ascii="Arial" w:hAnsi="Arial" w:cs="Arial"/>
          <w:szCs w:val="24"/>
        </w:rPr>
        <w:t>β</w:t>
      </w:r>
      <w:r w:rsidRPr="00B3024A">
        <w:rPr>
          <w:rFonts w:ascii="Arial" w:hAnsi="Arial" w:cs="Arial"/>
        </w:rPr>
        <w:t>-amyloid-PET</w:t>
      </w:r>
      <w:r w:rsidRPr="00B3024A">
        <w:rPr>
          <w:rFonts w:ascii="Arial" w:hAnsi="Arial" w:cs="Arial"/>
          <w:sz w:val="20"/>
          <w:szCs w:val="20"/>
          <w:vertAlign w:val="subscript"/>
        </w:rPr>
        <w:t>0–10min</w:t>
      </w:r>
      <w:r w:rsidRPr="00B3024A">
        <w:rPr>
          <w:rFonts w:ascii="Arial" w:hAnsi="Arial" w:cs="Arial"/>
        </w:rPr>
        <w:t xml:space="preserve">; Reader 3 started with </w:t>
      </w:r>
      <w:r w:rsidRPr="00B3024A">
        <w:rPr>
          <w:rFonts w:ascii="Arial" w:hAnsi="Arial" w:cs="Arial"/>
          <w:szCs w:val="24"/>
        </w:rPr>
        <w:t>β</w:t>
      </w:r>
      <w:r w:rsidRPr="00B3024A">
        <w:rPr>
          <w:rFonts w:ascii="Arial" w:hAnsi="Arial" w:cs="Arial"/>
        </w:rPr>
        <w:t>-amyloid-PET</w:t>
      </w:r>
      <w:r w:rsidRPr="00B3024A">
        <w:rPr>
          <w:rFonts w:ascii="Arial" w:hAnsi="Arial" w:cs="Arial"/>
          <w:sz w:val="20"/>
          <w:szCs w:val="20"/>
          <w:vertAlign w:val="subscript"/>
        </w:rPr>
        <w:t>0–10min</w:t>
      </w:r>
      <w:r w:rsidRPr="00B3024A">
        <w:rPr>
          <w:rFonts w:ascii="Arial" w:hAnsi="Arial" w:cs="Arial"/>
        </w:rPr>
        <w:t>, continued with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 xml:space="preserve">0.5–2.5min </w:t>
      </w:r>
      <w:r w:rsidRPr="00B3024A">
        <w:rPr>
          <w:rFonts w:ascii="Arial" w:hAnsi="Arial" w:cs="Arial"/>
        </w:rPr>
        <w:t xml:space="preserve">and finished with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FDG-PET. Overall, n=217 reads were carried out by each reader for 3/4R-Tauopathies (n=77;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0.5–2.5min</w:t>
      </w:r>
      <w:r w:rsidRPr="00B3024A">
        <w:rPr>
          <w:rFonts w:ascii="Arial" w:hAnsi="Arial" w:cs="Arial"/>
        </w:rPr>
        <w:t xml:space="preserve">: n=38, </w:t>
      </w:r>
      <w:r w:rsidRPr="00B3024A">
        <w:rPr>
          <w:rFonts w:ascii="Arial" w:hAnsi="Arial" w:cs="Arial"/>
          <w:szCs w:val="24"/>
        </w:rPr>
        <w:t>β</w:t>
      </w:r>
      <w:r w:rsidRPr="00B3024A">
        <w:rPr>
          <w:rFonts w:ascii="Arial" w:hAnsi="Arial" w:cs="Arial"/>
        </w:rPr>
        <w:t>-amyloid-PET</w:t>
      </w:r>
      <w:r w:rsidRPr="00B3024A">
        <w:rPr>
          <w:rFonts w:ascii="Arial" w:hAnsi="Arial" w:cs="Arial"/>
          <w:sz w:val="20"/>
          <w:szCs w:val="20"/>
          <w:vertAlign w:val="subscript"/>
        </w:rPr>
        <w:t>0–10min</w:t>
      </w:r>
      <w:r w:rsidRPr="00B3024A">
        <w:rPr>
          <w:rFonts w:ascii="Arial" w:hAnsi="Arial" w:cs="Arial"/>
        </w:rPr>
        <w:t xml:space="preserve">: n=24 and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FDG-PET: n=15) and 4R-Tauopathies (n=140; [</w:t>
      </w:r>
      <w:r w:rsidRPr="00B3024A">
        <w:rPr>
          <w:rFonts w:ascii="Arial" w:hAnsi="Arial" w:cs="Arial"/>
          <w:vertAlign w:val="superscript"/>
        </w:rPr>
        <w:t>18</w:t>
      </w:r>
      <w:r w:rsidRPr="00B3024A">
        <w:rPr>
          <w:rFonts w:ascii="Arial" w:hAnsi="Arial" w:cs="Arial"/>
        </w:rPr>
        <w:t>F]PI-</w:t>
      </w:r>
      <w:r w:rsidRPr="00B3024A">
        <w:rPr>
          <w:rFonts w:ascii="Arial" w:hAnsi="Arial" w:cs="Arial"/>
        </w:rPr>
        <w:lastRenderedPageBreak/>
        <w:t>2620</w:t>
      </w:r>
      <w:r w:rsidRPr="00B3024A">
        <w:rPr>
          <w:rFonts w:ascii="Arial" w:hAnsi="Arial" w:cs="Arial"/>
          <w:vertAlign w:val="subscript"/>
        </w:rPr>
        <w:t>0.5–2.5min</w:t>
      </w:r>
      <w:r w:rsidRPr="00B3024A">
        <w:rPr>
          <w:rFonts w:ascii="Arial" w:hAnsi="Arial" w:cs="Arial"/>
        </w:rPr>
        <w:t xml:space="preserve">: n=68, </w:t>
      </w:r>
      <w:r w:rsidRPr="00B3024A">
        <w:rPr>
          <w:rFonts w:ascii="Arial" w:hAnsi="Arial" w:cs="Arial"/>
          <w:szCs w:val="24"/>
        </w:rPr>
        <w:t>β</w:t>
      </w:r>
      <w:r w:rsidRPr="00B3024A">
        <w:rPr>
          <w:rFonts w:ascii="Arial" w:hAnsi="Arial" w:cs="Arial"/>
        </w:rPr>
        <w:t>-amyloid-PET</w:t>
      </w:r>
      <w:r w:rsidRPr="00B3024A">
        <w:rPr>
          <w:rFonts w:ascii="Arial" w:hAnsi="Arial" w:cs="Arial"/>
          <w:sz w:val="20"/>
          <w:szCs w:val="20"/>
          <w:vertAlign w:val="subscript"/>
        </w:rPr>
        <w:t>0–10min</w:t>
      </w:r>
      <w:r w:rsidRPr="00B3024A">
        <w:rPr>
          <w:rFonts w:ascii="Arial" w:hAnsi="Arial" w:cs="Arial"/>
        </w:rPr>
        <w:t xml:space="preserve">: n=36 and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n=36). Due to artifacts that occurred during normalization to the 3D-SSP (e.g., dilatation of ventricular system, pronounced atrophy, post-resection), one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scan was excluded from the 3/4RT cohort for further analysis. In the 4RT group, two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scans, two early-phase </w:t>
      </w:r>
      <w:r w:rsidRPr="00B3024A">
        <w:rPr>
          <w:rFonts w:ascii="Arial" w:hAnsi="Arial" w:cs="Arial"/>
          <w:szCs w:val="24"/>
        </w:rPr>
        <w:t>β</w:t>
      </w:r>
      <w:r w:rsidRPr="00B3024A">
        <w:rPr>
          <w:rFonts w:ascii="Arial" w:hAnsi="Arial" w:cs="Arial"/>
        </w:rPr>
        <w:t>-amyloid-PET scans, and two [</w:t>
      </w:r>
      <w:r w:rsidRPr="00B3024A">
        <w:rPr>
          <w:rFonts w:ascii="Arial" w:hAnsi="Arial" w:cs="Arial"/>
          <w:vertAlign w:val="superscript"/>
        </w:rPr>
        <w:t>18</w:t>
      </w:r>
      <w:r w:rsidRPr="00B3024A">
        <w:rPr>
          <w:rFonts w:ascii="Arial" w:hAnsi="Arial" w:cs="Arial"/>
        </w:rPr>
        <w:t>F]PI-2620 scans were excluded.</w:t>
      </w:r>
    </w:p>
    <w:p w14:paraId="117B3AB0" w14:textId="77777777" w:rsidR="00DF6E6E" w:rsidRPr="00B3024A" w:rsidRDefault="00000000">
      <w:pPr>
        <w:spacing w:line="480" w:lineRule="auto"/>
        <w:jc w:val="both"/>
        <w:rPr>
          <w:rFonts w:ascii="Arial" w:hAnsi="Arial" w:cs="Arial"/>
          <w:i/>
          <w:iCs/>
        </w:rPr>
      </w:pPr>
      <w:r w:rsidRPr="00B3024A">
        <w:rPr>
          <w:rFonts w:ascii="Arial" w:hAnsi="Arial" w:cs="Arial"/>
          <w:i/>
          <w:iCs/>
        </w:rPr>
        <w:t>AI Algorithm for volumetric MRI</w:t>
      </w:r>
    </w:p>
    <w:p w14:paraId="3F8729C2" w14:textId="77777777" w:rsidR="00DF6E6E" w:rsidRPr="00B3024A" w:rsidRDefault="00000000">
      <w:pPr>
        <w:spacing w:line="480" w:lineRule="auto"/>
        <w:jc w:val="both"/>
        <w:rPr>
          <w:rFonts w:ascii="Arial" w:hAnsi="Arial" w:cs="Arial"/>
        </w:rPr>
      </w:pPr>
      <w:r w:rsidRPr="00B3024A">
        <w:rPr>
          <w:rFonts w:ascii="Arial" w:hAnsi="Arial" w:cs="Arial"/>
        </w:rPr>
        <w:t>For quantitative analysis of brain MRI, the commercially available AI tool "</w:t>
      </w:r>
      <w:proofErr w:type="spellStart"/>
      <w:r w:rsidRPr="00B3024A">
        <w:rPr>
          <w:rFonts w:ascii="Arial" w:hAnsi="Arial" w:cs="Arial"/>
        </w:rPr>
        <w:t>mdbrain</w:t>
      </w:r>
      <w:proofErr w:type="spellEnd"/>
      <w:r w:rsidRPr="00B3024A">
        <w:rPr>
          <w:rFonts w:ascii="Arial" w:hAnsi="Arial" w:cs="Arial"/>
        </w:rPr>
        <w:t>", version 3.3.0 (</w:t>
      </w:r>
      <w:proofErr w:type="spellStart"/>
      <w:r w:rsidRPr="00B3024A">
        <w:rPr>
          <w:rFonts w:ascii="Arial" w:hAnsi="Arial" w:cs="Arial"/>
        </w:rPr>
        <w:t>mediaire</w:t>
      </w:r>
      <w:proofErr w:type="spellEnd"/>
      <w:r w:rsidRPr="00B3024A">
        <w:rPr>
          <w:rFonts w:ascii="Arial" w:hAnsi="Arial" w:cs="Arial"/>
        </w:rPr>
        <w:t xml:space="preserve"> GmbH, Berlin) was used. The system leverages a custom deep learning segmentation model based on the U-Net architecture </w:t>
      </w:r>
      <w:r w:rsidRPr="00B3024A">
        <w:rPr>
          <w:rFonts w:ascii="Arial" w:hAnsi="Arial" w:cs="Arial"/>
        </w:rPr>
        <w:fldChar w:fldCharType="begin"/>
      </w:r>
      <w:r w:rsidRPr="00B3024A">
        <w:rPr>
          <w:rFonts w:ascii="Arial" w:hAnsi="Arial" w:cs="Arial"/>
        </w:rPr>
        <w:instrText xml:space="preserve"> ADDIN EN.CITE &lt;EndNote&gt;&lt;Cite&gt;&lt;Author&gt;Ronneberger&lt;/Author&gt;&lt;Year&gt;2015&lt;/Year&gt;&lt;RecNum&gt;27&lt;/RecNum&gt;&lt;DisplayText&gt;[3]&lt;/DisplayText&gt;&lt;record&gt;&lt;rec-number&gt;27&lt;/rec-number&gt;&lt;foreign-keys&gt;&lt;key app="EN" db-id="5pvr5pttt9xxa5ef9w9v2v53xrxefsv5a52a" timestamp="1731583022"&gt;27&lt;/key&gt;&lt;/foreign-keys&gt;&lt;ref-type name="Conference Proceedings"&gt;10&lt;/ref-type&gt;&lt;contributors&gt;&lt;authors&gt;&lt;author&gt;Ronneberger, Olaf&lt;/author&gt;&lt;author&gt;Fischer, Philipp&lt;/author&gt;&lt;author&gt;Brox, Thomas&lt;/author&gt;&lt;/authors&gt;&lt;secondary-authors&gt;&lt;author&gt;Navab, Nassir&lt;/author&gt;&lt;author&gt;Hornegger, Joachim&lt;/author&gt;&lt;author&gt;Wells, William M.&lt;/author&gt;&lt;author&gt;Frangi, Alejandro F.&lt;/author&gt;&lt;/secondary-authors&gt;&lt;/contributors&gt;&lt;titles&gt;&lt;title&gt;U-Net: Convolutional Networks for Biomedical Image Segmentation&lt;/title&gt;&lt;secondary-title&gt;Medical Image Computing and Computer-Assisted Intervention – MICCAI 2015&lt;/secondary-title&gt;&lt;/titles&gt;&lt;pages&gt;234-241&lt;/pages&gt;&lt;dates&gt;&lt;year&gt;2015&lt;/year&gt;&lt;pub-dates&gt;&lt;date&gt;2015//&lt;/date&gt;&lt;/pub-dates&gt;&lt;/dates&gt;&lt;pub-location&gt;Cham&lt;/pub-location&gt;&lt;publisher&gt;Springer International Publishing&lt;/publisher&gt;&lt;isbn&gt;978-3-319-24574-4&lt;/isbn&gt;&lt;urls&gt;&lt;/urls&gt;&lt;/record&gt;&lt;/Cite&gt;&lt;/EndNote&gt;</w:instrText>
      </w:r>
      <w:r w:rsidRPr="00B3024A">
        <w:rPr>
          <w:rFonts w:ascii="Arial" w:hAnsi="Arial" w:cs="Arial"/>
        </w:rPr>
        <w:fldChar w:fldCharType="separate"/>
      </w:r>
      <w:r w:rsidRPr="00B3024A">
        <w:rPr>
          <w:rFonts w:ascii="Arial" w:hAnsi="Arial" w:cs="Arial"/>
          <w:noProof/>
        </w:rPr>
        <w:t>[3]</w:t>
      </w:r>
      <w:r w:rsidRPr="00B3024A">
        <w:rPr>
          <w:rFonts w:ascii="Arial" w:hAnsi="Arial" w:cs="Arial"/>
        </w:rPr>
        <w:fldChar w:fldCharType="end"/>
      </w:r>
      <w:r w:rsidRPr="00B3024A">
        <w:rPr>
          <w:rFonts w:ascii="Arial" w:hAnsi="Arial" w:cs="Arial"/>
        </w:rPr>
        <w:t xml:space="preserve"> to perform a highly accurate hemisphere- and region-specific (e.g., lobes) rapid brain volumetry in clinical routine settings, which was trained on a heterogeneous dataset of 3D T1w images (n = 1,851, balanced male/female). Augmentation techniques (augmentation of contrast, resolution, rotation, elastic deformation) have been used to maximize the model’s applicability in daily routine. The volumes of 18 brain regions including the hippocampus are determined and percentiles are derived by comparison to a cohort of healthy individuals (n=3,179, balanced m/f, age range 18 to 92), while accounting for age, sex, and total intracranial volume.</w:t>
      </w:r>
    </w:p>
    <w:p w14:paraId="3F59DDAE" w14:textId="77777777" w:rsidR="00DF6E6E" w:rsidRPr="00B3024A" w:rsidRDefault="00DF6E6E">
      <w:pPr>
        <w:spacing w:line="480" w:lineRule="auto"/>
        <w:rPr>
          <w:rFonts w:ascii="Arial" w:hAnsi="Arial" w:cs="Arial"/>
          <w:b/>
          <w:bCs/>
          <w:sz w:val="20"/>
          <w:szCs w:val="20"/>
        </w:rPr>
      </w:pPr>
    </w:p>
    <w:p w14:paraId="759A2CC2" w14:textId="77777777" w:rsidR="00DF6E6E" w:rsidRPr="00B3024A" w:rsidRDefault="00000000">
      <w:pPr>
        <w:spacing w:line="480" w:lineRule="auto"/>
        <w:rPr>
          <w:rFonts w:ascii="Arial" w:hAnsi="Arial" w:cs="Arial"/>
          <w:b/>
          <w:bCs/>
          <w:szCs w:val="20"/>
        </w:rPr>
      </w:pPr>
      <w:r w:rsidRPr="00B3024A">
        <w:rPr>
          <w:rFonts w:ascii="Arial" w:hAnsi="Arial" w:cs="Arial"/>
          <w:b/>
          <w:bCs/>
          <w:szCs w:val="20"/>
        </w:rPr>
        <w:t>Supplementary Results</w:t>
      </w:r>
    </w:p>
    <w:p w14:paraId="36B3F26F" w14:textId="77777777" w:rsidR="00DF6E6E" w:rsidRPr="00B3024A" w:rsidRDefault="00000000">
      <w:pPr>
        <w:spacing w:line="480" w:lineRule="auto"/>
        <w:jc w:val="both"/>
        <w:rPr>
          <w:rFonts w:ascii="Arial" w:hAnsi="Arial" w:cs="Arial"/>
          <w:i/>
          <w:iCs/>
        </w:rPr>
      </w:pPr>
      <w:r w:rsidRPr="00B3024A">
        <w:rPr>
          <w:rFonts w:ascii="Arial" w:hAnsi="Arial" w:cs="Arial"/>
          <w:i/>
          <w:iCs/>
        </w:rPr>
        <w:t>Delivery of [</w:t>
      </w:r>
      <w:r w:rsidRPr="00B3024A">
        <w:rPr>
          <w:rFonts w:ascii="Arial" w:hAnsi="Arial" w:cs="Arial"/>
          <w:i/>
          <w:iCs/>
          <w:vertAlign w:val="superscript"/>
        </w:rPr>
        <w:t>18</w:t>
      </w:r>
      <w:r w:rsidRPr="00B3024A">
        <w:rPr>
          <w:rFonts w:ascii="Arial" w:hAnsi="Arial" w:cs="Arial"/>
          <w:i/>
          <w:iCs/>
        </w:rPr>
        <w:t>F]PI-2620 depicts neuronal damage in patients with tauopathies (N)</w:t>
      </w:r>
    </w:p>
    <w:p w14:paraId="30684BCA" w14:textId="77777777" w:rsidR="00DF6E6E" w:rsidRPr="00B3024A" w:rsidRDefault="00000000">
      <w:pPr>
        <w:spacing w:line="480" w:lineRule="auto"/>
        <w:jc w:val="both"/>
        <w:rPr>
          <w:rFonts w:ascii="Arial" w:hAnsi="Arial" w:cs="Arial"/>
        </w:rPr>
      </w:pPr>
      <w:r w:rsidRPr="00B3024A">
        <w:rPr>
          <w:rFonts w:ascii="Arial" w:hAnsi="Arial" w:cs="Arial"/>
        </w:rPr>
        <w:t>First, we investigated which kinetic parameter best reflects neuronal damage. Among the three parameters tested, R1 demonstrated the highest predictive value (AUC=0.8978), although the differences did not reach statistical significance when compared to K2a (AUC=0.7828, p=0.054) and DVR (AUC=0.8509, p=0.74), using the binary consensus-based visual read of early-phase [</w:t>
      </w:r>
      <w:r w:rsidRPr="00B3024A">
        <w:rPr>
          <w:rFonts w:ascii="Arial" w:hAnsi="Arial" w:cs="Arial"/>
          <w:vertAlign w:val="superscript"/>
        </w:rPr>
        <w:t>18</w:t>
      </w:r>
      <w:r w:rsidRPr="00B3024A">
        <w:rPr>
          <w:rFonts w:ascii="Arial" w:hAnsi="Arial" w:cs="Arial"/>
        </w:rPr>
        <w:t xml:space="preserve">F]PI-2620 3D-SSP PET images as the reference. In addition, reduced R1 values showed the strongest association with averaged visual read severity (r=-0.41, p&lt;0.0001), outperforming K2a (r=-0.36, p=0.0002) and DVR (r=0.10, p=0.33). These results are consistent </w:t>
      </w:r>
      <w:r w:rsidRPr="00B3024A">
        <w:rPr>
          <w:rFonts w:ascii="Arial" w:hAnsi="Arial" w:cs="Arial"/>
        </w:rPr>
        <w:lastRenderedPageBreak/>
        <w:t xml:space="preserve">with previous studies that have successfully implemented R1 as a surrogate marker of neuronal injury </w:t>
      </w:r>
      <w:r w:rsidRPr="00B3024A">
        <w:rPr>
          <w:rFonts w:ascii="Arial" w:hAnsi="Arial" w:cs="Arial"/>
        </w:rPr>
        <w:fldChar w:fldCharType="begin">
          <w:fldData xml:space="preserve">PEVuZE5vdGU+PENpdGU+PEF1dGhvcj5CZXllcjwvQXV0aG9yPjxZZWFyPjIwMjA8L1llYXI+PFJl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</w:fldData>
        </w:fldChar>
      </w:r>
      <w:r w:rsidRPr="00B3024A">
        <w:rPr>
          <w:rFonts w:ascii="Arial" w:hAnsi="Arial" w:cs="Arial"/>
        </w:rPr>
        <w:instrText xml:space="preserve"> ADDIN EN.CITE </w:instrText>
      </w:r>
      <w:r w:rsidRPr="00B3024A">
        <w:rPr>
          <w:rFonts w:ascii="Arial" w:hAnsi="Arial" w:cs="Arial"/>
        </w:rPr>
        <w:fldChar w:fldCharType="begin">
          <w:fldData xml:space="preserve">PEVuZE5vdGU+PENpdGU+PEF1dGhvcj5CZXllcjwvQXV0aG9yPjxZZWFyPjIwMjA8L1llYXI+PFJl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</w:fldData>
        </w:fldChar>
      </w:r>
      <w:r w:rsidRPr="00B3024A">
        <w:rPr>
          <w:rFonts w:ascii="Arial" w:hAnsi="Arial" w:cs="Arial"/>
        </w:rPr>
        <w:instrText xml:space="preserve"> ADDIN EN.CITE.DATA </w:instrText>
      </w:r>
      <w:r w:rsidRPr="00B3024A">
        <w:rPr>
          <w:rFonts w:ascii="Arial" w:hAnsi="Arial" w:cs="Arial"/>
        </w:rPr>
      </w:r>
      <w:r w:rsidRPr="00B3024A">
        <w:rPr>
          <w:rFonts w:ascii="Arial" w:hAnsi="Arial" w:cs="Arial"/>
        </w:rPr>
        <w:fldChar w:fldCharType="end"/>
      </w:r>
      <w:r w:rsidRPr="00B3024A">
        <w:rPr>
          <w:rFonts w:ascii="Arial" w:hAnsi="Arial" w:cs="Arial"/>
        </w:rPr>
      </w:r>
      <w:r w:rsidRPr="00B3024A">
        <w:rPr>
          <w:rFonts w:ascii="Arial" w:hAnsi="Arial" w:cs="Arial"/>
        </w:rPr>
        <w:fldChar w:fldCharType="separate"/>
      </w:r>
      <w:r w:rsidRPr="00B3024A">
        <w:rPr>
          <w:rFonts w:ascii="Arial" w:hAnsi="Arial" w:cs="Arial"/>
          <w:noProof/>
        </w:rPr>
        <w:t>[4]</w:t>
      </w:r>
      <w:r w:rsidRPr="00B3024A">
        <w:rPr>
          <w:rFonts w:ascii="Arial" w:hAnsi="Arial" w:cs="Arial"/>
        </w:rPr>
        <w:fldChar w:fldCharType="end"/>
      </w:r>
      <w:r w:rsidRPr="00B3024A">
        <w:rPr>
          <w:rFonts w:ascii="Arial" w:hAnsi="Arial" w:cs="Arial"/>
        </w:rPr>
        <w:t>. Based on this evidence, and given its superior association with visual read severity, R1 was selected as the most suitable kinetic parameter to represent the N component in our proposed A/T/N framework. Next, we performed an intermodal correlation analysis between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R1</w:t>
      </w:r>
      <w:r w:rsidRPr="00B3024A">
        <w:rPr>
          <w:rFonts w:ascii="Arial" w:hAnsi="Arial" w:cs="Arial"/>
        </w:rPr>
        <w:t xml:space="preserve">,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and early-phase </w:t>
      </w:r>
      <w:r w:rsidRPr="00B3024A">
        <w:rPr>
          <w:rFonts w:ascii="Arial" w:hAnsi="Arial" w:cs="Arial"/>
          <w:szCs w:val="24"/>
        </w:rPr>
        <w:t>β</w:t>
      </w:r>
      <w:r w:rsidRPr="00B3024A">
        <w:rPr>
          <w:rFonts w:ascii="Arial" w:hAnsi="Arial" w:cs="Arial"/>
        </w:rPr>
        <w:t>-amyloid-PET in our combined tauopathy cohort. We observed a significant correlation between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R1</w:t>
      </w:r>
      <w:r w:rsidRPr="00B3024A">
        <w:rPr>
          <w:rFonts w:ascii="Arial" w:hAnsi="Arial" w:cs="Arial"/>
        </w:rPr>
        <w:t xml:space="preserve"> and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FDG-PET in the frontal cortex (R=0.24; P=0.017), the temporal cortex (R=0.26; P=0.0089), the parietal cortex (R=0.53; P&lt;0.0001), the occipital cortex (R=0.31, P=0.0019), and the basal ganglia (R=0.24; P=0.0018). The insular cortex, although indicating a clear trend, did not fully reach the significance threshold of P&lt;0.05 (R=0.19; P=0.065). Similarly,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 xml:space="preserve">R1 </w:t>
      </w:r>
      <w:r w:rsidRPr="00B3024A">
        <w:rPr>
          <w:rFonts w:ascii="Arial" w:hAnsi="Arial" w:cs="Arial"/>
        </w:rPr>
        <w:t>was significantly associated with</w:t>
      </w:r>
      <w:r w:rsidRPr="00B3024A">
        <w:rPr>
          <w:rFonts w:ascii="Arial" w:hAnsi="Arial" w:cs="Arial"/>
          <w:vertAlign w:val="subscript"/>
        </w:rPr>
        <w:t xml:space="preserve"> </w:t>
      </w:r>
      <w:r w:rsidRPr="00B3024A">
        <w:rPr>
          <w:rFonts w:ascii="Arial" w:hAnsi="Arial" w:cs="Arial"/>
        </w:rPr>
        <w:t xml:space="preserve">early phase </w:t>
      </w:r>
      <w:r w:rsidRPr="00B3024A">
        <w:rPr>
          <w:rFonts w:ascii="Arial" w:hAnsi="Arial" w:cs="Arial"/>
          <w:szCs w:val="24"/>
        </w:rPr>
        <w:t>β</w:t>
      </w:r>
      <w:r w:rsidRPr="00B3024A">
        <w:rPr>
          <w:rFonts w:ascii="Arial" w:hAnsi="Arial" w:cs="Arial"/>
        </w:rPr>
        <w:t>-amyloid-PET in the frontal cortex (R=0.21; P=0.023), the temporal cortex (R=0.38, P&lt;0.0001), the parietal cortex (R=0.56; P&lt;0.0001), the insular cortex (R=0.32; P=0.0003), the occipital cortex (R=0.42; P&lt;0.0001) and the basal ganglia (R=0.29; P=0.0011) (</w:t>
      </w:r>
      <w:r w:rsidRPr="00B3024A">
        <w:rPr>
          <w:rFonts w:ascii="Arial" w:hAnsi="Arial" w:cs="Arial"/>
          <w:b/>
        </w:rPr>
        <w:t>Supplementary Figure 8</w:t>
      </w:r>
      <w:r w:rsidRPr="00B3024A">
        <w:rPr>
          <w:rFonts w:ascii="Arial" w:hAnsi="Arial" w:cs="Arial"/>
        </w:rPr>
        <w:t xml:space="preserve">). </w:t>
      </w:r>
    </w:p>
    <w:p w14:paraId="2C305874" w14:textId="77777777" w:rsidR="00DF6E6E" w:rsidRPr="00B3024A" w:rsidRDefault="00000000">
      <w:pPr>
        <w:spacing w:line="480" w:lineRule="auto"/>
        <w:jc w:val="both"/>
        <w:rPr>
          <w:rFonts w:ascii="Arial" w:hAnsi="Arial" w:cs="Arial"/>
          <w:bCs/>
        </w:rPr>
      </w:pPr>
      <w:r w:rsidRPr="00B3024A">
        <w:rPr>
          <w:rFonts w:ascii="Arial" w:hAnsi="Arial" w:cs="Arial"/>
          <w:bCs/>
        </w:rPr>
        <w:t>Additionally, in a subset of 4RT (n=43) and 3/4RT (n=22), volumetric MRI was acquired to obtain atrophy scores (in %) for both cortical hemispheres and hindbrain regions. Subcortical bilateral volumes were successfully obtained in 4RT (n=32) and 3/4RT (n=12), respectively (</w:t>
      </w:r>
      <w:r w:rsidRPr="00B3024A">
        <w:rPr>
          <w:rFonts w:ascii="Arial" w:hAnsi="Arial" w:cs="Arial"/>
          <w:b/>
          <w:bCs/>
        </w:rPr>
        <w:t>Supplementary Figure 9</w:t>
      </w:r>
      <w:r w:rsidRPr="00B3024A">
        <w:rPr>
          <w:rFonts w:ascii="Arial" w:hAnsi="Arial" w:cs="Arial"/>
          <w:bCs/>
        </w:rPr>
        <w:t xml:space="preserve">). When correlating </w:t>
      </w:r>
      <w:r w:rsidRPr="00B3024A">
        <w:rPr>
          <w:rFonts w:ascii="Arial" w:hAnsi="Arial" w:cs="Arial"/>
        </w:rPr>
        <w:t>[</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R1</w:t>
      </w:r>
      <w:r w:rsidRPr="00B3024A">
        <w:rPr>
          <w:rFonts w:ascii="Arial" w:hAnsi="Arial" w:cs="Arial"/>
        </w:rPr>
        <w:t xml:space="preserve"> </w:t>
      </w:r>
      <w:r w:rsidRPr="00B3024A">
        <w:rPr>
          <w:rFonts w:ascii="Arial" w:hAnsi="Arial" w:cs="Arial"/>
          <w:bCs/>
        </w:rPr>
        <w:t>with the degree of atrophy, a significant positive association was observed in all cortical regions of 3/4RT including the frontal cortex (R=0.57; P&lt;0.0001), the temporal cortex (R=0.41; P=0.0051), the parietal cortex (R=0.64; P&lt;0.0001) and the occipital cortex (R=0.49; P=0.0007). Perfusion deficits in the cortex of 4RT were significantly correlated with atrophy in the parietal lobe (R=0.23; P=0.03), while in the frontal lobe, only a positive trend was indicated (R=0.20; P=0.065). No significance, however, was attained in the temporal (R=0.07; P=0.50) and occipital cortex (R=0.07; P=0.51) (</w:t>
      </w:r>
      <w:r w:rsidRPr="00B3024A">
        <w:rPr>
          <w:rFonts w:ascii="Arial" w:hAnsi="Arial" w:cs="Arial"/>
          <w:b/>
          <w:bCs/>
        </w:rPr>
        <w:t>Supplementary Figure 9A</w:t>
      </w:r>
      <w:r w:rsidRPr="00B3024A">
        <w:rPr>
          <w:rFonts w:ascii="Arial" w:hAnsi="Arial" w:cs="Arial"/>
          <w:bCs/>
        </w:rPr>
        <w:t xml:space="preserve">). Considering the subcortical regions, </w:t>
      </w:r>
      <w:r w:rsidRPr="00B3024A">
        <w:rPr>
          <w:rFonts w:ascii="Arial" w:hAnsi="Arial" w:cs="Arial"/>
        </w:rPr>
        <w:t>[</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R1</w:t>
      </w:r>
      <w:r w:rsidRPr="00B3024A">
        <w:rPr>
          <w:rFonts w:ascii="Arial" w:hAnsi="Arial" w:cs="Arial"/>
          <w:bCs/>
        </w:rPr>
        <w:t xml:space="preserve"> was negatively correlated with atrophy in the globus pallidus (R=-0.29; P=0.018) of 4RT, while a moderate degree of correlation was found in the nucleus caudatus (R=0.27; P=0.03). The relative perfusion of the putamen of the same patient sample was borderline negatively </w:t>
      </w:r>
      <w:r w:rsidRPr="00B3024A">
        <w:rPr>
          <w:rFonts w:ascii="Arial" w:hAnsi="Arial" w:cs="Arial"/>
          <w:bCs/>
        </w:rPr>
        <w:lastRenderedPageBreak/>
        <w:t xml:space="preserve">associated with atrophy (R=-0.24; P=0.053) among both imaging modalities. In the 3/4RT group, only the putamen revealed a significant negative association among </w:t>
      </w:r>
      <w:r w:rsidRPr="00B3024A">
        <w:rPr>
          <w:rFonts w:ascii="Arial" w:hAnsi="Arial" w:cs="Arial"/>
        </w:rPr>
        <w:t>[</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 xml:space="preserve">R1 </w:t>
      </w:r>
      <w:r w:rsidRPr="00B3024A">
        <w:rPr>
          <w:rFonts w:ascii="Arial" w:hAnsi="Arial" w:cs="Arial"/>
        </w:rPr>
        <w:t>and the</w:t>
      </w:r>
      <w:r w:rsidRPr="00B3024A">
        <w:rPr>
          <w:rFonts w:ascii="Arial" w:hAnsi="Arial" w:cs="Arial"/>
          <w:vertAlign w:val="subscript"/>
        </w:rPr>
        <w:t xml:space="preserve"> </w:t>
      </w:r>
      <w:r w:rsidRPr="00B3024A">
        <w:rPr>
          <w:rFonts w:ascii="Arial" w:hAnsi="Arial" w:cs="Arial"/>
          <w:bCs/>
        </w:rPr>
        <w:t>level of atrophy (R=-0.44; P=0.031) (</w:t>
      </w:r>
      <w:r w:rsidRPr="00B3024A">
        <w:rPr>
          <w:rFonts w:ascii="Arial" w:hAnsi="Arial" w:cs="Arial"/>
          <w:b/>
          <w:bCs/>
        </w:rPr>
        <w:t>Supplementary Figure 9B</w:t>
      </w:r>
      <w:r w:rsidRPr="00B3024A">
        <w:rPr>
          <w:rFonts w:ascii="Arial" w:hAnsi="Arial" w:cs="Arial"/>
          <w:bCs/>
        </w:rPr>
        <w:t xml:space="preserve">). </w:t>
      </w:r>
    </w:p>
    <w:p w14:paraId="55BE2C56" w14:textId="77777777" w:rsidR="00DF6E6E" w:rsidRPr="00B3024A" w:rsidRDefault="00DF6E6E">
      <w:pPr>
        <w:spacing w:line="480" w:lineRule="auto"/>
        <w:rPr>
          <w:rFonts w:ascii="Arial" w:hAnsi="Arial" w:cs="Arial"/>
          <w:i/>
          <w:iCs/>
        </w:rPr>
      </w:pPr>
    </w:p>
    <w:p w14:paraId="7BB7C30B" w14:textId="77777777" w:rsidR="00DF6E6E" w:rsidRPr="00B3024A" w:rsidRDefault="00000000" w:rsidP="00D5362B">
      <w:pPr>
        <w:spacing w:line="480" w:lineRule="auto"/>
        <w:jc w:val="both"/>
        <w:rPr>
          <w:rFonts w:ascii="Arial" w:hAnsi="Arial" w:cs="Arial"/>
          <w:i/>
          <w:iCs/>
        </w:rPr>
      </w:pPr>
      <w:r w:rsidRPr="00B3024A">
        <w:rPr>
          <w:rFonts w:ascii="Arial" w:hAnsi="Arial" w:cs="Arial"/>
          <w:i/>
          <w:iCs/>
        </w:rPr>
        <w:t>High visual agreement among early-phase [</w:t>
      </w:r>
      <w:r w:rsidRPr="00B3024A">
        <w:rPr>
          <w:rFonts w:ascii="Arial" w:hAnsi="Arial" w:cs="Arial"/>
          <w:i/>
          <w:iCs/>
          <w:vertAlign w:val="superscript"/>
        </w:rPr>
        <w:t>18</w:t>
      </w:r>
      <w:r w:rsidRPr="00B3024A">
        <w:rPr>
          <w:rFonts w:ascii="Arial" w:hAnsi="Arial" w:cs="Arial"/>
          <w:i/>
          <w:iCs/>
        </w:rPr>
        <w:t>F]PI-2620 and</w:t>
      </w:r>
      <w:r w:rsidRPr="00B3024A">
        <w:rPr>
          <w:rFonts w:ascii="Arial" w:hAnsi="Arial" w:cs="Arial"/>
          <w:i/>
          <w:iCs/>
          <w:vertAlign w:val="subscript"/>
        </w:rPr>
        <w:t xml:space="preserve">  </w:t>
      </w:r>
      <w:r w:rsidRPr="00B3024A">
        <w:rPr>
          <w:rFonts w:ascii="Arial" w:hAnsi="Arial" w:cs="Arial"/>
          <w:i/>
          <w:iCs/>
          <w:szCs w:val="20"/>
        </w:rPr>
        <w:t>β-amyloid-PET</w:t>
      </w:r>
      <w:r w:rsidRPr="00B3024A">
        <w:rPr>
          <w:rFonts w:ascii="Arial" w:hAnsi="Arial" w:cs="Arial"/>
          <w:i/>
          <w:iCs/>
          <w:vertAlign w:val="subscript"/>
        </w:rPr>
        <w:t xml:space="preserve"> </w:t>
      </w:r>
      <w:r w:rsidRPr="00B3024A">
        <w:rPr>
          <w:rFonts w:ascii="Arial" w:hAnsi="Arial" w:cs="Arial"/>
          <w:i/>
          <w:iCs/>
        </w:rPr>
        <w:t xml:space="preserve">as well as </w:t>
      </w:r>
      <w:r w:rsidRPr="00B3024A">
        <w:rPr>
          <w:rFonts w:ascii="Arial" w:hAnsi="Arial" w:cs="Arial"/>
          <w:i/>
        </w:rPr>
        <w:t>[</w:t>
      </w:r>
      <w:r w:rsidRPr="00B3024A">
        <w:rPr>
          <w:rFonts w:ascii="Arial" w:hAnsi="Arial" w:cs="Arial"/>
          <w:i/>
          <w:vertAlign w:val="superscript"/>
        </w:rPr>
        <w:t>18</w:t>
      </w:r>
      <w:r w:rsidRPr="00B3024A">
        <w:rPr>
          <w:rFonts w:ascii="Arial" w:hAnsi="Arial" w:cs="Arial"/>
          <w:i/>
        </w:rPr>
        <w:t>F]</w:t>
      </w:r>
      <w:r w:rsidRPr="00B3024A">
        <w:rPr>
          <w:rFonts w:ascii="Arial" w:hAnsi="Arial" w:cs="Arial"/>
          <w:i/>
          <w:iCs/>
        </w:rPr>
        <w:t>FDG-PET (N)</w:t>
      </w:r>
    </w:p>
    <w:p w14:paraId="53C27B19" w14:textId="77777777" w:rsidR="00DF6E6E" w:rsidRPr="00B3024A" w:rsidRDefault="00000000">
      <w:pPr>
        <w:spacing w:line="480" w:lineRule="auto"/>
        <w:jc w:val="both"/>
        <w:rPr>
          <w:rFonts w:ascii="Arial" w:hAnsi="Arial" w:cs="Arial"/>
        </w:rPr>
      </w:pPr>
      <w:r w:rsidRPr="00B3024A">
        <w:rPr>
          <w:rFonts w:ascii="Arial" w:hAnsi="Arial" w:cs="Arial"/>
        </w:rPr>
        <w:t xml:space="preserve">In terms of clinical translation of the proposed single session A/T/N paradigm, the assessment of tracer efflux will require computational tools, whereas tau-PET can be evaluated visually </w:t>
      </w:r>
      <w:r w:rsidRPr="00B3024A">
        <w:rPr>
          <w:rFonts w:ascii="Arial" w:hAnsi="Arial" w:cs="Arial"/>
        </w:rPr>
        <w:fldChar w:fldCharType="begin">
          <w:fldData xml:space="preserve">PEVuZE5vdGU+PENpdGU+PEF1dGhvcj5CcmVuZGVsPC9BdXRob3I+PFllYXI+MjAyMDwvWWVhcj48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</w:fldData>
        </w:fldChar>
      </w:r>
      <w:r w:rsidRPr="00B3024A">
        <w:rPr>
          <w:rFonts w:ascii="Arial" w:hAnsi="Arial" w:cs="Arial"/>
        </w:rPr>
        <w:instrText xml:space="preserve"> ADDIN EN.CITE </w:instrText>
      </w:r>
      <w:r w:rsidRPr="00B3024A">
        <w:rPr>
          <w:rFonts w:ascii="Arial" w:hAnsi="Arial" w:cs="Arial"/>
        </w:rPr>
        <w:fldChar w:fldCharType="begin">
          <w:fldData xml:space="preserve">PEVuZE5vdGU+PENpdGU+PEF1dGhvcj5CcmVuZGVsPC9BdXRob3I+PFllYXI+MjAyMDwvWWVhcj48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</w:fldData>
        </w:fldChar>
      </w:r>
      <w:r w:rsidRPr="00B3024A">
        <w:rPr>
          <w:rFonts w:ascii="Arial" w:hAnsi="Arial" w:cs="Arial"/>
        </w:rPr>
        <w:instrText xml:space="preserve"> ADDIN EN.CITE.DATA </w:instrText>
      </w:r>
      <w:r w:rsidRPr="00B3024A">
        <w:rPr>
          <w:rFonts w:ascii="Arial" w:hAnsi="Arial" w:cs="Arial"/>
        </w:rPr>
      </w:r>
      <w:r w:rsidRPr="00B3024A">
        <w:rPr>
          <w:rFonts w:ascii="Arial" w:hAnsi="Arial" w:cs="Arial"/>
        </w:rPr>
        <w:fldChar w:fldCharType="end"/>
      </w:r>
      <w:r w:rsidRPr="00B3024A">
        <w:rPr>
          <w:rFonts w:ascii="Arial" w:hAnsi="Arial" w:cs="Arial"/>
        </w:rPr>
      </w:r>
      <w:r w:rsidRPr="00B3024A">
        <w:rPr>
          <w:rFonts w:ascii="Arial" w:hAnsi="Arial" w:cs="Arial"/>
        </w:rPr>
        <w:fldChar w:fldCharType="separate"/>
      </w:r>
      <w:r w:rsidRPr="00B3024A">
        <w:rPr>
          <w:rFonts w:ascii="Arial" w:hAnsi="Arial" w:cs="Arial"/>
          <w:noProof/>
        </w:rPr>
        <w:t>[5, 6]</w:t>
      </w:r>
      <w:r w:rsidRPr="00B3024A">
        <w:rPr>
          <w:rFonts w:ascii="Arial" w:hAnsi="Arial" w:cs="Arial"/>
        </w:rPr>
        <w:fldChar w:fldCharType="end"/>
      </w:r>
      <w:r w:rsidRPr="00B3024A">
        <w:rPr>
          <w:rFonts w:ascii="Arial" w:hAnsi="Arial" w:cs="Arial"/>
        </w:rPr>
        <w:t>. Hence, we asked if neurodegeneration can also be obtained from early-phase tau-PET imaging by a visual read. Visual assessment was performed by three experienced readers evaluating global mean normalized 3D-SSP images of early-phase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0.5–2.5min</w:t>
      </w:r>
      <w:r w:rsidRPr="00B3024A">
        <w:rPr>
          <w:rFonts w:ascii="Arial" w:hAnsi="Arial" w:cs="Arial"/>
        </w:rPr>
        <w:t xml:space="preserve">, </w:t>
      </w:r>
      <w:r w:rsidRPr="00B3024A">
        <w:rPr>
          <w:rFonts w:ascii="Arial" w:hAnsi="Arial" w:cs="Arial"/>
          <w:szCs w:val="24"/>
        </w:rPr>
        <w:t>β</w:t>
      </w:r>
      <w:r w:rsidRPr="00B3024A">
        <w:rPr>
          <w:rFonts w:ascii="Arial" w:hAnsi="Arial" w:cs="Arial"/>
        </w:rPr>
        <w:t>-a</w:t>
      </w:r>
      <w:r w:rsidRPr="00B3024A">
        <w:rPr>
          <w:rFonts w:ascii="Arial" w:hAnsi="Arial" w:cs="Arial"/>
          <w:szCs w:val="20"/>
        </w:rPr>
        <w:t>myloid-PET</w:t>
      </w:r>
      <w:r w:rsidRPr="00B3024A">
        <w:rPr>
          <w:rFonts w:ascii="Arial" w:hAnsi="Arial" w:cs="Arial"/>
          <w:vertAlign w:val="subscript"/>
        </w:rPr>
        <w:t>0–10min</w:t>
      </w:r>
      <w:r w:rsidRPr="00B3024A">
        <w:rPr>
          <w:rFonts w:ascii="Arial" w:hAnsi="Arial" w:cs="Arial"/>
          <w:i/>
          <w:iCs/>
          <w:vertAlign w:val="subscript"/>
        </w:rPr>
        <w:t xml:space="preserve"> </w:t>
      </w:r>
      <w:r w:rsidRPr="00B3024A">
        <w:rPr>
          <w:rFonts w:ascii="Arial" w:hAnsi="Arial" w:cs="Arial"/>
        </w:rPr>
        <w:t xml:space="preserve">and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FDG-PET (</w:t>
      </w:r>
      <w:r w:rsidRPr="00B3024A">
        <w:rPr>
          <w:rFonts w:ascii="Arial" w:hAnsi="Arial" w:cs="Arial"/>
          <w:b/>
        </w:rPr>
        <w:t>Supplementary Figure 10A)</w:t>
      </w:r>
      <w:r w:rsidRPr="00B3024A">
        <w:rPr>
          <w:rFonts w:ascii="Arial" w:hAnsi="Arial" w:cs="Arial"/>
        </w:rPr>
        <w:t>. Representative images of early-phase [</w:t>
      </w:r>
      <w:r w:rsidRPr="00B3024A">
        <w:rPr>
          <w:rFonts w:ascii="Arial" w:hAnsi="Arial" w:cs="Arial"/>
          <w:vertAlign w:val="superscript"/>
        </w:rPr>
        <w:t>18</w:t>
      </w:r>
      <w:r w:rsidRPr="00B3024A">
        <w:rPr>
          <w:rFonts w:ascii="Arial" w:hAnsi="Arial" w:cs="Arial"/>
        </w:rPr>
        <w:t>F]PI-2620</w:t>
      </w:r>
      <w:r w:rsidRPr="00B3024A">
        <w:rPr>
          <w:rFonts w:ascii="Arial" w:hAnsi="Arial" w:cs="Arial"/>
          <w:vertAlign w:val="subscript"/>
        </w:rPr>
        <w:t>0.5–2.5min</w:t>
      </w:r>
      <w:r w:rsidRPr="00B3024A">
        <w:rPr>
          <w:rFonts w:ascii="Arial" w:hAnsi="Arial" w:cs="Arial"/>
        </w:rPr>
        <w:t xml:space="preserve">, </w:t>
      </w:r>
      <w:r w:rsidRPr="00B3024A">
        <w:rPr>
          <w:rFonts w:ascii="Arial" w:hAnsi="Arial" w:cs="Arial"/>
          <w:szCs w:val="24"/>
        </w:rPr>
        <w:t>β</w:t>
      </w:r>
      <w:r w:rsidRPr="00B3024A">
        <w:rPr>
          <w:rFonts w:ascii="Arial" w:hAnsi="Arial" w:cs="Arial"/>
        </w:rPr>
        <w:t>-amyloid-PET</w:t>
      </w:r>
      <w:r w:rsidRPr="00B3024A">
        <w:rPr>
          <w:rFonts w:ascii="Arial" w:hAnsi="Arial" w:cs="Arial"/>
          <w:vertAlign w:val="subscript"/>
        </w:rPr>
        <w:t>0–10min</w:t>
      </w:r>
      <w:r w:rsidRPr="00B3024A">
        <w:rPr>
          <w:rFonts w:ascii="Arial" w:hAnsi="Arial" w:cs="Arial"/>
        </w:rPr>
        <w:t xml:space="preserve"> and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3D-SSP are visualized in </w:t>
      </w:r>
      <w:r w:rsidRPr="00B3024A">
        <w:rPr>
          <w:rFonts w:ascii="Arial" w:hAnsi="Arial" w:cs="Arial"/>
          <w:b/>
        </w:rPr>
        <w:t>Supplementary Figure 10B</w:t>
      </w:r>
      <w:r w:rsidRPr="00B3024A">
        <w:rPr>
          <w:rFonts w:ascii="Arial" w:hAnsi="Arial" w:cs="Arial"/>
        </w:rPr>
        <w:t xml:space="preserve">. First, we explored the tracer specific ratings among the readers using Fleiss kappa. The highest degree of congruency was attained for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scans of 3/4RT (k=0.87; p&lt;0.001), 4RT (k=0.83; p&lt;0.001), and both cohorts combined (k=0.84; p&lt;0.001). A high agreement was also found among the early-phase </w:t>
      </w:r>
      <w:r w:rsidRPr="00B3024A">
        <w:rPr>
          <w:rFonts w:ascii="Arial" w:hAnsi="Arial" w:cs="Arial"/>
          <w:szCs w:val="24"/>
        </w:rPr>
        <w:t>β</w:t>
      </w:r>
      <w:r w:rsidRPr="00B3024A">
        <w:rPr>
          <w:rFonts w:ascii="Arial" w:hAnsi="Arial" w:cs="Arial"/>
        </w:rPr>
        <w:t xml:space="preserve">-amyloid-PET reads of 3/4RT (k=0.75; p&lt;0.001), 4RT (k=0.50; p&lt;0.001), and both groups combined (k=0.59; p&lt;0.001). Similarly, early-phase tau-PET reads indicated a strong congruency in 3/4RT (k=0.59; p&lt;0.001), 4RT (k=0.60; p&lt;0.001), and both groups (k=0.60; p&lt;0.001). Next, we investigated the disease specific ratings among the different PET modalities using Cohen’s kappa.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vs. early-phase </w:t>
      </w:r>
      <w:r w:rsidRPr="00B3024A">
        <w:rPr>
          <w:rFonts w:ascii="Arial" w:hAnsi="Arial" w:cs="Arial"/>
          <w:szCs w:val="24"/>
        </w:rPr>
        <w:t>β</w:t>
      </w:r>
      <w:r w:rsidRPr="00B3024A">
        <w:rPr>
          <w:rFonts w:ascii="Arial" w:hAnsi="Arial" w:cs="Arial"/>
        </w:rPr>
        <w:t xml:space="preserve">-amyloid-PET indicated the highest degree of agreement in the 3/4RT (k=1.0; p&lt;0.001) followed by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vs. early-phase tau-PET (k=0.59; p&lt;0.001), and both early-phase reads (k=0.48; p&lt;0.001). In patients with 4RT we found the strongest agreement between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vs. early-phase tau-PET (k=0.74; p&lt;0.001), followed by </w:t>
      </w:r>
      <w:r w:rsidRPr="00B3024A">
        <w:rPr>
          <w:rFonts w:ascii="Arial" w:hAnsi="Arial" w:cs="Arial"/>
          <w:iCs/>
        </w:rPr>
        <w:t>[</w:t>
      </w:r>
      <w:r w:rsidRPr="00B3024A">
        <w:rPr>
          <w:rFonts w:ascii="Arial" w:hAnsi="Arial" w:cs="Arial"/>
          <w:iCs/>
          <w:vertAlign w:val="superscript"/>
        </w:rPr>
        <w:t>18</w:t>
      </w:r>
      <w:r w:rsidRPr="00B3024A">
        <w:rPr>
          <w:rFonts w:ascii="Arial" w:hAnsi="Arial" w:cs="Arial"/>
          <w:iCs/>
        </w:rPr>
        <w:t>F]</w:t>
      </w:r>
      <w:r w:rsidRPr="00B3024A">
        <w:rPr>
          <w:rFonts w:ascii="Arial" w:hAnsi="Arial" w:cs="Arial"/>
        </w:rPr>
        <w:t xml:space="preserve">FDG-PET vs. early-phase </w:t>
      </w:r>
      <w:r w:rsidRPr="00B3024A">
        <w:rPr>
          <w:rFonts w:ascii="Arial" w:hAnsi="Arial" w:cs="Arial"/>
          <w:szCs w:val="24"/>
        </w:rPr>
        <w:t>β</w:t>
      </w:r>
      <w:r w:rsidRPr="00B3024A">
        <w:rPr>
          <w:rFonts w:ascii="Arial" w:hAnsi="Arial" w:cs="Arial"/>
        </w:rPr>
        <w:t xml:space="preserve">-amyloid-PET (k=0.67; p&lt;0.001) and complemented by the couple of both early-phase PET modalities (k=0.54; p&lt;0.001) </w:t>
      </w:r>
      <w:r w:rsidRPr="00B3024A">
        <w:rPr>
          <w:rFonts w:ascii="Arial" w:hAnsi="Arial" w:cs="Arial"/>
        </w:rPr>
        <w:lastRenderedPageBreak/>
        <w:t>(</w:t>
      </w:r>
      <w:r w:rsidRPr="00B3024A">
        <w:rPr>
          <w:rFonts w:ascii="Arial" w:hAnsi="Arial" w:cs="Arial"/>
          <w:b/>
        </w:rPr>
        <w:t xml:space="preserve">Supplementary </w:t>
      </w:r>
      <w:r w:rsidRPr="00B3024A">
        <w:rPr>
          <w:rFonts w:ascii="Arial" w:hAnsi="Arial" w:cs="Arial"/>
          <w:b/>
          <w:bCs/>
        </w:rPr>
        <w:t>Figure 10C</w:t>
      </w:r>
      <w:r w:rsidRPr="00B3024A">
        <w:rPr>
          <w:rFonts w:ascii="Arial" w:hAnsi="Arial" w:cs="Arial"/>
        </w:rPr>
        <w:t>). In summary, visual assessment of early-phase tau-PET imaging delivers a reliable and robust surrogate of neurodegeneration across primary and secondary tauopathies.</w:t>
      </w:r>
    </w:p>
    <w:p w14:paraId="66F962E5" w14:textId="77777777" w:rsidR="00DF6E6E" w:rsidRPr="00B3024A" w:rsidRDefault="00DF6E6E">
      <w:pPr>
        <w:spacing w:line="480" w:lineRule="auto"/>
        <w:jc w:val="both"/>
        <w:rPr>
          <w:rFonts w:ascii="Arial" w:hAnsi="Arial" w:cs="Arial"/>
          <w:bCs/>
        </w:rPr>
      </w:pPr>
    </w:p>
    <w:p w14:paraId="0853CBDA" w14:textId="77777777" w:rsidR="00DF6E6E" w:rsidRPr="00B3024A" w:rsidRDefault="00000000">
      <w:pPr>
        <w:spacing w:line="278" w:lineRule="auto"/>
        <w:rPr>
          <w:rFonts w:ascii="Arial" w:hAnsi="Arial" w:cs="Arial"/>
          <w:b/>
          <w:bCs/>
        </w:rPr>
      </w:pPr>
      <w:bookmarkStart w:id="2" w:name="OLE_LINK2"/>
      <w:r w:rsidRPr="00B3024A">
        <w:rPr>
          <w:rFonts w:ascii="Arial" w:hAnsi="Arial" w:cs="Arial"/>
          <w:b/>
          <w:bCs/>
        </w:rPr>
        <w:br w:type="page"/>
      </w:r>
    </w:p>
    <w:p w14:paraId="11C029D0" w14:textId="77777777" w:rsidR="00DF6E6E" w:rsidRPr="00B3024A" w:rsidRDefault="00000000">
      <w:pPr>
        <w:spacing w:line="480" w:lineRule="auto"/>
        <w:rPr>
          <w:rFonts w:ascii="Arial" w:hAnsi="Arial" w:cs="Arial"/>
          <w:b/>
          <w:bCs/>
        </w:rPr>
      </w:pPr>
      <w:r w:rsidRPr="00B3024A">
        <w:rPr>
          <w:rFonts w:ascii="Arial" w:hAnsi="Arial" w:cs="Arial"/>
          <w:b/>
          <w:bCs/>
        </w:rPr>
        <w:lastRenderedPageBreak/>
        <w:t xml:space="preserve">Supplementary Figure </w:t>
      </w:r>
      <w:bookmarkEnd w:id="2"/>
      <w:r w:rsidRPr="00B3024A">
        <w:rPr>
          <w:rFonts w:ascii="Arial" w:hAnsi="Arial" w:cs="Arial"/>
          <w:b/>
          <w:bCs/>
        </w:rPr>
        <w:t>1</w:t>
      </w:r>
    </w:p>
    <w:p w14:paraId="1410CC35" w14:textId="77777777" w:rsidR="00DF6E6E" w:rsidRPr="00B3024A" w:rsidRDefault="00000000">
      <w:pPr>
        <w:spacing w:after="0" w:line="480" w:lineRule="auto"/>
        <w:rPr>
          <w:rFonts w:ascii="Arial" w:hAnsi="Arial" w:cs="Arial"/>
          <w:b/>
          <w:bCs/>
          <w:szCs w:val="20"/>
        </w:rPr>
      </w:pPr>
      <w:r w:rsidRPr="00B3024A">
        <w:rPr>
          <w:rFonts w:ascii="Arial" w:hAnsi="Arial" w:cs="Arial"/>
          <w:noProof/>
          <w:lang w:val="de-DE" w:eastAsia="de-DE"/>
        </w:rPr>
        <w:drawing>
          <wp:inline distT="0" distB="0" distL="0" distR="0" wp14:anchorId="28368F6C" wp14:editId="5028E478">
            <wp:extent cx="5760720" cy="2403703"/>
            <wp:effectExtent l="0" t="0" r="0" b="0"/>
            <wp:docPr id="9" name="Grafik 9" descr="E:\ATN\Revision\Disease_Stage_Ttes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ATN\Revision\Disease_Stage_Ttest.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2403703"/>
                    </a:xfrm>
                    <a:prstGeom prst="rect">
                      <a:avLst/>
                    </a:prstGeom>
                    <a:noFill/>
                    <a:ln>
                      <a:noFill/>
                    </a:ln>
                  </pic:spPr>
                </pic:pic>
              </a:graphicData>
            </a:graphic>
          </wp:inline>
        </w:drawing>
      </w:r>
      <w:r w:rsidRPr="00B3024A">
        <w:rPr>
          <w:rFonts w:ascii="Arial" w:hAnsi="Arial" w:cs="Arial"/>
        </w:rPr>
        <w:t xml:space="preserve"> </w:t>
      </w:r>
    </w:p>
    <w:p w14:paraId="6376D735" w14:textId="77777777" w:rsidR="00DF6E6E" w:rsidRPr="00B3024A" w:rsidRDefault="00000000">
      <w:pPr>
        <w:spacing w:line="240" w:lineRule="auto"/>
        <w:rPr>
          <w:rFonts w:ascii="Arial" w:hAnsi="Arial" w:cs="Arial"/>
          <w:bCs/>
          <w:sz w:val="20"/>
          <w:szCs w:val="20"/>
        </w:rPr>
      </w:pPr>
      <w:r w:rsidRPr="00B3024A">
        <w:rPr>
          <w:rFonts w:ascii="Arial" w:hAnsi="Arial" w:cs="Arial"/>
          <w:b/>
          <w:bCs/>
          <w:sz w:val="20"/>
          <w:szCs w:val="20"/>
        </w:rPr>
        <w:t>Supplementary Figure 1:</w:t>
      </w:r>
      <w:r w:rsidRPr="00B3024A">
        <w:rPr>
          <w:rFonts w:ascii="Arial" w:hAnsi="Arial" w:cs="Arial"/>
          <w:bCs/>
          <w:sz w:val="20"/>
          <w:szCs w:val="20"/>
        </w:rPr>
        <w:t xml:space="preserve"> </w:t>
      </w:r>
      <w:r w:rsidRPr="00B3024A">
        <w:rPr>
          <w:rFonts w:ascii="Arial" w:hAnsi="Arial" w:cs="Arial"/>
          <w:b/>
          <w:bCs/>
          <w:sz w:val="20"/>
          <w:szCs w:val="20"/>
        </w:rPr>
        <w:t xml:space="preserve">Comparison of disease progression between 4R and 3/4R. </w:t>
      </w:r>
      <w:r w:rsidRPr="00B3024A">
        <w:rPr>
          <w:rFonts w:ascii="Arial" w:hAnsi="Arial" w:cs="Arial"/>
          <w:bCs/>
          <w:sz w:val="20"/>
          <w:szCs w:val="20"/>
        </w:rPr>
        <w:t xml:space="preserve">An unpaired, two-tailed t-test was used for all comparisons. </w:t>
      </w:r>
    </w:p>
    <w:p w14:paraId="612AF0CE" w14:textId="77777777" w:rsidR="00DF6E6E" w:rsidRPr="00B3024A" w:rsidRDefault="00000000">
      <w:pPr>
        <w:spacing w:line="480" w:lineRule="auto"/>
        <w:rPr>
          <w:rFonts w:ascii="Arial" w:hAnsi="Arial" w:cs="Arial"/>
          <w:b/>
          <w:bCs/>
          <w:sz w:val="20"/>
          <w:szCs w:val="20"/>
        </w:rPr>
      </w:pPr>
      <w:r w:rsidRPr="00B3024A">
        <w:rPr>
          <w:rFonts w:ascii="Arial" w:hAnsi="Arial" w:cs="Arial"/>
          <w:b/>
          <w:bCs/>
          <w:sz w:val="20"/>
          <w:szCs w:val="20"/>
        </w:rPr>
        <w:br w:type="page"/>
      </w:r>
    </w:p>
    <w:p w14:paraId="476505E6" w14:textId="77777777" w:rsidR="00DF6E6E" w:rsidRPr="00B3024A" w:rsidRDefault="00000000">
      <w:pPr>
        <w:spacing w:line="480" w:lineRule="auto"/>
        <w:rPr>
          <w:rFonts w:ascii="Arial" w:hAnsi="Arial" w:cs="Arial"/>
          <w:b/>
          <w:bCs/>
          <w:szCs w:val="20"/>
        </w:rPr>
      </w:pPr>
      <w:r w:rsidRPr="00B3024A">
        <w:rPr>
          <w:rFonts w:ascii="Arial" w:hAnsi="Arial" w:cs="Arial"/>
          <w:b/>
          <w:bCs/>
          <w:szCs w:val="20"/>
        </w:rPr>
        <w:lastRenderedPageBreak/>
        <w:t>Supplementary Figure 2</w:t>
      </w:r>
    </w:p>
    <w:p w14:paraId="09A01416" w14:textId="77777777" w:rsidR="00DF6E6E" w:rsidRPr="00B3024A" w:rsidRDefault="00000000">
      <w:pPr>
        <w:spacing w:after="0" w:line="480" w:lineRule="auto"/>
        <w:rPr>
          <w:rFonts w:ascii="Arial" w:hAnsi="Arial" w:cs="Arial"/>
          <w:b/>
          <w:bCs/>
          <w:szCs w:val="20"/>
        </w:rPr>
      </w:pPr>
      <w:r w:rsidRPr="00B3024A">
        <w:rPr>
          <w:rFonts w:ascii="Arial" w:hAnsi="Arial" w:cs="Arial"/>
          <w:b/>
          <w:bCs/>
          <w:noProof/>
          <w:szCs w:val="20"/>
          <w:lang w:val="de-DE" w:eastAsia="de-DE"/>
        </w:rPr>
        <w:drawing>
          <wp:inline distT="0" distB="0" distL="0" distR="0" wp14:anchorId="4BD1BF50" wp14:editId="48A5333C">
            <wp:extent cx="4540372" cy="7530861"/>
            <wp:effectExtent l="0" t="0" r="0" b="0"/>
            <wp:docPr id="1" name="Grafik 1" descr="E:\ATN\Revision\Single_cases_AD_DL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TN\Revision\Single_cases_AD_DLB.tif"/>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088"/>
                    <a:stretch/>
                  </pic:blipFill>
                  <pic:spPr bwMode="auto">
                    <a:xfrm>
                      <a:off x="0" y="0"/>
                      <a:ext cx="4540372" cy="7530861"/>
                    </a:xfrm>
                    <a:prstGeom prst="rect">
                      <a:avLst/>
                    </a:prstGeom>
                    <a:noFill/>
                    <a:ln>
                      <a:noFill/>
                    </a:ln>
                    <a:extLst>
                      <a:ext uri="{53640926-AAD7-44D8-BBD7-CCE9431645EC}">
                        <a14:shadowObscured xmlns:a14="http://schemas.microsoft.com/office/drawing/2010/main"/>
                      </a:ext>
                    </a:extLst>
                  </pic:spPr>
                </pic:pic>
              </a:graphicData>
            </a:graphic>
          </wp:inline>
        </w:drawing>
      </w:r>
    </w:p>
    <w:p w14:paraId="5D2F4710" w14:textId="77777777" w:rsidR="00DF6E6E" w:rsidRPr="00B3024A" w:rsidRDefault="00000000">
      <w:pPr>
        <w:spacing w:line="240" w:lineRule="auto"/>
        <w:jc w:val="both"/>
        <w:rPr>
          <w:rFonts w:ascii="Arial" w:hAnsi="Arial" w:cs="Arial"/>
          <w:b/>
          <w:bCs/>
          <w:szCs w:val="20"/>
        </w:rPr>
      </w:pPr>
      <w:r w:rsidRPr="00B3024A">
        <w:rPr>
          <w:rFonts w:ascii="Arial" w:hAnsi="Arial" w:cs="Arial"/>
          <w:b/>
          <w:bCs/>
          <w:sz w:val="20"/>
          <w:szCs w:val="20"/>
        </w:rPr>
        <w:t xml:space="preserve">Supplementary Figure 2: Comparison of tau-PET DVR and K2a maps in individuals with DLB and amnestic mild cognitive impairment due to AD (AD-MCI). </w:t>
      </w:r>
      <w:r w:rsidRPr="00B3024A">
        <w:rPr>
          <w:rFonts w:ascii="Arial" w:hAnsi="Arial" w:cs="Arial"/>
          <w:bCs/>
          <w:sz w:val="20"/>
          <w:szCs w:val="20"/>
        </w:rPr>
        <w:t>(</w:t>
      </w:r>
      <w:r w:rsidRPr="00B3024A">
        <w:rPr>
          <w:rFonts w:ascii="Arial" w:hAnsi="Arial" w:cs="Arial"/>
          <w:b/>
          <w:bCs/>
          <w:sz w:val="20"/>
          <w:szCs w:val="20"/>
        </w:rPr>
        <w:t>A</w:t>
      </w:r>
      <w:r w:rsidRPr="00B3024A">
        <w:rPr>
          <w:rFonts w:ascii="Arial" w:hAnsi="Arial" w:cs="Arial"/>
          <w:bCs/>
          <w:sz w:val="20"/>
          <w:szCs w:val="20"/>
        </w:rPr>
        <w:t xml:space="preserve">) Two representative cases with probable DLB </w:t>
      </w:r>
      <w:r w:rsidRPr="00B3024A">
        <w:rPr>
          <w:rFonts w:ascii="Arial" w:hAnsi="Arial" w:cs="Arial"/>
          <w:bCs/>
          <w:sz w:val="20"/>
          <w:szCs w:val="20"/>
        </w:rPr>
        <w:fldChar w:fldCharType="begin">
          <w:fldData xml:space="preserve">PEVuZE5vdGU+PENpdGU+PEF1dGhvcj5NY0tlaXRoPC9BdXRob3I+PFllYXI+MjAxNzwvWWVhcj48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</w:fldData>
        </w:fldChar>
      </w:r>
      <w:r w:rsidRPr="00B3024A">
        <w:rPr>
          <w:rFonts w:ascii="Arial" w:hAnsi="Arial" w:cs="Arial"/>
          <w:bCs/>
          <w:sz w:val="20"/>
          <w:szCs w:val="20"/>
        </w:rPr>
        <w:instrText xml:space="preserve"> ADDIN EN.CITE </w:instrText>
      </w:r>
      <w:r w:rsidRPr="00B3024A">
        <w:rPr>
          <w:rFonts w:ascii="Arial" w:hAnsi="Arial" w:cs="Arial"/>
          <w:bCs/>
          <w:sz w:val="20"/>
          <w:szCs w:val="20"/>
        </w:rPr>
        <w:fldChar w:fldCharType="begin">
          <w:fldData xml:space="preserve">PEVuZE5vdGU+PENpdGU+PEF1dGhvcj5NY0tlaXRoPC9BdXRob3I+PFllYXI+MjAxNzwvWWVhcj48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</w:fldData>
        </w:fldChar>
      </w:r>
      <w:r w:rsidRPr="00B3024A">
        <w:rPr>
          <w:rFonts w:ascii="Arial" w:hAnsi="Arial" w:cs="Arial"/>
          <w:bCs/>
          <w:sz w:val="20"/>
          <w:szCs w:val="20"/>
        </w:rPr>
        <w:instrText xml:space="preserve"> ADDIN EN.CITE.DATA </w:instrText>
      </w:r>
      <w:r w:rsidRPr="00B3024A">
        <w:rPr>
          <w:rFonts w:ascii="Arial" w:hAnsi="Arial" w:cs="Arial"/>
          <w:bCs/>
          <w:sz w:val="20"/>
          <w:szCs w:val="20"/>
        </w:rPr>
      </w:r>
      <w:r w:rsidRPr="00B3024A">
        <w:rPr>
          <w:rFonts w:ascii="Arial" w:hAnsi="Arial" w:cs="Arial"/>
          <w:bCs/>
          <w:sz w:val="20"/>
          <w:szCs w:val="20"/>
        </w:rPr>
        <w:fldChar w:fldCharType="end"/>
      </w:r>
      <w:r w:rsidRPr="00B3024A">
        <w:rPr>
          <w:rFonts w:ascii="Arial" w:hAnsi="Arial" w:cs="Arial"/>
          <w:bCs/>
          <w:sz w:val="20"/>
          <w:szCs w:val="20"/>
        </w:rPr>
      </w:r>
      <w:r w:rsidRPr="00B3024A">
        <w:rPr>
          <w:rFonts w:ascii="Arial" w:hAnsi="Arial" w:cs="Arial"/>
          <w:bCs/>
          <w:sz w:val="20"/>
          <w:szCs w:val="20"/>
        </w:rPr>
        <w:fldChar w:fldCharType="separate"/>
      </w:r>
      <w:r w:rsidRPr="00B3024A">
        <w:rPr>
          <w:rFonts w:ascii="Arial" w:hAnsi="Arial" w:cs="Arial"/>
          <w:bCs/>
          <w:noProof/>
          <w:sz w:val="20"/>
          <w:szCs w:val="20"/>
        </w:rPr>
        <w:t>[7]</w:t>
      </w:r>
      <w:r w:rsidRPr="00B3024A">
        <w:rPr>
          <w:rFonts w:ascii="Arial" w:hAnsi="Arial" w:cs="Arial"/>
          <w:bCs/>
          <w:sz w:val="20"/>
          <w:szCs w:val="20"/>
        </w:rPr>
        <w:fldChar w:fldCharType="end"/>
      </w:r>
      <w:r w:rsidRPr="00B3024A">
        <w:rPr>
          <w:rFonts w:ascii="Arial" w:hAnsi="Arial" w:cs="Arial"/>
          <w:bCs/>
          <w:sz w:val="20"/>
          <w:szCs w:val="20"/>
        </w:rPr>
        <w:t>: one β-amyloid- and tau-negative, the other β-amyloid- and tau-positive. (</w:t>
      </w:r>
      <w:r w:rsidRPr="00B3024A">
        <w:rPr>
          <w:rFonts w:ascii="Arial" w:hAnsi="Arial" w:cs="Arial"/>
          <w:b/>
          <w:bCs/>
          <w:sz w:val="20"/>
          <w:szCs w:val="20"/>
        </w:rPr>
        <w:t>B-C</w:t>
      </w:r>
      <w:r w:rsidRPr="00B3024A">
        <w:rPr>
          <w:rFonts w:ascii="Arial" w:hAnsi="Arial" w:cs="Arial"/>
          <w:bCs/>
          <w:sz w:val="20"/>
          <w:szCs w:val="20"/>
        </w:rPr>
        <w:t>) Six AD-MCI cases: four with visually negative tau-PET reads and two with low-level tau positivity. All images are presented as z-score maps normalized to the control cohort and overlaid on a standard MRI template in MNI space.</w:t>
      </w:r>
    </w:p>
    <w:p w14:paraId="79C61E0E" w14:textId="77777777" w:rsidR="00DF6E6E" w:rsidRPr="00B3024A" w:rsidRDefault="00000000">
      <w:pPr>
        <w:spacing w:line="480" w:lineRule="auto"/>
        <w:rPr>
          <w:rFonts w:ascii="Arial" w:hAnsi="Arial" w:cs="Arial"/>
          <w:b/>
          <w:bCs/>
        </w:rPr>
      </w:pPr>
      <w:r w:rsidRPr="00B3024A">
        <w:rPr>
          <w:rFonts w:ascii="Arial" w:hAnsi="Arial" w:cs="Arial"/>
          <w:bCs/>
          <w:sz w:val="20"/>
          <w:szCs w:val="20"/>
        </w:rPr>
        <w:br w:type="page"/>
      </w:r>
      <w:r w:rsidRPr="00B3024A">
        <w:rPr>
          <w:rFonts w:ascii="Arial" w:hAnsi="Arial" w:cs="Arial"/>
          <w:b/>
          <w:bCs/>
        </w:rPr>
        <w:lastRenderedPageBreak/>
        <w:t>Supplementary Figure 3</w:t>
      </w:r>
    </w:p>
    <w:p w14:paraId="407BF8D8" w14:textId="77777777" w:rsidR="00DF6E6E" w:rsidRPr="00B3024A" w:rsidRDefault="00000000">
      <w:pPr>
        <w:spacing w:line="480" w:lineRule="auto"/>
        <w:rPr>
          <w:rFonts w:ascii="Arial" w:hAnsi="Arial" w:cs="Arial"/>
          <w:b/>
          <w:bCs/>
          <w:sz w:val="20"/>
          <w:szCs w:val="20"/>
        </w:rPr>
      </w:pPr>
      <w:r w:rsidRPr="00B3024A">
        <w:rPr>
          <w:rFonts w:ascii="Arial" w:hAnsi="Arial" w:cs="Arial"/>
          <w:b/>
          <w:bCs/>
          <w:noProof/>
          <w:sz w:val="20"/>
          <w:szCs w:val="20"/>
          <w:lang w:val="de-DE" w:eastAsia="de-DE"/>
        </w:rPr>
        <w:drawing>
          <wp:inline distT="0" distB="0" distL="0" distR="0" wp14:anchorId="04AB501B" wp14:editId="3B2CBDFA">
            <wp:extent cx="2130728" cy="2838298"/>
            <wp:effectExtent l="0" t="0" r="3175" b="635"/>
            <wp:docPr id="6" name="Grafik 6" descr="E:\ATN\Revision\R2\CBS_comparis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TN\Revision\R2\CBS_comparison.t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42" t="4936" b="2328"/>
                    <a:stretch/>
                  </pic:blipFill>
                  <pic:spPr bwMode="auto">
                    <a:xfrm>
                      <a:off x="0" y="0"/>
                      <a:ext cx="2131225" cy="2838959"/>
                    </a:xfrm>
                    <a:prstGeom prst="rect">
                      <a:avLst/>
                    </a:prstGeom>
                    <a:noFill/>
                    <a:ln>
                      <a:noFill/>
                    </a:ln>
                    <a:extLst>
                      <a:ext uri="{53640926-AAD7-44D8-BBD7-CCE9431645EC}">
                        <a14:shadowObscured xmlns:a14="http://schemas.microsoft.com/office/drawing/2010/main"/>
                      </a:ext>
                    </a:extLst>
                  </pic:spPr>
                </pic:pic>
              </a:graphicData>
            </a:graphic>
          </wp:inline>
        </w:drawing>
      </w:r>
    </w:p>
    <w:p w14:paraId="6F0656C0" w14:textId="77777777" w:rsidR="00DF6E6E" w:rsidRPr="00B3024A" w:rsidRDefault="00000000">
      <w:pPr>
        <w:spacing w:line="240" w:lineRule="auto"/>
        <w:jc w:val="both"/>
        <w:rPr>
          <w:rFonts w:ascii="Arial" w:hAnsi="Arial" w:cs="Arial"/>
          <w:bCs/>
          <w:sz w:val="20"/>
          <w:szCs w:val="20"/>
        </w:rPr>
      </w:pPr>
      <w:r w:rsidRPr="00B3024A">
        <w:rPr>
          <w:rFonts w:ascii="Arial" w:hAnsi="Arial" w:cs="Arial"/>
          <w:b/>
          <w:bCs/>
          <w:sz w:val="20"/>
          <w:szCs w:val="20"/>
        </w:rPr>
        <w:t>Supplementary Figure 3: Comparison of [</w:t>
      </w:r>
      <w:r w:rsidRPr="00B3024A">
        <w:rPr>
          <w:rFonts w:ascii="Arial" w:hAnsi="Arial" w:cs="Arial"/>
          <w:b/>
          <w:bCs/>
          <w:sz w:val="20"/>
          <w:szCs w:val="20"/>
          <w:vertAlign w:val="superscript"/>
        </w:rPr>
        <w:t>18</w:t>
      </w:r>
      <w:r w:rsidRPr="00B3024A">
        <w:rPr>
          <w:rFonts w:ascii="Arial" w:hAnsi="Arial" w:cs="Arial"/>
          <w:b/>
          <w:bCs/>
          <w:sz w:val="20"/>
          <w:szCs w:val="20"/>
        </w:rPr>
        <w:t>F]PI-2620</w:t>
      </w:r>
      <w:r w:rsidRPr="00B3024A">
        <w:rPr>
          <w:rFonts w:ascii="Arial" w:hAnsi="Arial" w:cs="Arial"/>
          <w:b/>
          <w:bCs/>
          <w:sz w:val="20"/>
          <w:szCs w:val="20"/>
          <w:vertAlign w:val="subscript"/>
        </w:rPr>
        <w:t>K2a</w:t>
      </w:r>
      <w:r w:rsidRPr="00B3024A">
        <w:rPr>
          <w:rFonts w:ascii="Arial" w:hAnsi="Arial" w:cs="Arial"/>
          <w:b/>
          <w:bCs/>
          <w:sz w:val="20"/>
          <w:szCs w:val="20"/>
        </w:rPr>
        <w:t xml:space="preserve"> in the CBS subpopulation. </w:t>
      </w:r>
      <w:r w:rsidRPr="00B3024A">
        <w:rPr>
          <w:rFonts w:ascii="Arial" w:hAnsi="Arial" w:cs="Arial"/>
          <w:bCs/>
          <w:sz w:val="20"/>
          <w:szCs w:val="20"/>
        </w:rPr>
        <w:t>An unpaired, two-tailed t-test was performed to compare β-amyloid-negative (n=12) and β-amyloid-positive (n=11) CBS patients in the predefined K2a-based discriminatory ROIs.</w:t>
      </w:r>
    </w:p>
    <w:p w14:paraId="613AED3F" w14:textId="77777777" w:rsidR="00DF6E6E" w:rsidRPr="00B3024A" w:rsidRDefault="00000000">
      <w:pPr>
        <w:spacing w:line="240" w:lineRule="auto"/>
        <w:jc w:val="both"/>
        <w:rPr>
          <w:rFonts w:ascii="Arial" w:hAnsi="Arial" w:cs="Arial"/>
          <w:b/>
          <w:bCs/>
          <w:szCs w:val="20"/>
        </w:rPr>
      </w:pPr>
      <w:r w:rsidRPr="00B3024A">
        <w:rPr>
          <w:rFonts w:ascii="Arial" w:hAnsi="Arial" w:cs="Arial"/>
          <w:b/>
          <w:bCs/>
          <w:sz w:val="20"/>
          <w:szCs w:val="20"/>
        </w:rPr>
        <w:br/>
      </w:r>
      <w:r w:rsidRPr="00B3024A">
        <w:rPr>
          <w:rFonts w:ascii="Arial" w:hAnsi="Arial" w:cs="Arial"/>
          <w:b/>
          <w:bCs/>
          <w:szCs w:val="20"/>
        </w:rPr>
        <w:br w:type="page"/>
      </w:r>
    </w:p>
    <w:p w14:paraId="2CAC8080" w14:textId="77777777" w:rsidR="00DF6E6E" w:rsidRPr="00B3024A" w:rsidRDefault="00000000">
      <w:pPr>
        <w:spacing w:line="480" w:lineRule="auto"/>
        <w:rPr>
          <w:rFonts w:ascii="Arial" w:hAnsi="Arial" w:cs="Arial"/>
          <w:b/>
          <w:bCs/>
        </w:rPr>
      </w:pPr>
      <w:r w:rsidRPr="00B3024A">
        <w:rPr>
          <w:rFonts w:ascii="Arial" w:hAnsi="Arial" w:cs="Arial"/>
          <w:b/>
          <w:bCs/>
        </w:rPr>
        <w:lastRenderedPageBreak/>
        <w:t>Supplementary Figure 4</w:t>
      </w:r>
    </w:p>
    <w:p w14:paraId="70CA7694" w14:textId="77777777" w:rsidR="00DF6E6E" w:rsidRPr="00B3024A" w:rsidRDefault="00000000">
      <w:pPr>
        <w:spacing w:line="480" w:lineRule="auto"/>
        <w:rPr>
          <w:rFonts w:ascii="Arial" w:hAnsi="Arial" w:cs="Arial"/>
          <w:b/>
          <w:bCs/>
          <w:sz w:val="20"/>
          <w:szCs w:val="20"/>
        </w:rPr>
      </w:pPr>
      <w:r w:rsidRPr="00B3024A">
        <w:rPr>
          <w:rFonts w:ascii="Arial" w:hAnsi="Arial" w:cs="Arial"/>
          <w:b/>
          <w:bCs/>
          <w:noProof/>
          <w:sz w:val="20"/>
          <w:szCs w:val="20"/>
          <w:lang w:val="de-DE" w:eastAsia="de-DE"/>
        </w:rPr>
        <w:drawing>
          <wp:inline distT="0" distB="0" distL="0" distR="0" wp14:anchorId="3E80F311" wp14:editId="73F9A572">
            <wp:extent cx="4810125" cy="6953250"/>
            <wp:effectExtent l="0" t="0" r="9525" b="0"/>
            <wp:docPr id="973349172" name="Grafik 1" descr="Ein Bild, das Text, Screenshot, Taschenrechner, Abak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349172" name="Grafik 1" descr="Ein Bild, das Text, Screenshot, Taschenrechner, Abakus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0125" cy="6953250"/>
                    </a:xfrm>
                    <a:prstGeom prst="rect">
                      <a:avLst/>
                    </a:prstGeom>
                    <a:noFill/>
                    <a:ln>
                      <a:noFill/>
                    </a:ln>
                  </pic:spPr>
                </pic:pic>
              </a:graphicData>
            </a:graphic>
          </wp:inline>
        </w:drawing>
      </w:r>
    </w:p>
    <w:p w14:paraId="223401EE" w14:textId="77777777" w:rsidR="00DF6E6E" w:rsidRPr="00B3024A" w:rsidRDefault="00000000">
      <w:pPr>
        <w:spacing w:line="240" w:lineRule="auto"/>
        <w:jc w:val="both"/>
        <w:rPr>
          <w:rFonts w:ascii="Arial" w:hAnsi="Arial" w:cs="Arial"/>
          <w:b/>
          <w:bCs/>
          <w:sz w:val="20"/>
          <w:szCs w:val="20"/>
        </w:rPr>
      </w:pPr>
      <w:r w:rsidRPr="00B3024A">
        <w:rPr>
          <w:rFonts w:ascii="Arial" w:hAnsi="Arial" w:cs="Arial"/>
          <w:b/>
          <w:bCs/>
          <w:sz w:val="20"/>
          <w:szCs w:val="20"/>
        </w:rPr>
        <w:t xml:space="preserve">Supplementary Figure 4: Assessment of K2a and DVR in the PSP and CBS subgroups within the 4RT cohort. </w:t>
      </w:r>
      <w:r w:rsidRPr="00B3024A">
        <w:rPr>
          <w:rFonts w:ascii="Arial" w:hAnsi="Arial" w:cs="Arial"/>
          <w:bCs/>
          <w:sz w:val="20"/>
          <w:szCs w:val="20"/>
        </w:rPr>
        <w:t>(</w:t>
      </w:r>
      <w:r w:rsidRPr="00B3024A">
        <w:rPr>
          <w:rFonts w:ascii="Arial" w:hAnsi="Arial" w:cs="Arial"/>
          <w:b/>
          <w:bCs/>
          <w:sz w:val="20"/>
          <w:szCs w:val="20"/>
        </w:rPr>
        <w:t>A,C</w:t>
      </w:r>
      <w:r w:rsidRPr="00B3024A">
        <w:rPr>
          <w:rFonts w:ascii="Arial" w:hAnsi="Arial" w:cs="Arial"/>
          <w:bCs/>
          <w:sz w:val="20"/>
          <w:szCs w:val="20"/>
        </w:rPr>
        <w:t>)</w:t>
      </w:r>
      <w:r w:rsidRPr="00B3024A">
        <w:rPr>
          <w:rFonts w:ascii="Arial" w:hAnsi="Arial" w:cs="Arial"/>
          <w:b/>
          <w:bCs/>
          <w:sz w:val="20"/>
          <w:szCs w:val="20"/>
        </w:rPr>
        <w:t xml:space="preserve"> </w:t>
      </w:r>
      <w:r w:rsidRPr="00B3024A">
        <w:rPr>
          <w:rFonts w:ascii="Arial" w:hAnsi="Arial" w:cs="Arial"/>
          <w:bCs/>
          <w:sz w:val="20"/>
          <w:szCs w:val="20"/>
        </w:rPr>
        <w:t>Group-averaged [</w:t>
      </w:r>
      <w:r w:rsidRPr="00B3024A">
        <w:rPr>
          <w:rFonts w:ascii="Arial" w:hAnsi="Arial" w:cs="Arial"/>
          <w:bCs/>
          <w:sz w:val="20"/>
          <w:szCs w:val="20"/>
          <w:vertAlign w:val="superscript"/>
        </w:rPr>
        <w:t>18</w:t>
      </w:r>
      <w:r w:rsidRPr="00B3024A">
        <w:rPr>
          <w:rFonts w:ascii="Arial" w:hAnsi="Arial" w:cs="Arial"/>
          <w:bCs/>
          <w:sz w:val="20"/>
          <w:szCs w:val="20"/>
        </w:rPr>
        <w:t>F]PI-2620 K2a and DVR z-score maps of β-amyloid negative PSP and CBS participants, displayed as axial overlays on a standard MRI template in MNI space. (</w:t>
      </w:r>
      <w:r w:rsidRPr="00B3024A">
        <w:rPr>
          <w:rFonts w:ascii="Arial" w:hAnsi="Arial" w:cs="Arial"/>
          <w:b/>
          <w:bCs/>
          <w:sz w:val="20"/>
          <w:szCs w:val="20"/>
        </w:rPr>
        <w:t>B, D</w:t>
      </w:r>
      <w:r w:rsidRPr="00B3024A">
        <w:rPr>
          <w:rFonts w:ascii="Arial" w:hAnsi="Arial" w:cs="Arial"/>
          <w:bCs/>
          <w:sz w:val="20"/>
          <w:szCs w:val="20"/>
        </w:rPr>
        <w:t xml:space="preserve">) ANOVA-based comparison of K2a and DVR across 24 predefined subregions of the </w:t>
      </w:r>
      <w:proofErr w:type="spellStart"/>
      <w:r w:rsidRPr="00B3024A">
        <w:rPr>
          <w:rFonts w:ascii="Arial" w:hAnsi="Arial" w:cs="Arial"/>
          <w:bCs/>
          <w:sz w:val="20"/>
          <w:szCs w:val="20"/>
        </w:rPr>
        <w:t>Brainnetome</w:t>
      </w:r>
      <w:proofErr w:type="spellEnd"/>
      <w:r w:rsidRPr="00B3024A">
        <w:rPr>
          <w:rFonts w:ascii="Arial" w:hAnsi="Arial" w:cs="Arial"/>
          <w:bCs/>
          <w:sz w:val="20"/>
          <w:szCs w:val="20"/>
        </w:rPr>
        <w:t xml:space="preserve"> atlas between PSP and CBS cases.</w:t>
      </w:r>
      <w:r w:rsidRPr="00B3024A">
        <w:rPr>
          <w:rFonts w:ascii="Arial" w:hAnsi="Arial" w:cs="Arial"/>
        </w:rPr>
        <w:t xml:space="preserve"> </w:t>
      </w:r>
      <w:r w:rsidRPr="00B3024A">
        <w:rPr>
          <w:rFonts w:ascii="Arial" w:hAnsi="Arial" w:cs="Arial"/>
          <w:bCs/>
          <w:sz w:val="20"/>
          <w:szCs w:val="20"/>
        </w:rPr>
        <w:t>Significance levels are indicated as: *p &lt; 0.0332, **p &lt; 0.0021, ***p &lt; 0.0002, ****p &lt; 0.0001.</w:t>
      </w:r>
    </w:p>
    <w:p w14:paraId="403ACC2C" w14:textId="77777777" w:rsidR="00DF6E6E" w:rsidRPr="00B3024A" w:rsidRDefault="00000000">
      <w:pPr>
        <w:spacing w:line="240" w:lineRule="auto"/>
        <w:rPr>
          <w:rFonts w:ascii="Arial" w:hAnsi="Arial" w:cs="Arial"/>
          <w:b/>
          <w:bCs/>
          <w:sz w:val="20"/>
          <w:szCs w:val="20"/>
        </w:rPr>
      </w:pPr>
      <w:r w:rsidRPr="00B3024A">
        <w:rPr>
          <w:rFonts w:ascii="Arial" w:hAnsi="Arial" w:cs="Arial"/>
          <w:b/>
          <w:bCs/>
          <w:sz w:val="20"/>
          <w:szCs w:val="20"/>
        </w:rPr>
        <w:br w:type="page"/>
      </w:r>
    </w:p>
    <w:p w14:paraId="2AB77D1E" w14:textId="77777777" w:rsidR="00DF6E6E" w:rsidRPr="00B3024A" w:rsidRDefault="00000000">
      <w:pPr>
        <w:spacing w:line="480" w:lineRule="auto"/>
        <w:rPr>
          <w:rFonts w:ascii="Arial" w:hAnsi="Arial" w:cs="Arial"/>
          <w:b/>
          <w:bCs/>
        </w:rPr>
      </w:pPr>
      <w:r w:rsidRPr="00B3024A">
        <w:rPr>
          <w:rFonts w:ascii="Arial" w:hAnsi="Arial" w:cs="Arial"/>
          <w:b/>
          <w:bCs/>
        </w:rPr>
        <w:lastRenderedPageBreak/>
        <w:t>Supplementary Figure 5</w:t>
      </w:r>
    </w:p>
    <w:p w14:paraId="5C47A62A" w14:textId="77777777" w:rsidR="00DF6E6E" w:rsidRPr="00B3024A" w:rsidRDefault="00000000">
      <w:pPr>
        <w:spacing w:line="480" w:lineRule="auto"/>
        <w:rPr>
          <w:rFonts w:ascii="Arial" w:hAnsi="Arial" w:cs="Arial"/>
          <w:b/>
          <w:bCs/>
          <w:sz w:val="20"/>
          <w:szCs w:val="20"/>
        </w:rPr>
      </w:pPr>
      <w:r w:rsidRPr="00B3024A">
        <w:rPr>
          <w:rFonts w:ascii="Arial" w:hAnsi="Arial" w:cs="Arial"/>
          <w:b/>
          <w:bCs/>
          <w:noProof/>
          <w:sz w:val="20"/>
          <w:szCs w:val="20"/>
          <w:lang w:val="de-DE" w:eastAsia="de-DE"/>
        </w:rPr>
        <w:drawing>
          <wp:inline distT="0" distB="0" distL="0" distR="0" wp14:anchorId="4B4CF130" wp14:editId="61CD9221">
            <wp:extent cx="4960189" cy="2304163"/>
            <wp:effectExtent l="0" t="0" r="0" b="1270"/>
            <wp:docPr id="2" name="Grafik 2" descr="E:\ATN\Revision\Supplemental_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TN\Revision\Supplemental_Figure.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62945" cy="2305443"/>
                    </a:xfrm>
                    <a:prstGeom prst="rect">
                      <a:avLst/>
                    </a:prstGeom>
                    <a:noFill/>
                    <a:ln>
                      <a:noFill/>
                    </a:ln>
                  </pic:spPr>
                </pic:pic>
              </a:graphicData>
            </a:graphic>
          </wp:inline>
        </w:drawing>
      </w:r>
    </w:p>
    <w:p w14:paraId="43BE70ED" w14:textId="77777777" w:rsidR="00DF6E6E" w:rsidRPr="00B3024A" w:rsidRDefault="00000000">
      <w:pPr>
        <w:spacing w:line="240" w:lineRule="auto"/>
        <w:jc w:val="both"/>
        <w:rPr>
          <w:rFonts w:ascii="Arial" w:hAnsi="Arial" w:cs="Arial"/>
          <w:bCs/>
          <w:sz w:val="20"/>
          <w:szCs w:val="20"/>
        </w:rPr>
      </w:pPr>
      <w:r w:rsidRPr="00B3024A">
        <w:rPr>
          <w:rFonts w:ascii="Arial" w:hAnsi="Arial" w:cs="Arial"/>
          <w:b/>
          <w:bCs/>
          <w:sz w:val="20"/>
          <w:szCs w:val="20"/>
        </w:rPr>
        <w:t xml:space="preserve">Supplementary Figure 5: Relationship between K2a and </w:t>
      </w:r>
      <w:proofErr w:type="spellStart"/>
      <w:r w:rsidRPr="00B3024A">
        <w:rPr>
          <w:rFonts w:ascii="Arial" w:hAnsi="Arial" w:cs="Arial"/>
          <w:b/>
          <w:bCs/>
          <w:sz w:val="20"/>
          <w:szCs w:val="20"/>
        </w:rPr>
        <w:t>Centiloid</w:t>
      </w:r>
      <w:proofErr w:type="spellEnd"/>
      <w:r w:rsidRPr="00B3024A">
        <w:rPr>
          <w:rFonts w:ascii="Arial" w:hAnsi="Arial" w:cs="Arial"/>
          <w:b/>
          <w:bCs/>
          <w:sz w:val="20"/>
          <w:szCs w:val="20"/>
        </w:rPr>
        <w:t xml:space="preserve"> units. </w:t>
      </w:r>
      <w:r w:rsidRPr="00B3024A">
        <w:rPr>
          <w:rFonts w:ascii="Arial" w:hAnsi="Arial" w:cs="Arial"/>
          <w:bCs/>
          <w:sz w:val="20"/>
          <w:szCs w:val="20"/>
        </w:rPr>
        <w:t>Correlation plots visualize association between [</w:t>
      </w:r>
      <w:r w:rsidRPr="00B3024A">
        <w:rPr>
          <w:rFonts w:ascii="Arial" w:hAnsi="Arial" w:cs="Arial"/>
          <w:bCs/>
          <w:sz w:val="20"/>
          <w:szCs w:val="20"/>
          <w:vertAlign w:val="superscript"/>
        </w:rPr>
        <w:t>18</w:t>
      </w:r>
      <w:r w:rsidRPr="00B3024A">
        <w:rPr>
          <w:rFonts w:ascii="Arial" w:hAnsi="Arial" w:cs="Arial"/>
          <w:bCs/>
          <w:sz w:val="20"/>
          <w:szCs w:val="20"/>
        </w:rPr>
        <w:t xml:space="preserve">F]PI-2620 K2a and </w:t>
      </w:r>
      <w:proofErr w:type="spellStart"/>
      <w:r w:rsidRPr="00B3024A">
        <w:rPr>
          <w:rFonts w:ascii="Arial" w:hAnsi="Arial" w:cs="Arial"/>
          <w:bCs/>
          <w:sz w:val="20"/>
          <w:szCs w:val="20"/>
        </w:rPr>
        <w:t>Centiloid</w:t>
      </w:r>
      <w:proofErr w:type="spellEnd"/>
      <w:r w:rsidRPr="00B3024A">
        <w:rPr>
          <w:rFonts w:ascii="Arial" w:hAnsi="Arial" w:cs="Arial"/>
          <w:bCs/>
          <w:sz w:val="20"/>
          <w:szCs w:val="20"/>
        </w:rPr>
        <w:t xml:space="preserve"> units in the 10% most discriminating K2a-based regions and the </w:t>
      </w:r>
      <w:proofErr w:type="spellStart"/>
      <w:r w:rsidRPr="00B3024A">
        <w:rPr>
          <w:rFonts w:ascii="Arial" w:hAnsi="Arial" w:cs="Arial"/>
          <w:bCs/>
          <w:sz w:val="20"/>
          <w:szCs w:val="20"/>
        </w:rPr>
        <w:t>CenTauR</w:t>
      </w:r>
      <w:proofErr w:type="spellEnd"/>
      <w:r w:rsidRPr="00B3024A">
        <w:rPr>
          <w:rFonts w:ascii="Arial" w:hAnsi="Arial" w:cs="Arial"/>
          <w:bCs/>
          <w:sz w:val="20"/>
          <w:szCs w:val="20"/>
        </w:rPr>
        <w:t xml:space="preserve"> Meta Temporal ROI in both study cohorts.</w:t>
      </w:r>
    </w:p>
    <w:p w14:paraId="7BFEFB80" w14:textId="77777777" w:rsidR="00DF6E6E" w:rsidRPr="00B3024A" w:rsidRDefault="00000000">
      <w:pPr>
        <w:spacing w:line="480" w:lineRule="auto"/>
        <w:rPr>
          <w:rFonts w:ascii="Arial" w:hAnsi="Arial" w:cs="Arial"/>
          <w:bCs/>
          <w:sz w:val="20"/>
          <w:szCs w:val="20"/>
        </w:rPr>
      </w:pPr>
      <w:r w:rsidRPr="00B3024A">
        <w:rPr>
          <w:rFonts w:ascii="Arial" w:hAnsi="Arial" w:cs="Arial"/>
          <w:bCs/>
          <w:sz w:val="20"/>
          <w:szCs w:val="20"/>
        </w:rPr>
        <w:br w:type="page"/>
      </w:r>
    </w:p>
    <w:p w14:paraId="000361AD" w14:textId="77777777" w:rsidR="00DF6E6E" w:rsidRPr="00B3024A" w:rsidRDefault="00000000">
      <w:pPr>
        <w:spacing w:line="480" w:lineRule="auto"/>
        <w:rPr>
          <w:rFonts w:ascii="Arial" w:hAnsi="Arial" w:cs="Arial"/>
          <w:b/>
          <w:bCs/>
        </w:rPr>
      </w:pPr>
      <w:r w:rsidRPr="00B3024A">
        <w:rPr>
          <w:rFonts w:ascii="Arial" w:hAnsi="Arial" w:cs="Arial"/>
          <w:b/>
          <w:bCs/>
        </w:rPr>
        <w:lastRenderedPageBreak/>
        <w:t>Supplementary Figure 6</w:t>
      </w:r>
    </w:p>
    <w:p w14:paraId="1CC6ED36" w14:textId="77777777" w:rsidR="00DF6E6E" w:rsidRPr="00B3024A" w:rsidRDefault="00000000">
      <w:pPr>
        <w:spacing w:line="240" w:lineRule="auto"/>
        <w:jc w:val="both"/>
        <w:rPr>
          <w:rFonts w:ascii="Arial" w:hAnsi="Arial" w:cs="Arial"/>
          <w:bCs/>
          <w:sz w:val="20"/>
          <w:szCs w:val="20"/>
        </w:rPr>
      </w:pPr>
      <w:r w:rsidRPr="00B3024A">
        <w:rPr>
          <w:rFonts w:ascii="Arial" w:hAnsi="Arial" w:cs="Arial"/>
          <w:b/>
          <w:bCs/>
          <w:noProof/>
          <w:sz w:val="20"/>
          <w:szCs w:val="20"/>
          <w:lang w:val="de-DE" w:eastAsia="de-DE"/>
        </w:rPr>
        <w:drawing>
          <wp:inline distT="0" distB="0" distL="0" distR="0" wp14:anchorId="266BF812" wp14:editId="17189C97">
            <wp:extent cx="5760720" cy="2483210"/>
            <wp:effectExtent l="0" t="0" r="0" b="0"/>
            <wp:docPr id="4" name="Grafik 4" descr="E:\ATN\Figures\Supp_Figure_4_rev_nf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TN\Figures\Supp_Figure_4_rev_nfl.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2483210"/>
                    </a:xfrm>
                    <a:prstGeom prst="rect">
                      <a:avLst/>
                    </a:prstGeom>
                    <a:noFill/>
                    <a:ln>
                      <a:noFill/>
                    </a:ln>
                  </pic:spPr>
                </pic:pic>
              </a:graphicData>
            </a:graphic>
          </wp:inline>
        </w:drawing>
      </w:r>
      <w:r w:rsidRPr="00B3024A">
        <w:rPr>
          <w:rFonts w:ascii="Arial" w:hAnsi="Arial" w:cs="Arial"/>
          <w:b/>
          <w:bCs/>
          <w:sz w:val="20"/>
          <w:szCs w:val="20"/>
        </w:rPr>
        <w:t xml:space="preserve">Supplementary Figure 6: Groupwise comparison of p-tau-181, t-tau and </w:t>
      </w:r>
      <w:proofErr w:type="spellStart"/>
      <w:r w:rsidRPr="00B3024A">
        <w:rPr>
          <w:rFonts w:ascii="Arial" w:hAnsi="Arial" w:cs="Arial"/>
          <w:b/>
          <w:bCs/>
          <w:sz w:val="20"/>
          <w:szCs w:val="20"/>
        </w:rPr>
        <w:t>NfL</w:t>
      </w:r>
      <w:proofErr w:type="spellEnd"/>
      <w:r w:rsidRPr="00B3024A">
        <w:rPr>
          <w:rFonts w:ascii="Arial" w:hAnsi="Arial" w:cs="Arial"/>
          <w:b/>
          <w:bCs/>
          <w:sz w:val="20"/>
          <w:szCs w:val="20"/>
        </w:rPr>
        <w:t xml:space="preserve">. </w:t>
      </w:r>
      <w:r w:rsidRPr="00B3024A">
        <w:rPr>
          <w:rFonts w:ascii="Arial" w:hAnsi="Arial" w:cs="Arial"/>
          <w:bCs/>
          <w:sz w:val="20"/>
          <w:szCs w:val="20"/>
        </w:rPr>
        <w:t xml:space="preserve">P-tau-181 and t-tau levels were compared between 4RT (n=56) and 3/4RT (n=39), while </w:t>
      </w:r>
      <w:proofErr w:type="spellStart"/>
      <w:r w:rsidRPr="00B3024A">
        <w:rPr>
          <w:rFonts w:ascii="Arial" w:hAnsi="Arial" w:cs="Arial"/>
          <w:bCs/>
          <w:sz w:val="20"/>
          <w:szCs w:val="20"/>
        </w:rPr>
        <w:t>NfL</w:t>
      </w:r>
      <w:proofErr w:type="spellEnd"/>
      <w:r w:rsidRPr="00B3024A">
        <w:rPr>
          <w:rFonts w:ascii="Arial" w:hAnsi="Arial" w:cs="Arial"/>
          <w:bCs/>
          <w:sz w:val="20"/>
          <w:szCs w:val="20"/>
        </w:rPr>
        <w:t xml:space="preserve"> was </w:t>
      </w:r>
      <w:proofErr w:type="spellStart"/>
      <w:r w:rsidRPr="00B3024A">
        <w:rPr>
          <w:rFonts w:ascii="Arial" w:hAnsi="Arial" w:cs="Arial"/>
          <w:bCs/>
          <w:sz w:val="20"/>
          <w:szCs w:val="20"/>
        </w:rPr>
        <w:t>analyzed</w:t>
      </w:r>
      <w:proofErr w:type="spellEnd"/>
      <w:r w:rsidRPr="00B3024A">
        <w:rPr>
          <w:rFonts w:ascii="Arial" w:hAnsi="Arial" w:cs="Arial"/>
          <w:bCs/>
          <w:sz w:val="20"/>
          <w:szCs w:val="20"/>
        </w:rPr>
        <w:t xml:space="preserve"> in a subset of both groups (4RT: n=48, 3/4RT: n=11). An unpaired, two-tailed t-test was used for all comparisons.</w:t>
      </w:r>
    </w:p>
    <w:p w14:paraId="1686EF69" w14:textId="77777777" w:rsidR="00DF6E6E" w:rsidRPr="00B3024A" w:rsidRDefault="00000000">
      <w:pPr>
        <w:spacing w:line="480" w:lineRule="auto"/>
        <w:jc w:val="both"/>
        <w:rPr>
          <w:rFonts w:ascii="Arial" w:hAnsi="Arial" w:cs="Arial"/>
          <w:b/>
          <w:bCs/>
          <w:sz w:val="20"/>
          <w:szCs w:val="20"/>
        </w:rPr>
      </w:pPr>
      <w:r w:rsidRPr="00B3024A">
        <w:rPr>
          <w:rFonts w:ascii="Arial" w:hAnsi="Arial" w:cs="Arial"/>
          <w:b/>
          <w:bCs/>
          <w:sz w:val="20"/>
          <w:szCs w:val="20"/>
        </w:rPr>
        <w:br w:type="page"/>
      </w:r>
    </w:p>
    <w:p w14:paraId="519B58B0" w14:textId="77777777" w:rsidR="00DF6E6E" w:rsidRPr="00B3024A" w:rsidRDefault="00000000">
      <w:pPr>
        <w:spacing w:line="480" w:lineRule="auto"/>
        <w:rPr>
          <w:rFonts w:ascii="Arial" w:hAnsi="Arial" w:cs="Arial"/>
          <w:b/>
          <w:bCs/>
        </w:rPr>
      </w:pPr>
      <w:r w:rsidRPr="00B3024A">
        <w:rPr>
          <w:rFonts w:ascii="Arial" w:hAnsi="Arial" w:cs="Arial"/>
          <w:b/>
          <w:bCs/>
        </w:rPr>
        <w:lastRenderedPageBreak/>
        <w:t>Supplementary Figure 7</w:t>
      </w:r>
    </w:p>
    <w:p w14:paraId="4FA62959" w14:textId="77777777" w:rsidR="00DF6E6E" w:rsidRPr="00B3024A" w:rsidRDefault="00000000">
      <w:pPr>
        <w:spacing w:line="480" w:lineRule="auto"/>
        <w:rPr>
          <w:rFonts w:ascii="Arial" w:hAnsi="Arial" w:cs="Arial"/>
          <w:bCs/>
          <w:sz w:val="20"/>
          <w:szCs w:val="20"/>
        </w:rPr>
      </w:pPr>
      <w:r w:rsidRPr="00B3024A">
        <w:rPr>
          <w:rFonts w:ascii="Arial" w:hAnsi="Arial" w:cs="Arial"/>
          <w:bCs/>
          <w:noProof/>
          <w:sz w:val="20"/>
          <w:szCs w:val="20"/>
          <w:lang w:val="de-DE" w:eastAsia="de-DE"/>
        </w:rPr>
        <w:drawing>
          <wp:inline distT="0" distB="0" distL="0" distR="0" wp14:anchorId="263BFC5D" wp14:editId="664D3567">
            <wp:extent cx="5284382" cy="5160871"/>
            <wp:effectExtent l="0" t="0" r="0" b="1905"/>
            <wp:docPr id="10" name="Grafik 10" descr="E:\ATN\Revision\Visual_Read_N_Severity_Korre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TN\Revision\Visual_Read_N_Severity_Korrel.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86799" cy="5163232"/>
                    </a:xfrm>
                    <a:prstGeom prst="rect">
                      <a:avLst/>
                    </a:prstGeom>
                    <a:noFill/>
                    <a:ln>
                      <a:noFill/>
                    </a:ln>
                  </pic:spPr>
                </pic:pic>
              </a:graphicData>
            </a:graphic>
          </wp:inline>
        </w:drawing>
      </w:r>
    </w:p>
    <w:p w14:paraId="348D0F8D" w14:textId="77777777" w:rsidR="00DF6E6E" w:rsidRPr="00B3024A" w:rsidRDefault="00000000">
      <w:pPr>
        <w:spacing w:line="240" w:lineRule="auto"/>
        <w:jc w:val="both"/>
        <w:rPr>
          <w:rFonts w:ascii="Arial" w:hAnsi="Arial" w:cs="Arial"/>
          <w:sz w:val="20"/>
          <w:szCs w:val="20"/>
          <w:vertAlign w:val="subscript"/>
        </w:rPr>
      </w:pPr>
      <w:r w:rsidRPr="00B3024A">
        <w:rPr>
          <w:rFonts w:ascii="Arial" w:hAnsi="Arial" w:cs="Arial"/>
          <w:b/>
          <w:bCs/>
          <w:sz w:val="20"/>
          <w:szCs w:val="20"/>
        </w:rPr>
        <w:t>Supplementary Figure 7:</w:t>
      </w:r>
      <w:r w:rsidRPr="00B3024A">
        <w:rPr>
          <w:rFonts w:ascii="Arial" w:hAnsi="Arial" w:cs="Arial"/>
          <w:bCs/>
          <w:sz w:val="20"/>
          <w:szCs w:val="20"/>
        </w:rPr>
        <w:t xml:space="preserve"> </w:t>
      </w:r>
      <w:r w:rsidRPr="00B3024A">
        <w:rPr>
          <w:rFonts w:ascii="Arial" w:hAnsi="Arial" w:cs="Arial"/>
          <w:b/>
          <w:bCs/>
          <w:sz w:val="20"/>
          <w:szCs w:val="20"/>
        </w:rPr>
        <w:t xml:space="preserve">Evaluation of [¹⁸F]PI-2620 kinetic parameters for the assessment of neurodegeneration. </w:t>
      </w:r>
      <w:r w:rsidRPr="00B3024A">
        <w:rPr>
          <w:rFonts w:ascii="Arial" w:hAnsi="Arial" w:cs="Arial"/>
          <w:bCs/>
          <w:sz w:val="20"/>
          <w:szCs w:val="20"/>
        </w:rPr>
        <w:t>(</w:t>
      </w:r>
      <w:r w:rsidRPr="00B3024A">
        <w:rPr>
          <w:rFonts w:ascii="Arial" w:hAnsi="Arial" w:cs="Arial"/>
          <w:b/>
          <w:bCs/>
          <w:sz w:val="20"/>
          <w:szCs w:val="20"/>
        </w:rPr>
        <w:t>A</w:t>
      </w:r>
      <w:r w:rsidRPr="00B3024A">
        <w:rPr>
          <w:rFonts w:ascii="Arial" w:hAnsi="Arial" w:cs="Arial"/>
          <w:bCs/>
          <w:sz w:val="20"/>
          <w:szCs w:val="20"/>
        </w:rPr>
        <w:t xml:space="preserve">) ROC curves illustrating the results of a logistic regression analysis using R1, K2a, and DVR to predict neuronal damage. Neuronal damage was defined as a binary outcome based on consensus visual assessment of </w:t>
      </w:r>
      <w:r w:rsidRPr="00B3024A">
        <w:rPr>
          <w:rFonts w:ascii="Arial" w:hAnsi="Arial" w:cs="Arial"/>
          <w:sz w:val="20"/>
          <w:szCs w:val="20"/>
        </w:rPr>
        <w:t>[</w:t>
      </w:r>
      <w:r w:rsidRPr="00B3024A">
        <w:rPr>
          <w:rFonts w:ascii="Arial" w:hAnsi="Arial" w:cs="Arial"/>
          <w:sz w:val="20"/>
          <w:szCs w:val="20"/>
          <w:vertAlign w:val="superscript"/>
        </w:rPr>
        <w:t>18</w:t>
      </w:r>
      <w:r w:rsidRPr="00B3024A">
        <w:rPr>
          <w:rFonts w:ascii="Arial" w:hAnsi="Arial" w:cs="Arial"/>
          <w:sz w:val="20"/>
          <w:szCs w:val="20"/>
        </w:rPr>
        <w:t>F]PI-2620</w:t>
      </w:r>
      <w:r w:rsidRPr="00B3024A">
        <w:rPr>
          <w:rFonts w:ascii="Arial" w:hAnsi="Arial" w:cs="Arial"/>
          <w:sz w:val="20"/>
          <w:szCs w:val="20"/>
          <w:vertAlign w:val="subscript"/>
        </w:rPr>
        <w:t xml:space="preserve">0.5–2.5min. </w:t>
      </w:r>
      <w:r w:rsidRPr="00B3024A">
        <w:rPr>
          <w:rFonts w:ascii="Arial" w:hAnsi="Arial" w:cs="Arial"/>
          <w:bCs/>
          <w:sz w:val="20"/>
          <w:szCs w:val="20"/>
        </w:rPr>
        <w:t>(</w:t>
      </w:r>
      <w:r w:rsidRPr="00B3024A">
        <w:rPr>
          <w:rFonts w:ascii="Arial" w:hAnsi="Arial" w:cs="Arial"/>
          <w:b/>
          <w:bCs/>
          <w:sz w:val="20"/>
          <w:szCs w:val="20"/>
        </w:rPr>
        <w:t>B–D</w:t>
      </w:r>
      <w:r w:rsidRPr="00B3024A">
        <w:rPr>
          <w:rFonts w:ascii="Arial" w:hAnsi="Arial" w:cs="Arial"/>
          <w:bCs/>
          <w:sz w:val="20"/>
          <w:szCs w:val="20"/>
        </w:rPr>
        <w:t>) Partial correlation analyses accounting for the cohort as a covariate, examining the relationship between R1, K2a, and DVR and the average severity of neurodegeneration as assessed by the three independent readers.</w:t>
      </w:r>
    </w:p>
    <w:p w14:paraId="229A745C" w14:textId="77777777" w:rsidR="00DF6E6E" w:rsidRPr="00B3024A" w:rsidRDefault="00000000">
      <w:pPr>
        <w:spacing w:line="480" w:lineRule="auto"/>
        <w:rPr>
          <w:rFonts w:ascii="Arial" w:hAnsi="Arial" w:cs="Arial"/>
          <w:b/>
          <w:bCs/>
          <w:sz w:val="20"/>
          <w:szCs w:val="20"/>
        </w:rPr>
      </w:pPr>
      <w:r w:rsidRPr="00B3024A">
        <w:rPr>
          <w:rFonts w:ascii="Arial" w:hAnsi="Arial" w:cs="Arial"/>
          <w:b/>
          <w:bCs/>
          <w:sz w:val="20"/>
          <w:szCs w:val="20"/>
        </w:rPr>
        <w:br w:type="page"/>
      </w:r>
    </w:p>
    <w:p w14:paraId="1A6EA2A0" w14:textId="77777777" w:rsidR="00DF6E6E" w:rsidRPr="00B3024A" w:rsidRDefault="00000000">
      <w:pPr>
        <w:spacing w:line="480" w:lineRule="auto"/>
        <w:rPr>
          <w:rFonts w:ascii="Arial" w:hAnsi="Arial" w:cs="Arial"/>
          <w:bCs/>
        </w:rPr>
      </w:pPr>
      <w:r w:rsidRPr="00B3024A">
        <w:rPr>
          <w:rFonts w:ascii="Arial" w:hAnsi="Arial" w:cs="Arial"/>
          <w:b/>
          <w:bCs/>
        </w:rPr>
        <w:lastRenderedPageBreak/>
        <w:t>Supplementary Figure 8</w:t>
      </w:r>
    </w:p>
    <w:p w14:paraId="21618641" w14:textId="77777777" w:rsidR="00DF6E6E" w:rsidRPr="00B3024A" w:rsidRDefault="00000000">
      <w:pPr>
        <w:spacing w:line="480" w:lineRule="auto"/>
        <w:rPr>
          <w:rFonts w:ascii="Arial" w:hAnsi="Arial" w:cs="Arial"/>
          <w:b/>
          <w:bCs/>
          <w:sz w:val="20"/>
          <w:szCs w:val="20"/>
        </w:rPr>
      </w:pPr>
      <w:r w:rsidRPr="00B3024A">
        <w:rPr>
          <w:rFonts w:ascii="Arial" w:hAnsi="Arial" w:cs="Arial"/>
          <w:noProof/>
          <w:lang w:val="de-DE" w:eastAsia="de-DE"/>
        </w:rPr>
        <w:drawing>
          <wp:inline distT="0" distB="0" distL="0" distR="0" wp14:anchorId="3B06A468" wp14:editId="08DE0A84">
            <wp:extent cx="5760720" cy="3105785"/>
            <wp:effectExtent l="0" t="0" r="0" b="0"/>
            <wp:docPr id="4063610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105785"/>
                    </a:xfrm>
                    <a:prstGeom prst="rect">
                      <a:avLst/>
                    </a:prstGeom>
                    <a:noFill/>
                    <a:ln>
                      <a:noFill/>
                    </a:ln>
                  </pic:spPr>
                </pic:pic>
              </a:graphicData>
            </a:graphic>
          </wp:inline>
        </w:drawing>
      </w:r>
    </w:p>
    <w:p w14:paraId="356832F2" w14:textId="77777777" w:rsidR="00DF6E6E" w:rsidRPr="00B3024A" w:rsidRDefault="00000000">
      <w:pPr>
        <w:spacing w:line="240" w:lineRule="auto"/>
        <w:jc w:val="both"/>
        <w:rPr>
          <w:rFonts w:ascii="Arial" w:hAnsi="Arial" w:cs="Arial"/>
          <w:sz w:val="20"/>
          <w:szCs w:val="20"/>
        </w:rPr>
      </w:pPr>
      <w:r w:rsidRPr="00B3024A">
        <w:rPr>
          <w:rFonts w:ascii="Arial" w:hAnsi="Arial" w:cs="Arial"/>
          <w:b/>
          <w:bCs/>
          <w:sz w:val="20"/>
          <w:szCs w:val="20"/>
        </w:rPr>
        <w:t>Supplementary Figure 8: Relationship between the relative perfusion (R1) of [</w:t>
      </w:r>
      <w:r w:rsidRPr="00B3024A">
        <w:rPr>
          <w:rFonts w:ascii="Arial" w:hAnsi="Arial" w:cs="Arial"/>
          <w:b/>
          <w:bCs/>
          <w:sz w:val="20"/>
          <w:szCs w:val="20"/>
          <w:vertAlign w:val="superscript"/>
        </w:rPr>
        <w:t>18</w:t>
      </w:r>
      <w:r w:rsidRPr="00B3024A">
        <w:rPr>
          <w:rFonts w:ascii="Arial" w:hAnsi="Arial" w:cs="Arial"/>
          <w:b/>
          <w:bCs/>
          <w:sz w:val="20"/>
          <w:szCs w:val="20"/>
        </w:rPr>
        <w:t xml:space="preserve">F]PI-2620 and early-phase β-Amyloid-PET, </w:t>
      </w:r>
      <w:r w:rsidRPr="00B3024A">
        <w:rPr>
          <w:rFonts w:ascii="Arial" w:hAnsi="Arial" w:cs="Arial"/>
          <w:b/>
          <w:bCs/>
          <w:iCs/>
          <w:sz w:val="20"/>
          <w:szCs w:val="20"/>
        </w:rPr>
        <w:t>[</w:t>
      </w:r>
      <w:r w:rsidRPr="00B3024A">
        <w:rPr>
          <w:rFonts w:ascii="Arial" w:hAnsi="Arial" w:cs="Arial"/>
          <w:b/>
          <w:bCs/>
          <w:iCs/>
          <w:sz w:val="20"/>
          <w:szCs w:val="20"/>
          <w:vertAlign w:val="superscript"/>
        </w:rPr>
        <w:t>18</w:t>
      </w:r>
      <w:r w:rsidRPr="00B3024A">
        <w:rPr>
          <w:rFonts w:ascii="Arial" w:hAnsi="Arial" w:cs="Arial"/>
          <w:b/>
          <w:bCs/>
          <w:iCs/>
          <w:sz w:val="20"/>
          <w:szCs w:val="20"/>
        </w:rPr>
        <w:t>F]</w:t>
      </w:r>
      <w:r w:rsidRPr="00B3024A">
        <w:rPr>
          <w:rFonts w:ascii="Arial" w:hAnsi="Arial" w:cs="Arial"/>
          <w:b/>
          <w:bCs/>
          <w:sz w:val="20"/>
          <w:szCs w:val="20"/>
        </w:rPr>
        <w:t xml:space="preserve">FDG-PET. </w:t>
      </w:r>
      <w:r w:rsidRPr="00B3024A">
        <w:rPr>
          <w:rFonts w:ascii="Arial" w:hAnsi="Arial" w:cs="Arial"/>
          <w:sz w:val="20"/>
          <w:szCs w:val="20"/>
        </w:rPr>
        <w:t xml:space="preserve">Whole brain scaled SUVR of early phase β-amyloid-PET (blue dots) and </w:t>
      </w:r>
      <w:r w:rsidRPr="00B3024A">
        <w:rPr>
          <w:rFonts w:ascii="Arial" w:hAnsi="Arial" w:cs="Arial"/>
          <w:iCs/>
          <w:sz w:val="20"/>
          <w:szCs w:val="20"/>
        </w:rPr>
        <w:t>[</w:t>
      </w:r>
      <w:r w:rsidRPr="00B3024A">
        <w:rPr>
          <w:rFonts w:ascii="Arial" w:hAnsi="Arial" w:cs="Arial"/>
          <w:iCs/>
          <w:sz w:val="20"/>
          <w:szCs w:val="20"/>
          <w:vertAlign w:val="superscript"/>
        </w:rPr>
        <w:t>18</w:t>
      </w:r>
      <w:r w:rsidRPr="00B3024A">
        <w:rPr>
          <w:rFonts w:ascii="Arial" w:hAnsi="Arial" w:cs="Arial"/>
          <w:iCs/>
          <w:sz w:val="20"/>
          <w:szCs w:val="20"/>
        </w:rPr>
        <w:t>F]</w:t>
      </w:r>
      <w:r w:rsidRPr="00B3024A">
        <w:rPr>
          <w:rFonts w:ascii="Arial" w:hAnsi="Arial" w:cs="Arial"/>
          <w:sz w:val="20"/>
          <w:szCs w:val="20"/>
        </w:rPr>
        <w:t>FDG-PET (red dots) are correlated with [</w:t>
      </w:r>
      <w:r w:rsidRPr="00B3024A">
        <w:rPr>
          <w:rFonts w:ascii="Arial" w:hAnsi="Arial" w:cs="Arial"/>
          <w:sz w:val="20"/>
          <w:szCs w:val="20"/>
          <w:vertAlign w:val="superscript"/>
        </w:rPr>
        <w:t>18</w:t>
      </w:r>
      <w:r w:rsidRPr="00B3024A">
        <w:rPr>
          <w:rFonts w:ascii="Arial" w:hAnsi="Arial" w:cs="Arial"/>
          <w:sz w:val="20"/>
          <w:szCs w:val="20"/>
        </w:rPr>
        <w:t>F]PI-2620</w:t>
      </w:r>
      <w:r w:rsidRPr="00B3024A">
        <w:rPr>
          <w:rFonts w:ascii="Arial" w:hAnsi="Arial" w:cs="Arial"/>
          <w:sz w:val="20"/>
          <w:szCs w:val="20"/>
          <w:vertAlign w:val="subscript"/>
        </w:rPr>
        <w:t>R1</w:t>
      </w:r>
      <w:r w:rsidRPr="00B3024A">
        <w:rPr>
          <w:rFonts w:ascii="Arial" w:hAnsi="Arial" w:cs="Arial"/>
          <w:sz w:val="20"/>
          <w:szCs w:val="20"/>
        </w:rPr>
        <w:t xml:space="preserve"> in cortical and subcortical regions of 4RT and 3/4RT. </w:t>
      </w:r>
    </w:p>
    <w:p w14:paraId="797744C1" w14:textId="77777777" w:rsidR="00DF6E6E" w:rsidRPr="00B3024A" w:rsidRDefault="00000000">
      <w:pPr>
        <w:spacing w:line="480" w:lineRule="auto"/>
        <w:rPr>
          <w:rFonts w:ascii="Arial" w:hAnsi="Arial" w:cs="Arial"/>
          <w:sz w:val="20"/>
          <w:szCs w:val="20"/>
        </w:rPr>
      </w:pPr>
      <w:r w:rsidRPr="00B3024A">
        <w:rPr>
          <w:rFonts w:ascii="Arial" w:hAnsi="Arial" w:cs="Arial"/>
          <w:sz w:val="20"/>
          <w:szCs w:val="20"/>
        </w:rPr>
        <w:br w:type="page"/>
      </w:r>
    </w:p>
    <w:p w14:paraId="6F958DF5" w14:textId="77777777" w:rsidR="00DF6E6E" w:rsidRPr="00B3024A" w:rsidRDefault="00000000">
      <w:pPr>
        <w:spacing w:line="480" w:lineRule="auto"/>
        <w:jc w:val="both"/>
        <w:rPr>
          <w:rFonts w:ascii="Arial" w:hAnsi="Arial" w:cs="Arial"/>
          <w:b/>
          <w:bCs/>
          <w:sz w:val="20"/>
          <w:szCs w:val="20"/>
        </w:rPr>
      </w:pPr>
      <w:r w:rsidRPr="00B3024A">
        <w:rPr>
          <w:rFonts w:ascii="Arial" w:hAnsi="Arial" w:cs="Arial"/>
          <w:b/>
          <w:bCs/>
        </w:rPr>
        <w:lastRenderedPageBreak/>
        <w:t>Supplementary Figure 9</w:t>
      </w:r>
    </w:p>
    <w:p w14:paraId="5773D4EE" w14:textId="77777777" w:rsidR="00DF6E6E" w:rsidRPr="00B3024A" w:rsidRDefault="00000000">
      <w:pPr>
        <w:spacing w:line="240" w:lineRule="auto"/>
        <w:jc w:val="both"/>
        <w:rPr>
          <w:rFonts w:ascii="Arial" w:hAnsi="Arial" w:cs="Arial"/>
          <w:bCs/>
          <w:sz w:val="20"/>
          <w:szCs w:val="20"/>
        </w:rPr>
      </w:pPr>
      <w:r w:rsidRPr="00B3024A">
        <w:rPr>
          <w:rFonts w:ascii="Arial" w:hAnsi="Arial" w:cs="Arial"/>
          <w:b/>
          <w:bCs/>
          <w:noProof/>
          <w:sz w:val="20"/>
          <w:szCs w:val="20"/>
          <w:lang w:val="de-DE" w:eastAsia="de-DE"/>
        </w:rPr>
        <w:drawing>
          <wp:inline distT="0" distB="0" distL="0" distR="0" wp14:anchorId="49463089" wp14:editId="24C0D5A8">
            <wp:extent cx="5693878" cy="6438265"/>
            <wp:effectExtent l="0" t="0" r="2540" b="635"/>
            <wp:docPr id="5" name="Grafik 5" descr="E:\ATN\Figures\Supp_Figure3_Rev.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TN\Figures\Supp_Figure3_Rev.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158"/>
                    <a:stretch/>
                  </pic:blipFill>
                  <pic:spPr bwMode="auto">
                    <a:xfrm>
                      <a:off x="0" y="0"/>
                      <a:ext cx="5694043" cy="6438452"/>
                    </a:xfrm>
                    <a:prstGeom prst="rect">
                      <a:avLst/>
                    </a:prstGeom>
                    <a:noFill/>
                    <a:ln>
                      <a:noFill/>
                    </a:ln>
                    <a:extLst>
                      <a:ext uri="{53640926-AAD7-44D8-BBD7-CCE9431645EC}">
                        <a14:shadowObscured xmlns:a14="http://schemas.microsoft.com/office/drawing/2010/main"/>
                      </a:ext>
                    </a:extLst>
                  </pic:spPr>
                </pic:pic>
              </a:graphicData>
            </a:graphic>
          </wp:inline>
        </w:drawing>
      </w:r>
      <w:r w:rsidRPr="00B3024A">
        <w:rPr>
          <w:rFonts w:ascii="Arial" w:hAnsi="Arial" w:cs="Arial"/>
          <w:b/>
          <w:bCs/>
          <w:sz w:val="20"/>
          <w:szCs w:val="20"/>
        </w:rPr>
        <w:t>Supplementary Figure 9: Correlation charts of [</w:t>
      </w:r>
      <w:r w:rsidRPr="00B3024A">
        <w:rPr>
          <w:rFonts w:ascii="Arial" w:hAnsi="Arial" w:cs="Arial"/>
          <w:b/>
          <w:bCs/>
          <w:sz w:val="20"/>
          <w:szCs w:val="20"/>
          <w:vertAlign w:val="superscript"/>
        </w:rPr>
        <w:t>18</w:t>
      </w:r>
      <w:r w:rsidRPr="00B3024A">
        <w:rPr>
          <w:rFonts w:ascii="Arial" w:hAnsi="Arial" w:cs="Arial"/>
          <w:b/>
          <w:bCs/>
          <w:sz w:val="20"/>
          <w:szCs w:val="20"/>
        </w:rPr>
        <w:t>F]PI-2620</w:t>
      </w:r>
      <w:r w:rsidRPr="00B3024A">
        <w:rPr>
          <w:rFonts w:ascii="Arial" w:hAnsi="Arial" w:cs="Arial"/>
          <w:b/>
          <w:bCs/>
          <w:sz w:val="20"/>
          <w:szCs w:val="20"/>
          <w:vertAlign w:val="subscript"/>
        </w:rPr>
        <w:t>R1</w:t>
      </w:r>
      <w:r w:rsidRPr="00B3024A">
        <w:rPr>
          <w:rFonts w:ascii="Arial" w:hAnsi="Arial" w:cs="Arial"/>
          <w:b/>
          <w:bCs/>
          <w:sz w:val="20"/>
          <w:szCs w:val="20"/>
        </w:rPr>
        <w:t xml:space="preserve"> and atrophy in distinct brain regions. </w:t>
      </w:r>
      <w:r w:rsidRPr="00B3024A">
        <w:rPr>
          <w:rFonts w:ascii="Arial" w:hAnsi="Arial" w:cs="Arial"/>
          <w:bCs/>
          <w:sz w:val="20"/>
          <w:szCs w:val="20"/>
        </w:rPr>
        <w:t>(</w:t>
      </w:r>
      <w:r w:rsidRPr="00B3024A">
        <w:rPr>
          <w:rFonts w:ascii="Arial" w:hAnsi="Arial" w:cs="Arial"/>
          <w:b/>
          <w:bCs/>
          <w:sz w:val="20"/>
          <w:szCs w:val="20"/>
        </w:rPr>
        <w:t>A-B</w:t>
      </w:r>
      <w:r w:rsidRPr="00B3024A">
        <w:rPr>
          <w:rFonts w:ascii="Arial" w:hAnsi="Arial" w:cs="Arial"/>
          <w:bCs/>
          <w:sz w:val="20"/>
          <w:szCs w:val="20"/>
        </w:rPr>
        <w:t>) Correlation plots depict the agreement of [</w:t>
      </w:r>
      <w:r w:rsidRPr="00B3024A">
        <w:rPr>
          <w:rFonts w:ascii="Arial" w:hAnsi="Arial" w:cs="Arial"/>
          <w:bCs/>
          <w:sz w:val="20"/>
          <w:szCs w:val="20"/>
          <w:vertAlign w:val="superscript"/>
        </w:rPr>
        <w:t>18</w:t>
      </w:r>
      <w:r w:rsidRPr="00B3024A">
        <w:rPr>
          <w:rFonts w:ascii="Arial" w:hAnsi="Arial" w:cs="Arial"/>
          <w:bCs/>
          <w:sz w:val="20"/>
          <w:szCs w:val="20"/>
        </w:rPr>
        <w:t>F]PI-2620</w:t>
      </w:r>
      <w:r w:rsidRPr="00B3024A">
        <w:rPr>
          <w:rFonts w:ascii="Arial" w:hAnsi="Arial" w:cs="Arial"/>
          <w:bCs/>
          <w:sz w:val="20"/>
          <w:szCs w:val="20"/>
          <w:vertAlign w:val="subscript"/>
        </w:rPr>
        <w:t>R1</w:t>
      </w:r>
      <w:r w:rsidRPr="00B3024A">
        <w:rPr>
          <w:rFonts w:ascii="Arial" w:hAnsi="Arial" w:cs="Arial"/>
          <w:bCs/>
          <w:sz w:val="20"/>
          <w:szCs w:val="20"/>
        </w:rPr>
        <w:t xml:space="preserve"> and volumetric MRI-acquired atrophy in cortical (</w:t>
      </w:r>
      <w:r w:rsidRPr="00B3024A">
        <w:rPr>
          <w:rFonts w:ascii="Arial" w:hAnsi="Arial" w:cs="Arial"/>
          <w:b/>
          <w:bCs/>
          <w:sz w:val="20"/>
          <w:szCs w:val="20"/>
        </w:rPr>
        <w:t>A</w:t>
      </w:r>
      <w:r w:rsidRPr="00B3024A">
        <w:rPr>
          <w:rFonts w:ascii="Arial" w:hAnsi="Arial" w:cs="Arial"/>
          <w:bCs/>
          <w:sz w:val="20"/>
          <w:szCs w:val="20"/>
        </w:rPr>
        <w:t>) and subcortical (</w:t>
      </w:r>
      <w:r w:rsidRPr="00B3024A">
        <w:rPr>
          <w:rFonts w:ascii="Arial" w:hAnsi="Arial" w:cs="Arial"/>
          <w:b/>
          <w:bCs/>
          <w:sz w:val="20"/>
          <w:szCs w:val="20"/>
        </w:rPr>
        <w:t>B</w:t>
      </w:r>
      <w:r w:rsidRPr="00B3024A">
        <w:rPr>
          <w:rFonts w:ascii="Arial" w:hAnsi="Arial" w:cs="Arial"/>
          <w:bCs/>
          <w:sz w:val="20"/>
          <w:szCs w:val="20"/>
        </w:rPr>
        <w:t>) brain regions of 4RT (green dots) and 3/4RT (purple dots) participants.</w:t>
      </w:r>
    </w:p>
    <w:p w14:paraId="11BCA214" w14:textId="77777777" w:rsidR="00DF6E6E" w:rsidRPr="00B3024A" w:rsidRDefault="00DF6E6E">
      <w:pPr>
        <w:spacing w:line="480" w:lineRule="auto"/>
        <w:rPr>
          <w:rFonts w:ascii="Arial" w:hAnsi="Arial" w:cs="Arial"/>
          <w:b/>
          <w:bCs/>
          <w:szCs w:val="20"/>
        </w:rPr>
      </w:pPr>
    </w:p>
    <w:p w14:paraId="0CA29729" w14:textId="77777777" w:rsidR="00DF6E6E" w:rsidRPr="00B3024A" w:rsidRDefault="00000000">
      <w:pPr>
        <w:spacing w:line="480" w:lineRule="auto"/>
        <w:rPr>
          <w:rFonts w:ascii="Arial" w:hAnsi="Arial" w:cs="Arial"/>
          <w:b/>
          <w:bCs/>
          <w:szCs w:val="20"/>
        </w:rPr>
      </w:pPr>
      <w:r w:rsidRPr="00B3024A">
        <w:rPr>
          <w:rFonts w:ascii="Arial" w:hAnsi="Arial" w:cs="Arial"/>
          <w:b/>
          <w:bCs/>
          <w:szCs w:val="20"/>
        </w:rPr>
        <w:br w:type="page"/>
      </w:r>
    </w:p>
    <w:p w14:paraId="548DB4B8" w14:textId="77777777" w:rsidR="00DF6E6E" w:rsidRPr="00B3024A" w:rsidRDefault="00000000">
      <w:pPr>
        <w:spacing w:line="480" w:lineRule="auto"/>
        <w:jc w:val="both"/>
        <w:rPr>
          <w:rFonts w:ascii="Arial" w:hAnsi="Arial" w:cs="Arial"/>
          <w:noProof/>
          <w:sz w:val="24"/>
          <w:szCs w:val="24"/>
          <w:lang w:val="en-US" w:eastAsia="de-DE"/>
        </w:rPr>
      </w:pPr>
      <w:r w:rsidRPr="00B3024A">
        <w:rPr>
          <w:rFonts w:ascii="Arial" w:hAnsi="Arial" w:cs="Arial"/>
          <w:b/>
          <w:bCs/>
        </w:rPr>
        <w:lastRenderedPageBreak/>
        <w:t>Supplementary</w:t>
      </w:r>
      <w:r w:rsidRPr="00B3024A">
        <w:rPr>
          <w:rFonts w:ascii="Arial" w:hAnsi="Arial" w:cs="Arial"/>
        </w:rPr>
        <w:t xml:space="preserve"> </w:t>
      </w:r>
      <w:r w:rsidRPr="00B3024A">
        <w:rPr>
          <w:rFonts w:ascii="Arial" w:hAnsi="Arial" w:cs="Arial"/>
          <w:b/>
          <w:bCs/>
        </w:rPr>
        <w:t>Figure 10</w:t>
      </w:r>
    </w:p>
    <w:p w14:paraId="5B5AD2DB" w14:textId="77777777" w:rsidR="00DF6E6E" w:rsidRPr="00B3024A" w:rsidRDefault="00000000">
      <w:pPr>
        <w:spacing w:line="240" w:lineRule="auto"/>
        <w:jc w:val="both"/>
        <w:rPr>
          <w:rFonts w:ascii="Arial" w:hAnsi="Arial" w:cs="Arial"/>
          <w:sz w:val="20"/>
          <w:szCs w:val="20"/>
        </w:rPr>
      </w:pPr>
      <w:r w:rsidRPr="00B3024A">
        <w:rPr>
          <w:rFonts w:ascii="Arial" w:hAnsi="Arial" w:cs="Arial"/>
          <w:noProof/>
          <w:lang w:val="de-DE" w:eastAsia="de-DE"/>
        </w:rPr>
        <w:drawing>
          <wp:inline distT="0" distB="0" distL="0" distR="0" wp14:anchorId="14D1585D" wp14:editId="3E37A274">
            <wp:extent cx="5451895" cy="6845760"/>
            <wp:effectExtent l="0" t="0" r="0" b="0"/>
            <wp:docPr id="1097464605" name="Grafik 1" descr="Ein Bild, das Text, Screenshot, Muster, Farbigk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64605" name="Grafik 1" descr="Ein Bild, das Text, Screenshot, Muster, Farbigkeit enthält.&#10;&#10;Automatisch generierte Beschreibu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399"/>
                    <a:stretch/>
                  </pic:blipFill>
                  <pic:spPr bwMode="auto">
                    <a:xfrm>
                      <a:off x="0" y="0"/>
                      <a:ext cx="5480102" cy="6881179"/>
                    </a:xfrm>
                    <a:prstGeom prst="rect">
                      <a:avLst/>
                    </a:prstGeom>
                    <a:noFill/>
                    <a:ln>
                      <a:noFill/>
                    </a:ln>
                    <a:extLst>
                      <a:ext uri="{53640926-AAD7-44D8-BBD7-CCE9431645EC}">
                        <a14:shadowObscured xmlns:a14="http://schemas.microsoft.com/office/drawing/2010/main"/>
                      </a:ext>
                    </a:extLst>
                  </pic:spPr>
                </pic:pic>
              </a:graphicData>
            </a:graphic>
          </wp:inline>
        </w:drawing>
      </w:r>
      <w:r w:rsidRPr="00B3024A">
        <w:rPr>
          <w:rFonts w:ascii="Arial" w:hAnsi="Arial" w:cs="Arial"/>
          <w:b/>
          <w:bCs/>
          <w:sz w:val="20"/>
          <w:szCs w:val="20"/>
        </w:rPr>
        <w:t>Supplementary</w:t>
      </w:r>
      <w:r w:rsidRPr="00B3024A">
        <w:rPr>
          <w:rFonts w:ascii="Arial" w:hAnsi="Arial" w:cs="Arial"/>
          <w:sz w:val="20"/>
          <w:szCs w:val="20"/>
        </w:rPr>
        <w:t xml:space="preserve"> </w:t>
      </w:r>
      <w:r w:rsidRPr="00B3024A">
        <w:rPr>
          <w:rFonts w:ascii="Arial" w:hAnsi="Arial" w:cs="Arial"/>
          <w:b/>
          <w:bCs/>
          <w:sz w:val="20"/>
          <w:szCs w:val="20"/>
        </w:rPr>
        <w:t>Figure 10: Visual evaluation of early-phase [</w:t>
      </w:r>
      <w:r w:rsidRPr="00B3024A">
        <w:rPr>
          <w:rFonts w:ascii="Arial" w:hAnsi="Arial" w:cs="Arial"/>
          <w:b/>
          <w:bCs/>
          <w:sz w:val="20"/>
          <w:szCs w:val="20"/>
          <w:vertAlign w:val="superscript"/>
        </w:rPr>
        <w:t>18</w:t>
      </w:r>
      <w:r w:rsidRPr="00B3024A">
        <w:rPr>
          <w:rFonts w:ascii="Arial" w:hAnsi="Arial" w:cs="Arial"/>
          <w:b/>
          <w:bCs/>
          <w:sz w:val="20"/>
          <w:szCs w:val="20"/>
        </w:rPr>
        <w:t xml:space="preserve">F]PI-2620 PET for detection of neurodegeneration. </w:t>
      </w:r>
      <w:r w:rsidRPr="00B3024A">
        <w:rPr>
          <w:rFonts w:ascii="Arial" w:hAnsi="Arial" w:cs="Arial"/>
          <w:bCs/>
          <w:sz w:val="20"/>
          <w:szCs w:val="20"/>
        </w:rPr>
        <w:t>(</w:t>
      </w:r>
      <w:r w:rsidRPr="00B3024A">
        <w:rPr>
          <w:rFonts w:ascii="Arial" w:hAnsi="Arial" w:cs="Arial"/>
          <w:b/>
          <w:bCs/>
          <w:sz w:val="20"/>
          <w:szCs w:val="20"/>
        </w:rPr>
        <w:t>A</w:t>
      </w:r>
      <w:r w:rsidRPr="00B3024A">
        <w:rPr>
          <w:rFonts w:ascii="Arial" w:hAnsi="Arial" w:cs="Arial"/>
          <w:bCs/>
          <w:sz w:val="20"/>
          <w:szCs w:val="20"/>
        </w:rPr>
        <w:t>)</w:t>
      </w:r>
      <w:r w:rsidRPr="00B3024A">
        <w:rPr>
          <w:rFonts w:ascii="Arial" w:hAnsi="Arial" w:cs="Arial"/>
          <w:b/>
          <w:bCs/>
          <w:sz w:val="20"/>
          <w:szCs w:val="20"/>
        </w:rPr>
        <w:t xml:space="preserve"> </w:t>
      </w:r>
      <w:r w:rsidRPr="00B3024A">
        <w:rPr>
          <w:rFonts w:ascii="Arial" w:hAnsi="Arial" w:cs="Arial"/>
          <w:sz w:val="20"/>
          <w:szCs w:val="20"/>
        </w:rPr>
        <w:t>Heatmaps of visual classification performed by dichotomous rating of [</w:t>
      </w:r>
      <w:r w:rsidRPr="00B3024A">
        <w:rPr>
          <w:rFonts w:ascii="Arial" w:hAnsi="Arial" w:cs="Arial"/>
          <w:sz w:val="20"/>
          <w:szCs w:val="20"/>
          <w:vertAlign w:val="superscript"/>
        </w:rPr>
        <w:t>18</w:t>
      </w:r>
      <w:r w:rsidRPr="00B3024A">
        <w:rPr>
          <w:rFonts w:ascii="Arial" w:hAnsi="Arial" w:cs="Arial"/>
          <w:sz w:val="20"/>
          <w:szCs w:val="20"/>
        </w:rPr>
        <w:t>F]PI-2620</w:t>
      </w:r>
      <w:r w:rsidRPr="00B3024A">
        <w:rPr>
          <w:rFonts w:ascii="Arial" w:hAnsi="Arial" w:cs="Arial"/>
          <w:sz w:val="20"/>
          <w:szCs w:val="20"/>
          <w:vertAlign w:val="subscript"/>
        </w:rPr>
        <w:t>0.5–2.5min</w:t>
      </w:r>
      <w:r w:rsidRPr="00B3024A">
        <w:rPr>
          <w:rFonts w:ascii="Arial" w:hAnsi="Arial" w:cs="Arial"/>
          <w:sz w:val="20"/>
          <w:szCs w:val="20"/>
        </w:rPr>
        <w:t>, β-amyloid-PET</w:t>
      </w:r>
      <w:r w:rsidRPr="00B3024A">
        <w:rPr>
          <w:rFonts w:ascii="Arial" w:hAnsi="Arial" w:cs="Arial"/>
          <w:sz w:val="20"/>
          <w:szCs w:val="20"/>
          <w:vertAlign w:val="subscript"/>
        </w:rPr>
        <w:t>0–10min</w:t>
      </w:r>
      <w:r w:rsidRPr="00B3024A">
        <w:rPr>
          <w:rFonts w:ascii="Arial" w:hAnsi="Arial" w:cs="Arial"/>
          <w:i/>
          <w:iCs/>
          <w:sz w:val="20"/>
          <w:szCs w:val="20"/>
          <w:vertAlign w:val="subscript"/>
        </w:rPr>
        <w:t xml:space="preserve"> </w:t>
      </w:r>
      <w:r w:rsidRPr="00B3024A">
        <w:rPr>
          <w:rFonts w:ascii="Arial" w:hAnsi="Arial" w:cs="Arial"/>
          <w:sz w:val="20"/>
          <w:szCs w:val="20"/>
        </w:rPr>
        <w:t xml:space="preserve">and </w:t>
      </w:r>
      <w:r w:rsidRPr="00B3024A">
        <w:rPr>
          <w:rFonts w:ascii="Arial" w:hAnsi="Arial" w:cs="Arial"/>
          <w:iCs/>
          <w:sz w:val="20"/>
          <w:szCs w:val="20"/>
        </w:rPr>
        <w:t>[</w:t>
      </w:r>
      <w:r w:rsidRPr="00B3024A">
        <w:rPr>
          <w:rFonts w:ascii="Arial" w:hAnsi="Arial" w:cs="Arial"/>
          <w:iCs/>
          <w:sz w:val="20"/>
          <w:szCs w:val="20"/>
          <w:vertAlign w:val="superscript"/>
        </w:rPr>
        <w:t>18</w:t>
      </w:r>
      <w:r w:rsidRPr="00B3024A">
        <w:rPr>
          <w:rFonts w:ascii="Arial" w:hAnsi="Arial" w:cs="Arial"/>
          <w:iCs/>
          <w:sz w:val="20"/>
          <w:szCs w:val="20"/>
        </w:rPr>
        <w:t>F]</w:t>
      </w:r>
      <w:r w:rsidRPr="00B3024A">
        <w:rPr>
          <w:rFonts w:ascii="Arial" w:hAnsi="Arial" w:cs="Arial"/>
          <w:sz w:val="20"/>
          <w:szCs w:val="20"/>
        </w:rPr>
        <w:t>FDG-PET scans by three independent readers, who defined positivity (N+) or negativity (N-) for neuronal injury. (</w:t>
      </w:r>
      <w:r w:rsidRPr="00B3024A">
        <w:rPr>
          <w:rFonts w:ascii="Arial" w:hAnsi="Arial" w:cs="Arial"/>
          <w:b/>
          <w:bCs/>
          <w:sz w:val="20"/>
          <w:szCs w:val="20"/>
        </w:rPr>
        <w:t>B</w:t>
      </w:r>
      <w:r w:rsidRPr="00B3024A">
        <w:rPr>
          <w:rFonts w:ascii="Arial" w:hAnsi="Arial" w:cs="Arial"/>
          <w:sz w:val="20"/>
          <w:szCs w:val="20"/>
        </w:rPr>
        <w:t>) Representative 3D-SSP images (z-score maps) of congruent [</w:t>
      </w:r>
      <w:r w:rsidRPr="00B3024A">
        <w:rPr>
          <w:rFonts w:ascii="Arial" w:hAnsi="Arial" w:cs="Arial"/>
          <w:sz w:val="20"/>
          <w:szCs w:val="20"/>
          <w:vertAlign w:val="superscript"/>
        </w:rPr>
        <w:t>18</w:t>
      </w:r>
      <w:r w:rsidRPr="00B3024A">
        <w:rPr>
          <w:rFonts w:ascii="Arial" w:hAnsi="Arial" w:cs="Arial"/>
          <w:sz w:val="20"/>
          <w:szCs w:val="20"/>
        </w:rPr>
        <w:t>F]PI-2620</w:t>
      </w:r>
      <w:r w:rsidRPr="00B3024A">
        <w:rPr>
          <w:rFonts w:ascii="Arial" w:hAnsi="Arial" w:cs="Arial"/>
          <w:sz w:val="20"/>
          <w:szCs w:val="20"/>
          <w:vertAlign w:val="subscript"/>
        </w:rPr>
        <w:t>0.5–2.5min</w:t>
      </w:r>
      <w:r w:rsidRPr="00B3024A">
        <w:rPr>
          <w:rFonts w:ascii="Arial" w:hAnsi="Arial" w:cs="Arial"/>
          <w:sz w:val="20"/>
          <w:szCs w:val="20"/>
        </w:rPr>
        <w:t>, β-amyloid-PET</w:t>
      </w:r>
      <w:r w:rsidRPr="00B3024A">
        <w:rPr>
          <w:rFonts w:ascii="Arial" w:hAnsi="Arial" w:cs="Arial"/>
          <w:sz w:val="20"/>
          <w:szCs w:val="20"/>
          <w:vertAlign w:val="subscript"/>
        </w:rPr>
        <w:t>0–10min</w:t>
      </w:r>
      <w:r w:rsidRPr="00B3024A">
        <w:rPr>
          <w:rFonts w:ascii="Arial" w:hAnsi="Arial" w:cs="Arial"/>
          <w:i/>
          <w:iCs/>
          <w:sz w:val="20"/>
          <w:szCs w:val="20"/>
          <w:vertAlign w:val="subscript"/>
        </w:rPr>
        <w:t xml:space="preserve"> </w:t>
      </w:r>
      <w:r w:rsidRPr="00B3024A">
        <w:rPr>
          <w:rFonts w:ascii="Arial" w:hAnsi="Arial" w:cs="Arial"/>
          <w:sz w:val="20"/>
          <w:szCs w:val="20"/>
        </w:rPr>
        <w:t xml:space="preserve">and </w:t>
      </w:r>
      <w:r w:rsidRPr="00B3024A">
        <w:rPr>
          <w:rFonts w:ascii="Arial" w:hAnsi="Arial" w:cs="Arial"/>
          <w:iCs/>
          <w:sz w:val="20"/>
          <w:szCs w:val="20"/>
        </w:rPr>
        <w:t>[</w:t>
      </w:r>
      <w:r w:rsidRPr="00B3024A">
        <w:rPr>
          <w:rFonts w:ascii="Arial" w:hAnsi="Arial" w:cs="Arial"/>
          <w:iCs/>
          <w:sz w:val="20"/>
          <w:szCs w:val="20"/>
          <w:vertAlign w:val="superscript"/>
        </w:rPr>
        <w:t>18</w:t>
      </w:r>
      <w:r w:rsidRPr="00B3024A">
        <w:rPr>
          <w:rFonts w:ascii="Arial" w:hAnsi="Arial" w:cs="Arial"/>
          <w:iCs/>
          <w:sz w:val="20"/>
          <w:szCs w:val="20"/>
        </w:rPr>
        <w:t>F]</w:t>
      </w:r>
      <w:r w:rsidRPr="00B3024A">
        <w:rPr>
          <w:rFonts w:ascii="Arial" w:hAnsi="Arial" w:cs="Arial"/>
          <w:sz w:val="20"/>
          <w:szCs w:val="20"/>
        </w:rPr>
        <w:t xml:space="preserve">FDG-PET scans. </w:t>
      </w:r>
      <w:r w:rsidRPr="00B3024A">
        <w:rPr>
          <w:rFonts w:ascii="Arial" w:hAnsi="Arial" w:cs="Arial"/>
          <w:b/>
          <w:bCs/>
          <w:sz w:val="20"/>
          <w:szCs w:val="20"/>
        </w:rPr>
        <w:t>B1</w:t>
      </w:r>
      <w:r w:rsidRPr="00B3024A">
        <w:rPr>
          <w:rFonts w:ascii="Arial" w:hAnsi="Arial" w:cs="Arial"/>
          <w:sz w:val="20"/>
          <w:szCs w:val="20"/>
        </w:rPr>
        <w:t xml:space="preserve">: 4RT rated </w:t>
      </w:r>
      <w:r w:rsidRPr="00B3024A">
        <w:rPr>
          <w:rFonts w:ascii="Arial" w:hAnsi="Arial" w:cs="Arial"/>
          <w:i/>
          <w:iCs/>
          <w:sz w:val="20"/>
          <w:szCs w:val="20"/>
        </w:rPr>
        <w:t>N+</w:t>
      </w:r>
      <w:r w:rsidRPr="00B3024A">
        <w:rPr>
          <w:rFonts w:ascii="Arial" w:hAnsi="Arial" w:cs="Arial"/>
          <w:sz w:val="20"/>
          <w:szCs w:val="20"/>
        </w:rPr>
        <w:t xml:space="preserve"> by all three readers; </w:t>
      </w:r>
      <w:r w:rsidRPr="00B3024A">
        <w:rPr>
          <w:rFonts w:ascii="Arial" w:hAnsi="Arial" w:cs="Arial"/>
          <w:b/>
          <w:bCs/>
          <w:sz w:val="20"/>
          <w:szCs w:val="20"/>
        </w:rPr>
        <w:t>B2</w:t>
      </w:r>
      <w:r w:rsidRPr="00B3024A">
        <w:rPr>
          <w:rFonts w:ascii="Arial" w:hAnsi="Arial" w:cs="Arial"/>
          <w:sz w:val="20"/>
          <w:szCs w:val="20"/>
        </w:rPr>
        <w:t xml:space="preserve">: 3/4RT rated </w:t>
      </w:r>
      <w:r w:rsidRPr="00B3024A">
        <w:rPr>
          <w:rFonts w:ascii="Arial" w:hAnsi="Arial" w:cs="Arial"/>
          <w:i/>
          <w:iCs/>
          <w:sz w:val="20"/>
          <w:szCs w:val="20"/>
        </w:rPr>
        <w:t>N+</w:t>
      </w:r>
      <w:r w:rsidRPr="00B3024A">
        <w:rPr>
          <w:rFonts w:ascii="Arial" w:hAnsi="Arial" w:cs="Arial"/>
          <w:sz w:val="20"/>
          <w:szCs w:val="20"/>
        </w:rPr>
        <w:t xml:space="preserve"> by all three readers; </w:t>
      </w:r>
      <w:r w:rsidRPr="00B3024A">
        <w:rPr>
          <w:rFonts w:ascii="Arial" w:hAnsi="Arial" w:cs="Arial"/>
          <w:b/>
          <w:bCs/>
          <w:sz w:val="20"/>
          <w:szCs w:val="20"/>
        </w:rPr>
        <w:t>B3</w:t>
      </w:r>
      <w:r w:rsidRPr="00B3024A">
        <w:rPr>
          <w:rFonts w:ascii="Arial" w:hAnsi="Arial" w:cs="Arial"/>
          <w:sz w:val="20"/>
          <w:szCs w:val="20"/>
        </w:rPr>
        <w:t xml:space="preserve">: 4RT rated </w:t>
      </w:r>
      <w:r w:rsidRPr="00B3024A">
        <w:rPr>
          <w:rFonts w:ascii="Arial" w:hAnsi="Arial" w:cs="Arial"/>
          <w:i/>
          <w:iCs/>
          <w:sz w:val="20"/>
          <w:szCs w:val="20"/>
        </w:rPr>
        <w:t>N+</w:t>
      </w:r>
      <w:r w:rsidRPr="00B3024A">
        <w:rPr>
          <w:rFonts w:ascii="Arial" w:hAnsi="Arial" w:cs="Arial"/>
          <w:sz w:val="20"/>
          <w:szCs w:val="20"/>
        </w:rPr>
        <w:t xml:space="preserve"> by all three readers only in [</w:t>
      </w:r>
      <w:r w:rsidRPr="00B3024A">
        <w:rPr>
          <w:rFonts w:ascii="Arial" w:hAnsi="Arial" w:cs="Arial"/>
          <w:sz w:val="20"/>
          <w:szCs w:val="20"/>
          <w:vertAlign w:val="superscript"/>
        </w:rPr>
        <w:t>18</w:t>
      </w:r>
      <w:r w:rsidRPr="00B3024A">
        <w:rPr>
          <w:rFonts w:ascii="Arial" w:hAnsi="Arial" w:cs="Arial"/>
          <w:sz w:val="20"/>
          <w:szCs w:val="20"/>
        </w:rPr>
        <w:t>F]PI-2620</w:t>
      </w:r>
      <w:r w:rsidRPr="00B3024A">
        <w:rPr>
          <w:rFonts w:ascii="Arial" w:hAnsi="Arial" w:cs="Arial"/>
          <w:sz w:val="20"/>
          <w:szCs w:val="20"/>
          <w:vertAlign w:val="subscript"/>
        </w:rPr>
        <w:t>0.5–2.5min;</w:t>
      </w:r>
      <w:r w:rsidRPr="00B3024A">
        <w:rPr>
          <w:rFonts w:ascii="Arial" w:hAnsi="Arial" w:cs="Arial"/>
          <w:sz w:val="20"/>
          <w:szCs w:val="20"/>
        </w:rPr>
        <w:t xml:space="preserve"> PET; </w:t>
      </w:r>
      <w:r w:rsidRPr="00B3024A">
        <w:rPr>
          <w:rFonts w:ascii="Arial" w:hAnsi="Arial" w:cs="Arial"/>
          <w:b/>
          <w:bCs/>
          <w:sz w:val="20"/>
          <w:szCs w:val="20"/>
        </w:rPr>
        <w:t>B4</w:t>
      </w:r>
      <w:r w:rsidRPr="00B3024A">
        <w:rPr>
          <w:rFonts w:ascii="Arial" w:hAnsi="Arial" w:cs="Arial"/>
          <w:sz w:val="20"/>
          <w:szCs w:val="20"/>
        </w:rPr>
        <w:t xml:space="preserve">: 4RT rated </w:t>
      </w:r>
      <w:r w:rsidRPr="00B3024A">
        <w:rPr>
          <w:rFonts w:ascii="Arial" w:hAnsi="Arial" w:cs="Arial"/>
          <w:i/>
          <w:iCs/>
          <w:sz w:val="20"/>
          <w:szCs w:val="20"/>
        </w:rPr>
        <w:t xml:space="preserve">N- </w:t>
      </w:r>
      <w:r w:rsidRPr="00B3024A">
        <w:rPr>
          <w:rFonts w:ascii="Arial" w:hAnsi="Arial" w:cs="Arial"/>
          <w:sz w:val="20"/>
          <w:szCs w:val="20"/>
        </w:rPr>
        <w:t xml:space="preserve">by all three readers; </w:t>
      </w:r>
      <w:r w:rsidRPr="00B3024A">
        <w:rPr>
          <w:rFonts w:ascii="Arial" w:hAnsi="Arial" w:cs="Arial"/>
          <w:b/>
          <w:sz w:val="20"/>
          <w:szCs w:val="20"/>
        </w:rPr>
        <w:t>B5</w:t>
      </w:r>
      <w:r w:rsidRPr="00B3024A">
        <w:rPr>
          <w:rFonts w:ascii="Arial" w:hAnsi="Arial" w:cs="Arial"/>
          <w:sz w:val="20"/>
          <w:szCs w:val="20"/>
        </w:rPr>
        <w:t xml:space="preserve">: 4RT rated </w:t>
      </w:r>
      <w:r w:rsidRPr="00B3024A">
        <w:rPr>
          <w:rFonts w:ascii="Arial" w:hAnsi="Arial" w:cs="Arial"/>
          <w:i/>
          <w:iCs/>
          <w:sz w:val="20"/>
          <w:szCs w:val="20"/>
        </w:rPr>
        <w:t>N+</w:t>
      </w:r>
      <w:r w:rsidRPr="00B3024A">
        <w:rPr>
          <w:rFonts w:ascii="Arial" w:hAnsi="Arial" w:cs="Arial"/>
          <w:sz w:val="20"/>
          <w:szCs w:val="20"/>
        </w:rPr>
        <w:t xml:space="preserve"> only in [</w:t>
      </w:r>
      <w:r w:rsidRPr="00B3024A">
        <w:rPr>
          <w:rFonts w:ascii="Arial" w:hAnsi="Arial" w:cs="Arial"/>
          <w:sz w:val="20"/>
          <w:szCs w:val="20"/>
          <w:vertAlign w:val="superscript"/>
        </w:rPr>
        <w:t>18</w:t>
      </w:r>
      <w:r w:rsidRPr="00B3024A">
        <w:rPr>
          <w:rFonts w:ascii="Arial" w:hAnsi="Arial" w:cs="Arial"/>
          <w:sz w:val="20"/>
          <w:szCs w:val="20"/>
        </w:rPr>
        <w:t>F]PI-2620</w:t>
      </w:r>
      <w:r w:rsidRPr="00B3024A">
        <w:rPr>
          <w:rFonts w:ascii="Arial" w:hAnsi="Arial" w:cs="Arial"/>
          <w:sz w:val="20"/>
          <w:szCs w:val="20"/>
          <w:vertAlign w:val="subscript"/>
        </w:rPr>
        <w:t xml:space="preserve">0.5–2.5min </w:t>
      </w:r>
      <w:r w:rsidRPr="00B3024A">
        <w:rPr>
          <w:rFonts w:ascii="Arial" w:hAnsi="Arial" w:cs="Arial"/>
          <w:sz w:val="20"/>
          <w:szCs w:val="20"/>
        </w:rPr>
        <w:t xml:space="preserve">and </w:t>
      </w:r>
      <w:r w:rsidRPr="00B3024A">
        <w:rPr>
          <w:rFonts w:ascii="Arial" w:hAnsi="Arial" w:cs="Arial"/>
          <w:iCs/>
          <w:sz w:val="20"/>
          <w:szCs w:val="20"/>
        </w:rPr>
        <w:t>[</w:t>
      </w:r>
      <w:r w:rsidRPr="00B3024A">
        <w:rPr>
          <w:rFonts w:ascii="Arial" w:hAnsi="Arial" w:cs="Arial"/>
          <w:iCs/>
          <w:sz w:val="20"/>
          <w:szCs w:val="20"/>
          <w:vertAlign w:val="superscript"/>
        </w:rPr>
        <w:t>18</w:t>
      </w:r>
      <w:r w:rsidRPr="00B3024A">
        <w:rPr>
          <w:rFonts w:ascii="Arial" w:hAnsi="Arial" w:cs="Arial"/>
          <w:iCs/>
          <w:sz w:val="20"/>
          <w:szCs w:val="20"/>
        </w:rPr>
        <w:t>F]</w:t>
      </w:r>
      <w:r w:rsidRPr="00B3024A">
        <w:rPr>
          <w:rFonts w:ascii="Arial" w:hAnsi="Arial" w:cs="Arial"/>
          <w:sz w:val="20"/>
          <w:szCs w:val="20"/>
        </w:rPr>
        <w:t xml:space="preserve">FDG-PET; </w:t>
      </w:r>
      <w:r w:rsidRPr="00B3024A">
        <w:rPr>
          <w:rFonts w:ascii="Arial" w:hAnsi="Arial" w:cs="Arial"/>
          <w:b/>
          <w:bCs/>
          <w:sz w:val="20"/>
          <w:szCs w:val="20"/>
        </w:rPr>
        <w:t>B6</w:t>
      </w:r>
      <w:r w:rsidRPr="00B3024A">
        <w:rPr>
          <w:rFonts w:ascii="Arial" w:hAnsi="Arial" w:cs="Arial"/>
          <w:sz w:val="20"/>
          <w:szCs w:val="20"/>
        </w:rPr>
        <w:t xml:space="preserve">: 3/4RT rated </w:t>
      </w:r>
      <w:r w:rsidRPr="00B3024A">
        <w:rPr>
          <w:rFonts w:ascii="Arial" w:hAnsi="Arial" w:cs="Arial"/>
          <w:i/>
          <w:iCs/>
          <w:sz w:val="20"/>
          <w:szCs w:val="20"/>
        </w:rPr>
        <w:t>N+</w:t>
      </w:r>
      <w:r w:rsidRPr="00B3024A">
        <w:rPr>
          <w:rFonts w:ascii="Arial" w:hAnsi="Arial" w:cs="Arial"/>
          <w:sz w:val="20"/>
          <w:szCs w:val="20"/>
        </w:rPr>
        <w:t xml:space="preserve"> by all three readers only in [</w:t>
      </w:r>
      <w:r w:rsidRPr="00B3024A">
        <w:rPr>
          <w:rFonts w:ascii="Arial" w:hAnsi="Arial" w:cs="Arial"/>
          <w:sz w:val="20"/>
          <w:szCs w:val="20"/>
          <w:vertAlign w:val="superscript"/>
        </w:rPr>
        <w:t>18</w:t>
      </w:r>
      <w:r w:rsidRPr="00B3024A">
        <w:rPr>
          <w:rFonts w:ascii="Arial" w:hAnsi="Arial" w:cs="Arial"/>
          <w:sz w:val="20"/>
          <w:szCs w:val="20"/>
        </w:rPr>
        <w:t>F]PI-2620</w:t>
      </w:r>
      <w:r w:rsidRPr="00B3024A">
        <w:rPr>
          <w:rFonts w:ascii="Arial" w:hAnsi="Arial" w:cs="Arial"/>
          <w:sz w:val="20"/>
          <w:szCs w:val="20"/>
          <w:vertAlign w:val="subscript"/>
        </w:rPr>
        <w:t>0.5–2.5min.</w:t>
      </w:r>
      <w:r w:rsidRPr="00B3024A">
        <w:rPr>
          <w:rFonts w:ascii="Arial" w:hAnsi="Arial" w:cs="Arial"/>
          <w:sz w:val="20"/>
          <w:szCs w:val="20"/>
        </w:rPr>
        <w:t xml:space="preserve"> (</w:t>
      </w:r>
      <w:r w:rsidRPr="00B3024A">
        <w:rPr>
          <w:rFonts w:ascii="Arial" w:hAnsi="Arial" w:cs="Arial"/>
          <w:b/>
          <w:bCs/>
          <w:sz w:val="20"/>
          <w:szCs w:val="20"/>
        </w:rPr>
        <w:t>C</w:t>
      </w:r>
      <w:r w:rsidRPr="00B3024A">
        <w:rPr>
          <w:rFonts w:ascii="Arial" w:hAnsi="Arial" w:cs="Arial"/>
          <w:bCs/>
          <w:sz w:val="20"/>
          <w:szCs w:val="20"/>
        </w:rPr>
        <w:t>)</w:t>
      </w:r>
      <w:r w:rsidRPr="00B3024A">
        <w:rPr>
          <w:rFonts w:ascii="Arial" w:hAnsi="Arial" w:cs="Arial"/>
          <w:sz w:val="20"/>
          <w:szCs w:val="20"/>
        </w:rPr>
        <w:t xml:space="preserve"> Degree of agreement between the three readers for all three imaging modalities and both study cohorts depicted by Fleiss kappa (κ). Degree of congruency between two different scan modalities</w:t>
      </w:r>
      <w:r w:rsidRPr="00B3024A">
        <w:rPr>
          <w:rFonts w:ascii="Arial" w:hAnsi="Arial" w:cs="Arial"/>
        </w:rPr>
        <w:t xml:space="preserve"> </w:t>
      </w:r>
      <w:r w:rsidRPr="00B3024A">
        <w:rPr>
          <w:rFonts w:ascii="Arial" w:hAnsi="Arial" w:cs="Arial"/>
          <w:sz w:val="20"/>
          <w:szCs w:val="20"/>
        </w:rPr>
        <w:t xml:space="preserve">for both study cohorts was measured using Cohens Kappa (κ). </w:t>
      </w:r>
    </w:p>
    <w:p w14:paraId="4657F77F" w14:textId="77777777" w:rsidR="00DF6E6E" w:rsidRPr="00B3024A" w:rsidRDefault="00000000">
      <w:pPr>
        <w:spacing w:line="480" w:lineRule="auto"/>
        <w:jc w:val="both"/>
        <w:rPr>
          <w:rFonts w:ascii="Arial" w:hAnsi="Arial" w:cs="Arial"/>
          <w:b/>
          <w:bCs/>
          <w:sz w:val="20"/>
          <w:szCs w:val="20"/>
        </w:rPr>
      </w:pPr>
      <w:r w:rsidRPr="00B3024A">
        <w:rPr>
          <w:rFonts w:ascii="Arial" w:hAnsi="Arial" w:cs="Arial"/>
          <w:b/>
          <w:bCs/>
        </w:rPr>
        <w:lastRenderedPageBreak/>
        <w:t>Supplementary Figure 11</w:t>
      </w:r>
    </w:p>
    <w:p w14:paraId="37BE981B" w14:textId="77777777" w:rsidR="00DF6E6E" w:rsidRPr="00B3024A" w:rsidRDefault="00000000">
      <w:pPr>
        <w:spacing w:line="240" w:lineRule="auto"/>
        <w:jc w:val="both"/>
        <w:rPr>
          <w:rFonts w:ascii="Arial" w:hAnsi="Arial" w:cs="Arial"/>
          <w:sz w:val="20"/>
          <w:szCs w:val="20"/>
        </w:rPr>
      </w:pPr>
      <w:r w:rsidRPr="00B3024A">
        <w:rPr>
          <w:rFonts w:ascii="Arial" w:hAnsi="Arial" w:cs="Arial"/>
          <w:b/>
          <w:bCs/>
          <w:noProof/>
          <w:sz w:val="20"/>
          <w:szCs w:val="20"/>
          <w:lang w:val="de-DE" w:eastAsia="de-DE"/>
        </w:rPr>
        <w:drawing>
          <wp:inline distT="0" distB="0" distL="0" distR="0" wp14:anchorId="77601E98" wp14:editId="3D82A0FC">
            <wp:extent cx="5760720" cy="2373565"/>
            <wp:effectExtent l="0" t="0" r="0" b="8255"/>
            <wp:docPr id="3" name="Grafik 3" descr="E:\ATN\Figures\Supp_Fig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TN\Figures\Supp_Figure2.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373565"/>
                    </a:xfrm>
                    <a:prstGeom prst="rect">
                      <a:avLst/>
                    </a:prstGeom>
                    <a:noFill/>
                    <a:ln>
                      <a:noFill/>
                    </a:ln>
                  </pic:spPr>
                </pic:pic>
              </a:graphicData>
            </a:graphic>
          </wp:inline>
        </w:drawing>
      </w:r>
      <w:r w:rsidRPr="00B3024A">
        <w:rPr>
          <w:rFonts w:ascii="Arial" w:hAnsi="Arial" w:cs="Arial"/>
          <w:b/>
          <w:bCs/>
          <w:sz w:val="20"/>
          <w:szCs w:val="20"/>
        </w:rPr>
        <w:t>Supplementary Figure 11: Relationship between the relative perfusion (R1) of [</w:t>
      </w:r>
      <w:r w:rsidRPr="00B3024A">
        <w:rPr>
          <w:rFonts w:ascii="Arial" w:hAnsi="Arial" w:cs="Arial"/>
          <w:b/>
          <w:bCs/>
          <w:sz w:val="20"/>
          <w:szCs w:val="20"/>
          <w:vertAlign w:val="superscript"/>
        </w:rPr>
        <w:t>18</w:t>
      </w:r>
      <w:r w:rsidRPr="00B3024A">
        <w:rPr>
          <w:rFonts w:ascii="Arial" w:hAnsi="Arial" w:cs="Arial"/>
          <w:b/>
          <w:bCs/>
          <w:sz w:val="20"/>
          <w:szCs w:val="20"/>
        </w:rPr>
        <w:t>F]PI-2620 and total tau protein.</w:t>
      </w:r>
      <w:r w:rsidRPr="00B3024A">
        <w:rPr>
          <w:rFonts w:ascii="Arial" w:hAnsi="Arial" w:cs="Arial"/>
          <w:sz w:val="20"/>
          <w:szCs w:val="20"/>
        </w:rPr>
        <w:t xml:space="preserve"> Green and purple scatterplots depict negative agreement among whole brain [</w:t>
      </w:r>
      <w:r w:rsidRPr="00B3024A">
        <w:rPr>
          <w:rFonts w:ascii="Arial" w:hAnsi="Arial" w:cs="Arial"/>
          <w:sz w:val="20"/>
          <w:szCs w:val="20"/>
          <w:vertAlign w:val="superscript"/>
        </w:rPr>
        <w:t>18</w:t>
      </w:r>
      <w:r w:rsidRPr="00B3024A">
        <w:rPr>
          <w:rFonts w:ascii="Arial" w:hAnsi="Arial" w:cs="Arial"/>
          <w:sz w:val="20"/>
          <w:szCs w:val="20"/>
        </w:rPr>
        <w:t>F]PI-2620</w:t>
      </w:r>
      <w:r w:rsidRPr="00B3024A">
        <w:rPr>
          <w:rFonts w:ascii="Arial" w:hAnsi="Arial" w:cs="Arial"/>
          <w:sz w:val="20"/>
          <w:szCs w:val="20"/>
          <w:vertAlign w:val="subscript"/>
        </w:rPr>
        <w:t>R1</w:t>
      </w:r>
      <w:r w:rsidRPr="00B3024A">
        <w:rPr>
          <w:rFonts w:ascii="Arial" w:hAnsi="Arial" w:cs="Arial"/>
          <w:sz w:val="20"/>
          <w:szCs w:val="20"/>
        </w:rPr>
        <w:t xml:space="preserve"> and total tau protein in the cerebrospinal fluid of both cohorts.</w:t>
      </w:r>
    </w:p>
    <w:p w14:paraId="25DE1CE6" w14:textId="77777777" w:rsidR="00DF6E6E" w:rsidRPr="00B3024A" w:rsidRDefault="00000000">
      <w:pPr>
        <w:spacing w:line="480" w:lineRule="auto"/>
        <w:jc w:val="both"/>
        <w:rPr>
          <w:rFonts w:ascii="Arial" w:hAnsi="Arial" w:cs="Arial"/>
          <w:b/>
          <w:bCs/>
          <w:sz w:val="20"/>
          <w:szCs w:val="20"/>
        </w:rPr>
      </w:pPr>
      <w:r w:rsidRPr="00B3024A">
        <w:rPr>
          <w:rFonts w:ascii="Arial" w:hAnsi="Arial" w:cs="Arial"/>
          <w:sz w:val="20"/>
          <w:szCs w:val="20"/>
        </w:rPr>
        <w:br/>
      </w:r>
    </w:p>
    <w:p w14:paraId="55077C45" w14:textId="77777777" w:rsidR="00DF6E6E" w:rsidRPr="00B3024A" w:rsidRDefault="00000000">
      <w:pPr>
        <w:spacing w:line="278" w:lineRule="auto"/>
        <w:rPr>
          <w:rFonts w:ascii="Arial" w:hAnsi="Arial" w:cs="Arial"/>
          <w:b/>
          <w:bCs/>
          <w:szCs w:val="20"/>
        </w:rPr>
      </w:pPr>
      <w:r w:rsidRPr="00B3024A">
        <w:rPr>
          <w:rFonts w:ascii="Arial" w:hAnsi="Arial" w:cs="Arial"/>
          <w:b/>
          <w:bCs/>
          <w:szCs w:val="20"/>
        </w:rPr>
        <w:br w:type="page"/>
      </w:r>
    </w:p>
    <w:p w14:paraId="1B373F4E" w14:textId="77777777" w:rsidR="00DF6E6E" w:rsidRPr="00B3024A" w:rsidRDefault="00000000">
      <w:pPr>
        <w:spacing w:line="480" w:lineRule="auto"/>
        <w:rPr>
          <w:rFonts w:ascii="Arial" w:hAnsi="Arial" w:cs="Arial"/>
          <w:b/>
          <w:bCs/>
          <w:szCs w:val="20"/>
        </w:rPr>
      </w:pPr>
      <w:r w:rsidRPr="00B3024A">
        <w:rPr>
          <w:rFonts w:ascii="Arial" w:hAnsi="Arial" w:cs="Arial"/>
          <w:b/>
          <w:bCs/>
          <w:szCs w:val="20"/>
        </w:rPr>
        <w:lastRenderedPageBreak/>
        <w:t>Supplementary References</w:t>
      </w:r>
    </w:p>
    <w:p w14:paraId="31845DD1" w14:textId="77777777" w:rsidR="00DF6E6E" w:rsidRPr="00B3024A" w:rsidRDefault="00000000">
      <w:pPr>
        <w:pStyle w:val="EndNoteBibliography"/>
        <w:spacing w:after="0" w:line="480" w:lineRule="auto"/>
        <w:ind w:left="720" w:hanging="720"/>
        <w:rPr>
          <w:rFonts w:ascii="Arial" w:hAnsi="Arial" w:cs="Arial"/>
        </w:rPr>
      </w:pPr>
      <w:r w:rsidRPr="00B3024A">
        <w:rPr>
          <w:rFonts w:ascii="Arial" w:hAnsi="Arial" w:cs="Arial"/>
          <w:bCs/>
          <w:sz w:val="20"/>
          <w:szCs w:val="20"/>
        </w:rPr>
        <w:fldChar w:fldCharType="begin"/>
      </w:r>
      <w:r w:rsidRPr="00B3024A">
        <w:rPr>
          <w:rFonts w:ascii="Arial" w:hAnsi="Arial" w:cs="Arial"/>
          <w:bCs/>
          <w:sz w:val="20"/>
          <w:szCs w:val="20"/>
        </w:rPr>
        <w:instrText xml:space="preserve"> ADDIN EN.REFLIST </w:instrText>
      </w:r>
      <w:r w:rsidRPr="00B3024A">
        <w:rPr>
          <w:rFonts w:ascii="Arial" w:hAnsi="Arial" w:cs="Arial"/>
          <w:bCs/>
          <w:sz w:val="20"/>
          <w:szCs w:val="20"/>
        </w:rPr>
        <w:fldChar w:fldCharType="separate"/>
      </w:r>
      <w:r w:rsidRPr="00B3024A">
        <w:rPr>
          <w:rFonts w:ascii="Arial" w:hAnsi="Arial" w:cs="Arial"/>
        </w:rPr>
        <w:t>1.</w:t>
      </w:r>
      <w:r w:rsidRPr="00B3024A">
        <w:rPr>
          <w:rFonts w:ascii="Arial" w:hAnsi="Arial" w:cs="Arial"/>
        </w:rPr>
        <w:tab/>
        <w:t xml:space="preserve">Brendel, M., et al., </w:t>
      </w:r>
      <w:r w:rsidRPr="00B3024A">
        <w:rPr>
          <w:rFonts w:ascii="Arial" w:hAnsi="Arial" w:cs="Arial"/>
          <w:i/>
        </w:rPr>
        <w:t>Aβ status assessment in a hypothetical scenario prior to treatment with disease-modifying therapies: Evidence from 10-year real-world experience at university memory clinics.</w:t>
      </w:r>
      <w:r w:rsidRPr="00B3024A">
        <w:rPr>
          <w:rFonts w:ascii="Arial" w:hAnsi="Arial" w:cs="Arial"/>
        </w:rPr>
        <w:t xml:space="preserve"> Alzheimer's &amp; Dementia: Diagnosis, Assessment &amp; Disease Monitoring, 2024. </w:t>
      </w:r>
      <w:r w:rsidRPr="00B3024A">
        <w:rPr>
          <w:rFonts w:ascii="Arial" w:hAnsi="Arial" w:cs="Arial"/>
          <w:b/>
        </w:rPr>
        <w:t>16</w:t>
      </w:r>
      <w:r w:rsidRPr="00B3024A">
        <w:rPr>
          <w:rFonts w:ascii="Arial" w:hAnsi="Arial" w:cs="Arial"/>
        </w:rPr>
        <w:t>(4): p. e70031.</w:t>
      </w:r>
    </w:p>
    <w:p w14:paraId="3E0FE388" w14:textId="77777777" w:rsidR="00DF6E6E" w:rsidRPr="00B3024A" w:rsidRDefault="00000000">
      <w:pPr>
        <w:pStyle w:val="EndNoteBibliography"/>
        <w:spacing w:after="0" w:line="480" w:lineRule="auto"/>
        <w:ind w:left="720" w:hanging="720"/>
        <w:rPr>
          <w:rFonts w:ascii="Arial" w:hAnsi="Arial" w:cs="Arial"/>
        </w:rPr>
      </w:pPr>
      <w:r w:rsidRPr="00B3024A">
        <w:rPr>
          <w:rFonts w:ascii="Arial" w:hAnsi="Arial" w:cs="Arial"/>
        </w:rPr>
        <w:t>2.</w:t>
      </w:r>
      <w:r w:rsidRPr="00B3024A">
        <w:rPr>
          <w:rFonts w:ascii="Arial" w:hAnsi="Arial" w:cs="Arial"/>
        </w:rPr>
        <w:tab/>
        <w:t xml:space="preserve">Minoshima, S., et al., </w:t>
      </w:r>
      <w:r w:rsidRPr="00B3024A">
        <w:rPr>
          <w:rFonts w:ascii="Arial" w:hAnsi="Arial" w:cs="Arial"/>
          <w:i/>
        </w:rPr>
        <w:t>A diagnostic approach in Alzheimer's disease using three-dimensional stereotactic surface projections of fluorine-18-FDG PET.</w:t>
      </w:r>
      <w:r w:rsidRPr="00B3024A">
        <w:rPr>
          <w:rFonts w:ascii="Arial" w:hAnsi="Arial" w:cs="Arial"/>
        </w:rPr>
        <w:t xml:space="preserve"> J Nucl Med, 1995. </w:t>
      </w:r>
      <w:r w:rsidRPr="00B3024A">
        <w:rPr>
          <w:rFonts w:ascii="Arial" w:hAnsi="Arial" w:cs="Arial"/>
          <w:b/>
        </w:rPr>
        <w:t>36</w:t>
      </w:r>
      <w:r w:rsidRPr="00B3024A">
        <w:rPr>
          <w:rFonts w:ascii="Arial" w:hAnsi="Arial" w:cs="Arial"/>
        </w:rPr>
        <w:t>(7): p. 1238-48.</w:t>
      </w:r>
    </w:p>
    <w:p w14:paraId="0298B2A0" w14:textId="77777777" w:rsidR="00DF6E6E" w:rsidRPr="00B3024A" w:rsidRDefault="00000000">
      <w:pPr>
        <w:pStyle w:val="EndNoteBibliography"/>
        <w:spacing w:after="0" w:line="480" w:lineRule="auto"/>
        <w:ind w:left="720" w:hanging="720"/>
        <w:rPr>
          <w:rFonts w:ascii="Arial" w:hAnsi="Arial" w:cs="Arial"/>
        </w:rPr>
      </w:pPr>
      <w:r w:rsidRPr="00B3024A">
        <w:rPr>
          <w:rFonts w:ascii="Arial" w:hAnsi="Arial" w:cs="Arial"/>
        </w:rPr>
        <w:t>3.</w:t>
      </w:r>
      <w:r w:rsidRPr="00B3024A">
        <w:rPr>
          <w:rFonts w:ascii="Arial" w:hAnsi="Arial" w:cs="Arial"/>
        </w:rPr>
        <w:tab/>
        <w:t xml:space="preserve">Ronneberger, O., P. Fischer, and T. Brox. </w:t>
      </w:r>
      <w:r w:rsidRPr="00B3024A">
        <w:rPr>
          <w:rFonts w:ascii="Arial" w:hAnsi="Arial" w:cs="Arial"/>
          <w:i/>
        </w:rPr>
        <w:t>U-Net: Convolutional Networks for Biomedical Image Segmentation</w:t>
      </w:r>
      <w:r w:rsidRPr="00B3024A">
        <w:rPr>
          <w:rFonts w:ascii="Arial" w:hAnsi="Arial" w:cs="Arial"/>
        </w:rPr>
        <w:t xml:space="preserve">. in </w:t>
      </w:r>
      <w:r w:rsidRPr="00B3024A">
        <w:rPr>
          <w:rFonts w:ascii="Arial" w:hAnsi="Arial" w:cs="Arial"/>
          <w:i/>
        </w:rPr>
        <w:t>Medical Image Computing and Computer-Assisted Intervention – MICCAI 2015</w:t>
      </w:r>
      <w:r w:rsidRPr="00B3024A">
        <w:rPr>
          <w:rFonts w:ascii="Arial" w:hAnsi="Arial" w:cs="Arial"/>
        </w:rPr>
        <w:t>. 2015. Cham: Springer International Publishing.</w:t>
      </w:r>
    </w:p>
    <w:p w14:paraId="37094BEA" w14:textId="77777777" w:rsidR="00DF6E6E" w:rsidRPr="00B3024A" w:rsidRDefault="00000000">
      <w:pPr>
        <w:pStyle w:val="EndNoteBibliography"/>
        <w:spacing w:after="0" w:line="480" w:lineRule="auto"/>
        <w:ind w:left="720" w:hanging="720"/>
        <w:rPr>
          <w:rFonts w:ascii="Arial" w:hAnsi="Arial" w:cs="Arial"/>
        </w:rPr>
      </w:pPr>
      <w:r w:rsidRPr="00B3024A">
        <w:rPr>
          <w:rFonts w:ascii="Arial" w:hAnsi="Arial" w:cs="Arial"/>
        </w:rPr>
        <w:t>4.</w:t>
      </w:r>
      <w:r w:rsidRPr="00B3024A">
        <w:rPr>
          <w:rFonts w:ascii="Arial" w:hAnsi="Arial" w:cs="Arial"/>
        </w:rPr>
        <w:tab/>
        <w:t xml:space="preserve">Beyer, L., et al., </w:t>
      </w:r>
      <w:r w:rsidRPr="00B3024A">
        <w:rPr>
          <w:rFonts w:ascii="Arial" w:hAnsi="Arial" w:cs="Arial"/>
          <w:i/>
        </w:rPr>
        <w:t>Early-phase [18F]PI-2620 tau-PET imaging as a surrogate marker of neuronal injury.</w:t>
      </w:r>
      <w:r w:rsidRPr="00B3024A">
        <w:rPr>
          <w:rFonts w:ascii="Arial" w:hAnsi="Arial" w:cs="Arial"/>
        </w:rPr>
        <w:t xml:space="preserve"> European Journal of Nuclear Medicine and Molecular Imaging, 2020. </w:t>
      </w:r>
      <w:r w:rsidRPr="00B3024A">
        <w:rPr>
          <w:rFonts w:ascii="Arial" w:hAnsi="Arial" w:cs="Arial"/>
          <w:b/>
        </w:rPr>
        <w:t>47</w:t>
      </w:r>
      <w:r w:rsidRPr="00B3024A">
        <w:rPr>
          <w:rFonts w:ascii="Arial" w:hAnsi="Arial" w:cs="Arial"/>
        </w:rPr>
        <w:t>(12): p. 2911-2922.</w:t>
      </w:r>
    </w:p>
    <w:p w14:paraId="7AB214CB" w14:textId="77777777" w:rsidR="00DF6E6E" w:rsidRPr="00B3024A" w:rsidRDefault="00000000">
      <w:pPr>
        <w:pStyle w:val="EndNoteBibliography"/>
        <w:spacing w:after="0" w:line="480" w:lineRule="auto"/>
        <w:ind w:left="720" w:hanging="720"/>
        <w:rPr>
          <w:rFonts w:ascii="Arial" w:hAnsi="Arial" w:cs="Arial"/>
        </w:rPr>
      </w:pPr>
      <w:r w:rsidRPr="00B3024A">
        <w:rPr>
          <w:rFonts w:ascii="Arial" w:hAnsi="Arial" w:cs="Arial"/>
        </w:rPr>
        <w:t>5.</w:t>
      </w:r>
      <w:r w:rsidRPr="00B3024A">
        <w:rPr>
          <w:rFonts w:ascii="Arial" w:hAnsi="Arial" w:cs="Arial"/>
        </w:rPr>
        <w:tab/>
        <w:t xml:space="preserve">Brendel, M., et al., </w:t>
      </w:r>
      <w:r w:rsidRPr="00B3024A">
        <w:rPr>
          <w:rFonts w:ascii="Arial" w:hAnsi="Arial" w:cs="Arial"/>
          <w:i/>
        </w:rPr>
        <w:t>Assessment of 18F-PI-2620 as a Biomarker in Progressive Supranuclear Palsy.</w:t>
      </w:r>
      <w:r w:rsidRPr="00B3024A">
        <w:rPr>
          <w:rFonts w:ascii="Arial" w:hAnsi="Arial" w:cs="Arial"/>
        </w:rPr>
        <w:t xml:space="preserve"> JAMA Neurology, 2020. </w:t>
      </w:r>
      <w:r w:rsidRPr="00B3024A">
        <w:rPr>
          <w:rFonts w:ascii="Arial" w:hAnsi="Arial" w:cs="Arial"/>
          <w:b/>
        </w:rPr>
        <w:t>77</w:t>
      </w:r>
      <w:r w:rsidRPr="00B3024A">
        <w:rPr>
          <w:rFonts w:ascii="Arial" w:hAnsi="Arial" w:cs="Arial"/>
        </w:rPr>
        <w:t>(11): p. 1408-1419.</w:t>
      </w:r>
    </w:p>
    <w:p w14:paraId="1CD496DA" w14:textId="77777777" w:rsidR="00DF6E6E" w:rsidRPr="00B3024A" w:rsidRDefault="00000000">
      <w:pPr>
        <w:pStyle w:val="EndNoteBibliography"/>
        <w:spacing w:after="0" w:line="480" w:lineRule="auto"/>
        <w:ind w:left="720" w:hanging="720"/>
        <w:rPr>
          <w:rFonts w:ascii="Arial" w:hAnsi="Arial" w:cs="Arial"/>
        </w:rPr>
      </w:pPr>
      <w:r w:rsidRPr="00B3024A">
        <w:rPr>
          <w:rFonts w:ascii="Arial" w:hAnsi="Arial" w:cs="Arial"/>
        </w:rPr>
        <w:t>6.</w:t>
      </w:r>
      <w:r w:rsidRPr="00B3024A">
        <w:rPr>
          <w:rFonts w:ascii="Arial" w:hAnsi="Arial" w:cs="Arial"/>
        </w:rPr>
        <w:tab/>
        <w:t xml:space="preserve">Fleisher, A.S., et al., </w:t>
      </w:r>
      <w:r w:rsidRPr="00B3024A">
        <w:rPr>
          <w:rFonts w:ascii="Arial" w:hAnsi="Arial" w:cs="Arial"/>
          <w:i/>
        </w:rPr>
        <w:t>Positron Emission Tomography Imaging With [18F]flortaucipir and Postmortem Assessment of Alzheimer Disease Neuropathologic Changes.</w:t>
      </w:r>
      <w:r w:rsidRPr="00B3024A">
        <w:rPr>
          <w:rFonts w:ascii="Arial" w:hAnsi="Arial" w:cs="Arial"/>
        </w:rPr>
        <w:t xml:space="preserve"> JAMA Neurol, 2020. </w:t>
      </w:r>
      <w:r w:rsidRPr="00B3024A">
        <w:rPr>
          <w:rFonts w:ascii="Arial" w:hAnsi="Arial" w:cs="Arial"/>
          <w:b/>
        </w:rPr>
        <w:t>77</w:t>
      </w:r>
      <w:r w:rsidRPr="00B3024A">
        <w:rPr>
          <w:rFonts w:ascii="Arial" w:hAnsi="Arial" w:cs="Arial"/>
        </w:rPr>
        <w:t>(7): p. 829-839.</w:t>
      </w:r>
    </w:p>
    <w:p w14:paraId="22ABDA47" w14:textId="77777777" w:rsidR="00DF6E6E" w:rsidRPr="00B3024A" w:rsidRDefault="00000000">
      <w:pPr>
        <w:pStyle w:val="EndNoteBibliography"/>
        <w:spacing w:line="480" w:lineRule="auto"/>
        <w:ind w:left="720" w:hanging="720"/>
        <w:rPr>
          <w:rFonts w:ascii="Arial" w:hAnsi="Arial" w:cs="Arial"/>
        </w:rPr>
      </w:pPr>
      <w:r w:rsidRPr="00B3024A">
        <w:rPr>
          <w:rFonts w:ascii="Arial" w:hAnsi="Arial" w:cs="Arial"/>
        </w:rPr>
        <w:t>7.</w:t>
      </w:r>
      <w:r w:rsidRPr="00B3024A">
        <w:rPr>
          <w:rFonts w:ascii="Arial" w:hAnsi="Arial" w:cs="Arial"/>
        </w:rPr>
        <w:tab/>
        <w:t xml:space="preserve">McKeith, I.G., et al., </w:t>
      </w:r>
      <w:r w:rsidRPr="00B3024A">
        <w:rPr>
          <w:rFonts w:ascii="Arial" w:hAnsi="Arial" w:cs="Arial"/>
          <w:i/>
        </w:rPr>
        <w:t>Diagnosis and management of dementia with Lewy bodies: Fourth consensus report of the DLB Consortium.</w:t>
      </w:r>
      <w:r w:rsidRPr="00B3024A">
        <w:rPr>
          <w:rFonts w:ascii="Arial" w:hAnsi="Arial" w:cs="Arial"/>
        </w:rPr>
        <w:t xml:space="preserve"> Neurology, 2017. </w:t>
      </w:r>
      <w:r w:rsidRPr="00B3024A">
        <w:rPr>
          <w:rFonts w:ascii="Arial" w:hAnsi="Arial" w:cs="Arial"/>
          <w:b/>
        </w:rPr>
        <w:t>89</w:t>
      </w:r>
      <w:r w:rsidRPr="00B3024A">
        <w:rPr>
          <w:rFonts w:ascii="Arial" w:hAnsi="Arial" w:cs="Arial"/>
        </w:rPr>
        <w:t>(1): p. 88-100.</w:t>
      </w:r>
    </w:p>
    <w:p w14:paraId="35E1884C" w14:textId="77777777" w:rsidR="00DF6E6E" w:rsidRPr="00B3024A" w:rsidRDefault="00000000">
      <w:pPr>
        <w:spacing w:line="480" w:lineRule="auto"/>
        <w:rPr>
          <w:rFonts w:ascii="Arial" w:hAnsi="Arial" w:cs="Arial"/>
          <w:bCs/>
          <w:sz w:val="20"/>
          <w:szCs w:val="20"/>
        </w:rPr>
      </w:pPr>
      <w:r w:rsidRPr="00B3024A">
        <w:rPr>
          <w:rFonts w:ascii="Arial" w:hAnsi="Arial" w:cs="Arial"/>
          <w:bCs/>
          <w:sz w:val="20"/>
          <w:szCs w:val="20"/>
        </w:rPr>
        <w:fldChar w:fldCharType="end"/>
      </w:r>
    </w:p>
    <w:sectPr w:rsidR="00DF6E6E" w:rsidRPr="00B3024A">
      <w:foot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5BAAC" w14:textId="77777777" w:rsidR="006460C1" w:rsidRDefault="006460C1">
      <w:pPr>
        <w:spacing w:after="0" w:line="240" w:lineRule="auto"/>
      </w:pPr>
      <w:r>
        <w:separator/>
      </w:r>
    </w:p>
  </w:endnote>
  <w:endnote w:type="continuationSeparator" w:id="0">
    <w:p w14:paraId="0DF1BDCA" w14:textId="77777777" w:rsidR="006460C1" w:rsidRDefault="00646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755058"/>
      <w:docPartObj>
        <w:docPartGallery w:val="Page Numbers (Bottom of Page)"/>
        <w:docPartUnique/>
      </w:docPartObj>
    </w:sdtPr>
    <w:sdtContent>
      <w:p w14:paraId="059CF54C" w14:textId="77777777" w:rsidR="00DF6E6E" w:rsidRDefault="00000000">
        <w:pPr>
          <w:pStyle w:val="Fuzeile"/>
          <w:jc w:val="right"/>
        </w:pPr>
        <w:r>
          <w:fldChar w:fldCharType="begin"/>
        </w:r>
        <w:r>
          <w:instrText>PAGE   \* MERGEFORMAT</w:instrText>
        </w:r>
        <w:r>
          <w:fldChar w:fldCharType="separate"/>
        </w:r>
        <w:r>
          <w:rPr>
            <w:noProof/>
            <w:lang w:val="de-DE"/>
          </w:rPr>
          <w:t>4</w:t>
        </w:r>
        <w:r>
          <w:fldChar w:fldCharType="end"/>
        </w:r>
      </w:p>
    </w:sdtContent>
  </w:sdt>
  <w:p w14:paraId="717B16CF" w14:textId="77777777" w:rsidR="00DF6E6E" w:rsidRDefault="00DF6E6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BF34B" w14:textId="77777777" w:rsidR="006460C1" w:rsidRDefault="006460C1">
      <w:pPr>
        <w:spacing w:after="0" w:line="240" w:lineRule="auto"/>
      </w:pPr>
      <w:r>
        <w:separator/>
      </w:r>
    </w:p>
  </w:footnote>
  <w:footnote w:type="continuationSeparator" w:id="0">
    <w:p w14:paraId="65C286F8" w14:textId="77777777" w:rsidR="006460C1" w:rsidRDefault="006460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de-DE"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vr5pttt9xxa5ef9w9v2v53xrxefsv5a52a&quot;&gt;ATN&lt;record-ids&gt;&lt;item&gt;13&lt;/item&gt;&lt;item&gt;18&lt;/item&gt;&lt;item&gt;26&lt;/item&gt;&lt;item&gt;27&lt;/item&gt;&lt;item&gt;62&lt;/item&gt;&lt;item&gt;65&lt;/item&gt;&lt;item&gt;83&lt;/item&gt;&lt;/record-ids&gt;&lt;/item&gt;&lt;/Libraries&gt;"/>
  </w:docVars>
  <w:rsids>
    <w:rsidRoot w:val="00DF6E6E"/>
    <w:rsid w:val="00182E19"/>
    <w:rsid w:val="002730F0"/>
    <w:rsid w:val="006460C1"/>
    <w:rsid w:val="00B3024A"/>
    <w:rsid w:val="00D5362B"/>
    <w:rsid w:val="00DF6E6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BEF46"/>
  <w15:chartTrackingRefBased/>
  <w15:docId w15:val="{848919F9-0CF3-40B6-BB4C-00A5A0B9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sz w:val="22"/>
      <w:szCs w:val="22"/>
      <w:lang w:val="en-GB"/>
    </w:rPr>
  </w:style>
  <w:style w:type="paragraph" w:styleId="berschrift1">
    <w:name w:val="heading 1"/>
    <w:basedOn w:val="Standard"/>
    <w:next w:val="Standard"/>
    <w:link w:val="berschrift1Zchn"/>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berschrift2">
    <w:name w:val="heading 2"/>
    <w:basedOn w:val="Standard"/>
    <w:next w:val="Standard"/>
    <w:link w:val="berschrift2Zchn"/>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berschrift3">
    <w:name w:val="heading 3"/>
    <w:basedOn w:val="Standard"/>
    <w:next w:val="Standard"/>
    <w:link w:val="berschrift3Zchn"/>
    <w:uiPriority w:val="9"/>
    <w:semiHidden/>
    <w:unhideWhenUsed/>
    <w:qFormat/>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berschrift4">
    <w:name w:val="heading 4"/>
    <w:basedOn w:val="Standard"/>
    <w:next w:val="Standard"/>
    <w:link w:val="berschrift4Zchn"/>
    <w:uiPriority w:val="9"/>
    <w:semiHidden/>
    <w:unhideWhenUsed/>
    <w:qFormat/>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berschrift5">
    <w:name w:val="heading 5"/>
    <w:basedOn w:val="Standard"/>
    <w:next w:val="Standard"/>
    <w:link w:val="berschrift5Zchn"/>
    <w:uiPriority w:val="9"/>
    <w:semiHidden/>
    <w:unhideWhenUsed/>
    <w:qFormat/>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berschrift6">
    <w:name w:val="heading 6"/>
    <w:basedOn w:val="Standard"/>
    <w:next w:val="Standard"/>
    <w:link w:val="berschrift6Zchn"/>
    <w:uiPriority w:val="9"/>
    <w:semiHidden/>
    <w:unhideWhenUsed/>
    <w:qFormat/>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berschrift7">
    <w:name w:val="heading 7"/>
    <w:basedOn w:val="Standard"/>
    <w:next w:val="Standard"/>
    <w:link w:val="berschrift7Zchn"/>
    <w:uiPriority w:val="9"/>
    <w:semiHidden/>
    <w:unhideWhenUsed/>
    <w:qFormat/>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berschrift8">
    <w:name w:val="heading 8"/>
    <w:basedOn w:val="Standard"/>
    <w:next w:val="Standard"/>
    <w:link w:val="berschrift8Zchn"/>
    <w:uiPriority w:val="9"/>
    <w:semiHidden/>
    <w:unhideWhenUsed/>
    <w:qFormat/>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berschrift9">
    <w:name w:val="heading 9"/>
    <w:basedOn w:val="Standard"/>
    <w:next w:val="Standard"/>
    <w:link w:val="berschrift9Zchn"/>
    <w:uiPriority w:val="9"/>
    <w:semiHidden/>
    <w:unhideWhenUsed/>
    <w:qFormat/>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Pr>
      <w:rFonts w:eastAsiaTheme="majorEastAsia" w:cstheme="majorBidi"/>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UntertitelZchn">
    <w:name w:val="Untertitel Zchn"/>
    <w:basedOn w:val="Absatz-Standardschriftart"/>
    <w:link w:val="Untertitel"/>
    <w:uiPriority w:val="1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pPr>
      <w:spacing w:before="160" w:line="278" w:lineRule="auto"/>
      <w:jc w:val="center"/>
    </w:pPr>
    <w:rPr>
      <w:i/>
      <w:iCs/>
      <w:color w:val="404040" w:themeColor="text1" w:themeTint="BF"/>
      <w:sz w:val="24"/>
      <w:szCs w:val="24"/>
      <w:lang w:val="en-US"/>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spacing w:line="278" w:lineRule="auto"/>
      <w:ind w:left="720"/>
      <w:contextualSpacing/>
    </w:pPr>
    <w:rPr>
      <w:sz w:val="24"/>
      <w:szCs w:val="24"/>
      <w:lang w:val="en-US"/>
    </w:r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lang w:val="en-GB"/>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lang w:val="en-GB"/>
    </w:rPr>
  </w:style>
  <w:style w:type="paragraph" w:styleId="berarbeitung">
    <w:name w:val="Revision"/>
    <w:hidden/>
    <w:uiPriority w:val="99"/>
    <w:semiHidden/>
    <w:pPr>
      <w:spacing w:after="0" w:line="240" w:lineRule="auto"/>
    </w:pPr>
    <w:rPr>
      <w:sz w:val="22"/>
      <w:szCs w:val="22"/>
      <w:lang w:val="en-GB"/>
    </w:rPr>
  </w:style>
  <w:style w:type="paragraph" w:styleId="Kopfzeile">
    <w:name w:val="header"/>
    <w:basedOn w:val="Standard"/>
    <w:link w:val="KopfzeileZchn"/>
    <w:uiPriority w:val="99"/>
    <w:unhideWhenUsed/>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Pr>
      <w:sz w:val="22"/>
      <w:szCs w:val="22"/>
      <w:lang w:val="en-GB"/>
    </w:rPr>
  </w:style>
  <w:style w:type="paragraph" w:styleId="Fuzeile">
    <w:name w:val="footer"/>
    <w:basedOn w:val="Standard"/>
    <w:link w:val="FuzeileZchn"/>
    <w:uiPriority w:val="99"/>
    <w:unhideWhenUsed/>
    <w:pPr>
      <w:tabs>
        <w:tab w:val="center" w:pos="4703"/>
        <w:tab w:val="right" w:pos="9406"/>
      </w:tabs>
      <w:spacing w:after="0" w:line="240" w:lineRule="auto"/>
    </w:pPr>
  </w:style>
  <w:style w:type="character" w:customStyle="1" w:styleId="FuzeileZchn">
    <w:name w:val="Fußzeile Zchn"/>
    <w:basedOn w:val="Absatz-Standardschriftart"/>
    <w:link w:val="Fuzeile"/>
    <w:uiPriority w:val="99"/>
    <w:rPr>
      <w:sz w:val="22"/>
      <w:szCs w:val="22"/>
      <w:lang w:val="en-GB"/>
    </w:rPr>
  </w:style>
  <w:style w:type="paragraph" w:customStyle="1" w:styleId="EndNoteBibliographyTitle">
    <w:name w:val="EndNote Bibliography Title"/>
    <w:basedOn w:val="Standard"/>
    <w:link w:val="EndNoteBibliographyTitleZchn"/>
    <w:pPr>
      <w:spacing w:after="0"/>
      <w:jc w:val="center"/>
    </w:pPr>
    <w:rPr>
      <w:rFonts w:ascii="Aptos" w:hAnsi="Aptos"/>
      <w:noProof/>
      <w:lang w:val="en-US"/>
    </w:rPr>
  </w:style>
  <w:style w:type="character" w:customStyle="1" w:styleId="EndNoteBibliographyTitleZchn">
    <w:name w:val="EndNote Bibliography Title Zchn"/>
    <w:basedOn w:val="Absatz-Standardschriftart"/>
    <w:link w:val="EndNoteBibliographyTitle"/>
    <w:rPr>
      <w:rFonts w:ascii="Aptos" w:hAnsi="Aptos"/>
      <w:noProof/>
      <w:sz w:val="22"/>
      <w:szCs w:val="22"/>
    </w:rPr>
  </w:style>
  <w:style w:type="paragraph" w:customStyle="1" w:styleId="EndNoteBibliography">
    <w:name w:val="EndNote Bibliography"/>
    <w:basedOn w:val="Standard"/>
    <w:link w:val="EndNoteBibliographyZchn"/>
    <w:pPr>
      <w:spacing w:line="240" w:lineRule="auto"/>
    </w:pPr>
    <w:rPr>
      <w:rFonts w:ascii="Aptos" w:hAnsi="Aptos"/>
      <w:noProof/>
      <w:lang w:val="en-US"/>
    </w:rPr>
  </w:style>
  <w:style w:type="character" w:customStyle="1" w:styleId="EndNoteBibliographyZchn">
    <w:name w:val="EndNote Bibliography Zchn"/>
    <w:basedOn w:val="Absatz-Standardschriftart"/>
    <w:link w:val="EndNoteBibliography"/>
    <w:rPr>
      <w:rFonts w:ascii="Aptos" w:hAnsi="Aptos"/>
      <w:noProof/>
      <w:sz w:val="22"/>
      <w:szCs w:val="22"/>
    </w:rPr>
  </w:style>
  <w:style w:type="table" w:styleId="Gitternetztabelle1hell">
    <w:name w:val="Grid Table 1 Light"/>
    <w:basedOn w:val="NormaleTabelle"/>
    <w:uiPriority w:val="46"/>
    <w:pPr>
      <w:spacing w:after="0" w:line="240" w:lineRule="auto"/>
    </w:pPr>
    <w:rPr>
      <w:sz w:val="22"/>
      <w:szCs w:val="22"/>
      <w:lang w:val="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3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tiff"/><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3306</Words>
  <Characters>18847</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Sebastian Gnörich</dc:creator>
  <cp:keywords/>
  <dc:description/>
  <cp:lastModifiedBy>Johannes Sebastian Gnörich</cp:lastModifiedBy>
  <cp:revision>4</cp:revision>
  <cp:lastPrinted>2025-04-11T13:53:00Z</cp:lastPrinted>
  <dcterms:created xsi:type="dcterms:W3CDTF">2026-07-14T10:12:00Z</dcterms:created>
  <dcterms:modified xsi:type="dcterms:W3CDTF">2026-07-14T10:16:00Z</dcterms:modified>
</cp:coreProperties>
</file>