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01A5" w:rsidRDefault="00A901A5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A901A5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Supplementary Figure S1. Flow diagram of patient screening and cohort selection.</w:t>
      </w:r>
    </w:p>
    <w:p w:rsidR="00A901A5" w:rsidRDefault="004347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Times New Roman" w:eastAsia="宋体" w:hAnsi="Times New Roman" w:cs="Arial Unicode MS"/>
          <w:noProof/>
          <w:color w:val="000000"/>
          <w:kern w:val="0"/>
          <w:sz w:val="20"/>
          <w:szCs w:val="20"/>
          <w:u w:color="000000"/>
          <w:bdr w:val="nil"/>
        </w:rPr>
        <w:drawing>
          <wp:inline distT="0" distB="0" distL="0" distR="0">
            <wp:extent cx="3229516" cy="4342043"/>
            <wp:effectExtent l="0" t="0" r="0" b="1905"/>
            <wp:docPr id="14628663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66311" name="图片 146286631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" r="36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580" cy="434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01A5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 total of 287 patients were screened, and 45 patients were included in the final analytic cohort according to the predefined eligibility criteria. HBsAg, hepatitis B surface antigen; HBV, hepatitis B virus; HCV, hepatitis C virus; HDV, hepatitis D virus; HIV, human immunodeficiency virus; NA,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nucleos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(t)ide analogue.</w:t>
      </w:r>
    </w:p>
    <w:p w:rsidR="00E85052" w:rsidRPr="00A901A5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85052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Supplementary Figure S</w:t>
      </w:r>
      <w:r w:rsidR="00A901A5"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2</w:t>
      </w: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. </w:t>
      </w:r>
      <w:r w:rsidR="00E85052"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Associations between serum </w:t>
      </w:r>
      <w:proofErr w:type="spellStart"/>
      <w:r w:rsidR="00E85052"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="00F32B7E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and tissue</w:t>
      </w:r>
      <w:r w:rsidR="00E85052"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E85052"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levels</w:t>
      </w:r>
      <w:r w:rsidR="00E85052"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in HBV-related </w:t>
      </w:r>
      <w:proofErr w:type="spellStart"/>
      <w:r w:rsidR="00E85052"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iCCA</w:t>
      </w:r>
      <w:proofErr w:type="spellEnd"/>
      <w:r w:rsidR="00E85052"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p w:rsidR="00A901A5" w:rsidRPr="00564B46" w:rsidRDefault="00330D95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Times New Roman" w:eastAsia="宋体" w:hAnsi="Times New Roman" w:cs="Arial Unicode MS"/>
          <w:noProof/>
          <w:color w:val="000000"/>
          <w:kern w:val="0"/>
          <w:sz w:val="20"/>
          <w:szCs w:val="20"/>
          <w:u w:color="000000"/>
          <w:bdr w:val="nil"/>
        </w:rPr>
        <w:drawing>
          <wp:inline distT="0" distB="0" distL="0" distR="0">
            <wp:extent cx="2586638" cy="2164702"/>
            <wp:effectExtent l="0" t="0" r="4445" b="0"/>
            <wp:docPr id="447422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22704" name="图片 44742270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8" r="50951" b="46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90" cy="2164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B46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(</w:t>
      </w:r>
      <w:proofErr w:type="gram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A,B</w:t>
      </w:r>
      <w:proofErr w:type="gram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) Tumor (A) and adjacent non-tumor tissue (B)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 across serum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groups. Relative expression was calculated using the 2^−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ΔCt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method and displayed on the log₁₀ scale; group comparisons were performed on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ΔCt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values using Welch’s one-way ANOVA. (</w:t>
      </w:r>
      <w:proofErr w:type="gram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C,D</w:t>
      </w:r>
      <w:proofErr w:type="gram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) Spearman correlations of serum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with </w:t>
      </w:r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 xml:space="preserve">tumor (C) and adjacent non-tumor tissue (D)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 among patients with quantifiable serum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(n = 15). Each point represents one patient. BLQ, below the lower limit of quantification.</w:t>
      </w:r>
    </w:p>
    <w:p w:rsidR="00E85052" w:rsidRPr="00564B46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85052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Supplementary Figure S3. Time-varying associations between tumor-tissue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 and postoperative outcomes. </w:t>
      </w:r>
    </w:p>
    <w:p w:rsidR="00A901A5" w:rsidRDefault="00A901A5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Times New Roman" w:eastAsia="宋体" w:hAnsi="Times New Roman" w:cs="Arial Unicode MS" w:hint="eastAsia"/>
          <w:noProof/>
          <w:color w:val="000000"/>
          <w:kern w:val="0"/>
          <w:sz w:val="20"/>
          <w:szCs w:val="20"/>
          <w:u w:color="000000"/>
          <w:bdr w:val="nil"/>
        </w:rPr>
        <w:drawing>
          <wp:inline distT="0" distB="0" distL="0" distR="0">
            <wp:extent cx="2586990" cy="2126512"/>
            <wp:effectExtent l="0" t="0" r="3810" b="0"/>
            <wp:docPr id="12334260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426045" name="图片 123342604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946" b="51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256" cy="2126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B46" w:rsidRPr="00564B46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(</w:t>
      </w:r>
      <w:proofErr w:type="gram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A,C</w:t>
      </w:r>
      <w:proofErr w:type="gram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) Scaled Schoenfeld residual plots for tumor-tissue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in tumor-size-adjusted Cox models for OS (A) and RFS (C); the proportional hazards assumption was violated for tumor</w:t>
      </w:r>
      <w:r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-tissue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(OS, </w:t>
      </w:r>
      <w:r w:rsidRPr="00E85052">
        <w:rPr>
          <w:rFonts w:ascii="Times New Roman" w:eastAsia="宋体" w:hAnsi="Times New Roman" w:cs="Arial Unicode MS"/>
          <w:i/>
          <w:i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= 0.011; RFS, </w:t>
      </w:r>
      <w:r w:rsidRPr="00E85052">
        <w:rPr>
          <w:rFonts w:ascii="Times New Roman" w:eastAsia="宋体" w:hAnsi="Times New Roman" w:cs="Arial Unicode MS"/>
          <w:i/>
          <w:i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= 0.005). (</w:t>
      </w:r>
      <w:proofErr w:type="gram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B,D</w:t>
      </w:r>
      <w:proofErr w:type="gram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) Time-varying HRs for OS (B) and RFS (D) per two-fold increase in tumor</w:t>
      </w:r>
      <w:r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-tissue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expression, adjusted for tumor size. Time interactions were significant for OS (</w:t>
      </w:r>
      <w:r w:rsidRPr="00E85052">
        <w:rPr>
          <w:rFonts w:ascii="Times New Roman" w:eastAsia="宋体" w:hAnsi="Times New Roman" w:cs="Arial Unicode MS"/>
          <w:i/>
          <w:i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= 0.018) and RFS (</w:t>
      </w:r>
      <w:r w:rsidRPr="00E85052">
        <w:rPr>
          <w:rFonts w:ascii="Times New Roman" w:eastAsia="宋体" w:hAnsi="Times New Roman" w:cs="Arial Unicode MS"/>
          <w:i/>
          <w:i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= 0.010). Shaded areas indicate 95% CIs and dashed lines indicate HR = 1.</w:t>
      </w:r>
      <w:r w:rsidR="00687B93" w:rsidRPr="00687B93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RFS was defined as the interval from surgery to the first occurrence of documented recurrence or death from any cause, whichever occurred first; patients alive and recurrence-free were censored at their last valid recurrence-free follow-up.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</w:p>
    <w:p w:rsidR="00564B46" w:rsidRDefault="00564B46" w:rsidP="00564B46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</w:pPr>
    </w:p>
    <w:p w:rsidR="00564B46" w:rsidRPr="00564B46" w:rsidRDefault="00564B46" w:rsidP="00564B46">
      <w:pPr>
        <w:widowControl/>
        <w:spacing w:after="0" w:line="240" w:lineRule="auto"/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</w:pPr>
      <w:r w:rsidRPr="00564B46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Supplementary Table S1. Univariable Cox proportional hazards analyses for overall and recurrence-free survival</w:t>
      </w:r>
      <w:r w:rsidR="00E85052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1804"/>
        <w:gridCol w:w="996"/>
        <w:gridCol w:w="1804"/>
        <w:gridCol w:w="996"/>
      </w:tblGrid>
      <w:tr w:rsidR="00564B46" w:rsidRPr="00564B46" w:rsidTr="00771188">
        <w:trPr>
          <w:trHeight w:val="300"/>
        </w:trPr>
        <w:tc>
          <w:tcPr>
            <w:tcW w:w="270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Variable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 HR (95% CI)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P 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value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 HR (95% CI)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value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</w:t>
            </w:r>
          </w:p>
        </w:tc>
        <w:tc>
          <w:tcPr>
            <w:tcW w:w="1804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1.65 (0.64–4.27)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0.303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1.64 (0.67–4.00)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0.278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7.59 (2.79–20.65)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5.63 (2.15–14.74)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Age, per year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1.02 (0.97–1.07)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0.405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1.00 (0.96–1.05)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0.872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Male vs female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1.33 (0.54–3.27)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0.535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1.51 (0.62–3.66)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0.368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1.22 (1.09–1.37)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1.23 (1.10–1.37)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Multiple vs solitary tumors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1.59 (0.75–3.41)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0.229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1.45 (0.69–3.03)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0.324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 category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T2 vs T1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1.59 (0.60–4.22)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0.356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1.36 (0.53–3.48)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0.525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T3 vs T1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4.80 (1.78–12.92)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0.002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4.20 (1.68–10.53)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0.002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T4 vs T1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7.05 (2.19–22.71)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7.64 (2.44–23.96)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N1 vs N0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2.37 (0.92–6.10)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0.073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2.29 (0.91–5.77)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0.079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AJCC 8th edition stage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Stage II vs Stage I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1.56 (0.50–4.83)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0.440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1.28 (0.43–3.76)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0.659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Stage III vs Stage I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5.78 (2.33–14.32)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4.83 (2.10–11.07)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AFP, per doubling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0.91 (0.71–1.16)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0.439</w:t>
            </w:r>
          </w:p>
        </w:tc>
        <w:tc>
          <w:tcPr>
            <w:tcW w:w="1804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0.86 (0.67–1.10)</w:t>
            </w:r>
          </w:p>
        </w:tc>
        <w:tc>
          <w:tcPr>
            <w:tcW w:w="99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0.234</w:t>
            </w:r>
          </w:p>
        </w:tc>
      </w:tr>
      <w:tr w:rsidR="00564B46" w:rsidRPr="00564B46" w:rsidTr="00771188">
        <w:trPr>
          <w:trHeight w:val="300"/>
        </w:trPr>
        <w:tc>
          <w:tcPr>
            <w:tcW w:w="2706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1.32 (1.11–1.57)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0.001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1.25 (1.06–1.47)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b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0.007</w:t>
            </w:r>
          </w:p>
        </w:tc>
      </w:tr>
    </w:tbl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 xml:space="preserve">Abbreviations: </w:t>
      </w:r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OS, overall survival; RFS, recurrence-free survival; HR, hazard ratio; CI, confidence interval; </w:t>
      </w:r>
      <w:proofErr w:type="spellStart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, </w:t>
      </w:r>
      <w:proofErr w:type="spellStart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pregenomic</w:t>
      </w:r>
      <w:proofErr w:type="spellEnd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RNA; BLQ, below the lower limit of quantification; AJCC, American Joint Committee on Cancer; AFP, alpha-fetoprotein; CA19-9, carbohydrate antigen 19-9.</w:t>
      </w:r>
    </w:p>
    <w:p w:rsidR="00E85052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Notes: </w:t>
      </w:r>
      <w:r w:rsidR="00E85052" w:rsidRPr="00E85052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Reference categories were BLQ, female sex, solitary tumor, T1, N0, and AJCC stage I, as applicable. Tumor size was modeled per 1-cm increase; AFP and CA19-9 were modeled on the log₂ scale and are expressed per doubling.</w:t>
      </w:r>
    </w:p>
    <w:p w:rsidR="00E85052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Cs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Supplementary Table S2. Serum </w:t>
      </w:r>
      <w:proofErr w:type="spellStart"/>
      <w:r w:rsidRPr="00564B46">
        <w:rPr>
          <w:rFonts w:ascii="Times New Roman" w:eastAsia="宋体" w:hAnsi="Times New Roman" w:cs="Arial Unicode MS"/>
          <w:bCs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bCs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characteristics of the five patients included in the IF-FISH analysis</w:t>
      </w:r>
      <w:r w:rsidR="00E85052">
        <w:rPr>
          <w:rFonts w:ascii="Times New Roman" w:eastAsia="宋体" w:hAnsi="Times New Roman" w:cs="Arial Unicode MS"/>
          <w:bCs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1838"/>
        <w:gridCol w:w="1551"/>
      </w:tblGrid>
      <w:tr w:rsidR="00564B46" w:rsidRPr="00564B46" w:rsidTr="00564B46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IF-FISH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case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(copies/mL)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stratum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Case</w:t>
            </w:r>
            <w:r w:rsidR="00E85052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E85052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&lt;100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firstLineChars="300" w:firstLine="480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BLQ 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Case</w:t>
            </w:r>
            <w:r w:rsidR="00E85052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20040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firstLineChars="250" w:firstLine="400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HIGH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Case</w:t>
            </w:r>
            <w:r w:rsidR="00E85052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1924000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firstLineChars="300" w:firstLine="480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Case</w:t>
            </w:r>
            <w:r w:rsidR="00E85052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552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firstLineChars="250" w:firstLine="400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LOW 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Case</w:t>
            </w:r>
            <w:r w:rsidR="00E85052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Times New Roman" w:eastAsia="宋体" w:hAnsi="Times New Roman" w:cs="Arial Unicode MS" w:hint="eastAsia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firstLineChars="250" w:firstLine="400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LOW </w:t>
            </w:r>
          </w:p>
        </w:tc>
      </w:tr>
    </w:tbl>
    <w:p w:rsidR="00E85052" w:rsidRPr="00E85052" w:rsidRDefault="00564B46" w:rsidP="00E85052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Note: </w:t>
      </w:r>
      <w:r w:rsidR="00E85052"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Patient identifiers were anonymized using study case numbers. BLQ, &lt;100 copies/mL; LOW, 100–2700 copies/mL; HIGH, &gt;2700 copies/</w:t>
      </w:r>
      <w:proofErr w:type="spellStart"/>
      <w:r w:rsidR="00E85052"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mL.</w:t>
      </w:r>
      <w:proofErr w:type="spellEnd"/>
      <w:r w:rsidR="00E85052"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The representative IF-FISH image in Fig. 1A was obtained from Case 3 (HIGH).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Supplementary Table S</w:t>
      </w:r>
      <w:r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3</w:t>
      </w: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. Tests of the proportional </w:t>
      </w:r>
      <w:proofErr w:type="gramStart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hazards</w:t>
      </w:r>
      <w:proofErr w:type="gramEnd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assumption for the primary multivariable Cox models</w:t>
      </w:r>
      <w:r w:rsid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  <w:gridCol w:w="738"/>
        <w:gridCol w:w="1244"/>
        <w:gridCol w:w="1244"/>
        <w:gridCol w:w="1244"/>
        <w:gridCol w:w="1244"/>
      </w:tblGrid>
      <w:tr w:rsidR="00564B46" w:rsidRPr="00564B46" w:rsidTr="00771188">
        <w:trPr>
          <w:trHeight w:val="300"/>
        </w:trPr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Variable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proofErr w:type="spell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df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OS </w:t>
            </w: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χ²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OS </w:t>
            </w: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value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RFS </w:t>
            </w: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χ²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RFS </w:t>
            </w: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value</w:t>
            </w:r>
          </w:p>
        </w:tc>
      </w:tr>
      <w:tr w:rsidR="00564B46" w:rsidRPr="00564B46" w:rsidTr="00771188">
        <w:trPr>
          <w:trHeight w:val="280"/>
        </w:trPr>
        <w:tc>
          <w:tcPr>
            <w:tcW w:w="2592" w:type="dxa"/>
            <w:tcBorders>
              <w:top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0.475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0.788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5.561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0.062</w:t>
            </w:r>
          </w:p>
        </w:tc>
      </w:tr>
      <w:tr w:rsidR="00564B46" w:rsidRPr="00564B46" w:rsidTr="00771188">
        <w:trPr>
          <w:trHeight w:val="280"/>
        </w:trPr>
        <w:tc>
          <w:tcPr>
            <w:tcW w:w="2592" w:type="dxa"/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</w:t>
            </w:r>
          </w:p>
        </w:tc>
        <w:tc>
          <w:tcPr>
            <w:tcW w:w="738" w:type="dxa"/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</w:t>
            </w:r>
          </w:p>
        </w:tc>
        <w:tc>
          <w:tcPr>
            <w:tcW w:w="1244" w:type="dxa"/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1.346</w:t>
            </w:r>
          </w:p>
        </w:tc>
        <w:tc>
          <w:tcPr>
            <w:tcW w:w="1244" w:type="dxa"/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0.246</w:t>
            </w:r>
          </w:p>
        </w:tc>
        <w:tc>
          <w:tcPr>
            <w:tcW w:w="1244" w:type="dxa"/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0.138</w:t>
            </w:r>
          </w:p>
        </w:tc>
        <w:tc>
          <w:tcPr>
            <w:tcW w:w="1244" w:type="dxa"/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0.710</w:t>
            </w:r>
          </w:p>
        </w:tc>
      </w:tr>
      <w:tr w:rsidR="00564B46" w:rsidRPr="00564B46" w:rsidTr="00771188">
        <w:trPr>
          <w:trHeight w:val="280"/>
        </w:trPr>
        <w:tc>
          <w:tcPr>
            <w:tcW w:w="2592" w:type="dxa"/>
            <w:tcBorders>
              <w:bottom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Global test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2.780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0.427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5.855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noWrap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0.119</w:t>
            </w:r>
          </w:p>
        </w:tc>
      </w:tr>
    </w:tbl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Abbreviations:</w:t>
      </w:r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OS, overall survival; RFS, recurrence-free survival; </w:t>
      </w:r>
      <w:proofErr w:type="spellStart"/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, </w:t>
      </w:r>
      <w:proofErr w:type="spellStart"/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pregenomic</w:t>
      </w:r>
      <w:proofErr w:type="spellEnd"/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RNA.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Notes:</w:t>
      </w:r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E85052"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The proportional hazards assumption was assessed using Schoenfeld residuals. The serum </w:t>
      </w:r>
      <w:proofErr w:type="spellStart"/>
      <w:r w:rsidR="00E85052"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="00E85052"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group term represents a joint 2-df test of LOW and HIGH versus BLQ.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Supplementary Table S</w:t>
      </w:r>
      <w:r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4</w:t>
      </w: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. Sensitivity analyses of the association between serum </w:t>
      </w:r>
      <w:proofErr w:type="spellStart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and overall and recurrence-free survival</w:t>
      </w:r>
      <w:r w:rsid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2591"/>
        <w:gridCol w:w="2310"/>
        <w:gridCol w:w="1416"/>
        <w:gridCol w:w="947"/>
      </w:tblGrid>
      <w:tr w:rsidR="00564B46" w:rsidRPr="00564B46" w:rsidTr="00771188">
        <w:trPr>
          <w:trHeight w:val="300"/>
        </w:trPr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Endpoint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Sensitivity model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Variable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HR (95% CI)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value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2591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BLQ/LOW + tumor size</w:t>
            </w:r>
          </w:p>
        </w:tc>
        <w:tc>
          <w:tcPr>
            <w:tcW w:w="2310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BLQ/LOW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4.95 (1.82–13.48)</w:t>
            </w:r>
          </w:p>
        </w:tc>
        <w:tc>
          <w:tcPr>
            <w:tcW w:w="947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0.002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1.20 (1.06–1.36)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0.004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Detectable vs BLQ + tumor size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Detectable (LOW/HIGH)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1.94 (0.87–4.32)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0.104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1.18 (1.05–1.33)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0.006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Continuous 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+ tumor size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1.16 (1.07–1.26)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1.17 (1.04–1.33)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 + AJCC stage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2.88 (1.02–8.10)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0.045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7.18 (2.51–20.48)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AJCC stage III vs I–II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5.95 (2.46–14.42)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 + CA19-9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1.40 (0.53–3.75)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0.499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7.35 (2.63–20.51)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1.32 (1.10–1.58)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0.002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 + tumor size + CA19-9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1.26 (0.48–3.32)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0.637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5.04 (1.71–14.85)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0.003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1.19 (1.05–1.36)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0.007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1.33 (1.11–1.60)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0.002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Continuous 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+ tumor size + CA19-9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1.13 (1.04–1.23)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0.004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1.19 (1.05–1.35)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1.28 (1.07–1.54)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BLQ/LOW + tumor size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BLQ/LOW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3.35 (1.29–8.75)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0.013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1.20 (1.06–1.35)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0.003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Detectable vs BLQ + tumor size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Detectable (LOW/HIGH)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1.67 (0.75–3.69)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0.208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1.19 (1.06–1.34)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0.004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Continuous 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+ tumor size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1.14 (1.05–1.25)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0.003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1.17 (1.04–1.32)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0.010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 + AJCC stage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2.61 (1.01–6.74)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0.048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5.41 (2.02–14.46)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AJCC stage III vs I–II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5.22 (2.33–11.68)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 + CA19-9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1.43 (0.57–3.55)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0.447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5.90 (2.24–15.56)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1.27 (1.06–1.50)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group + tumor size + CA19-9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1.15 (0.45–2.91)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0.769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HIGH vs BLQ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3.78 (1.35–10.54)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0.011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1.20 (1.05–1.36)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0.006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1.28 (1.07–1.54)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Continuous 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+ tumor size + CA19-9</w:t>
            </w: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Serum </w:t>
            </w:r>
            <w:proofErr w:type="spellStart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, per doubling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1.14 (1.04–1.24)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0.004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size, per 1-cm increase</w:t>
            </w:r>
          </w:p>
        </w:tc>
        <w:tc>
          <w:tcPr>
            <w:tcW w:w="1416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1.18 (1.04–1.33)</w:t>
            </w:r>
          </w:p>
        </w:tc>
        <w:tc>
          <w:tcPr>
            <w:tcW w:w="947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0.009</w:t>
            </w:r>
          </w:p>
        </w:tc>
      </w:tr>
      <w:tr w:rsidR="00564B46" w:rsidRPr="00564B46" w:rsidTr="00771188">
        <w:trPr>
          <w:trHeight w:val="300"/>
        </w:trPr>
        <w:tc>
          <w:tcPr>
            <w:tcW w:w="1042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591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2310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CA19-9, per doubling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1.25 (1.05–1.48)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0.012</w:t>
            </w:r>
          </w:p>
        </w:tc>
      </w:tr>
    </w:tbl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Abbreviations:</w:t>
      </w:r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OS, overall survival; RFS, recurrence-free survival; HR, hazard ratio; CI, confidence interval; </w:t>
      </w:r>
      <w:proofErr w:type="spellStart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, </w:t>
      </w:r>
      <w:proofErr w:type="spellStart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pregenomic</w:t>
      </w:r>
      <w:proofErr w:type="spellEnd"/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RNA; BLQ, below the lower limit of quantification; AJCC, American Joint Committee on Cancer; CA19-9, carbohydrate antigen 19-9.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Notes:</w:t>
      </w:r>
      <w:r w:rsidRPr="00564B46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E85052" w:rsidRPr="00E85052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BLQ was the reference category for categorical </w:t>
      </w:r>
      <w:proofErr w:type="spellStart"/>
      <w:r w:rsidR="00E85052" w:rsidRPr="00E85052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="00E85052" w:rsidRPr="00E85052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models. HIGH vs BLQ/LOW compares HIGH with the combined BLQ and LOW groups; detectable vs BLQ compares LOW/HIGH with BLQ. Serum </w:t>
      </w:r>
      <w:proofErr w:type="spellStart"/>
      <w:r w:rsidR="00E85052" w:rsidRPr="00E85052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="00E85052" w:rsidRPr="00E85052">
        <w:rPr>
          <w:rFonts w:ascii="Times New Roman" w:eastAsia="宋体" w:hAnsi="Times New Roman" w:cs="Arial Unicode MS"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and CA19-9 were modeled on the log₂ scale; tumor size was modeled per 1-cm increase.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bCs/>
          <w:color w:val="000000"/>
          <w:kern w:val="0"/>
          <w:sz w:val="24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Supplementary Table S</w:t>
      </w:r>
      <w:r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5</w:t>
      </w: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 Restricted mean survival time analyses at 18 and 24 months</w:t>
      </w:r>
      <w:r w:rsid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922"/>
        <w:gridCol w:w="1198"/>
        <w:gridCol w:w="1048"/>
        <w:gridCol w:w="1048"/>
        <w:gridCol w:w="1335"/>
        <w:gridCol w:w="842"/>
        <w:gridCol w:w="983"/>
      </w:tblGrid>
      <w:tr w:rsidR="00564B46" w:rsidRPr="00564B46" w:rsidTr="00771188">
        <w:trPr>
          <w:trHeight w:val="600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Endpoint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τ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(months)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Comparison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RMST, first group (95% CI)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RMST, second group (95% CI)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Difference, second − first (95% CI)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Raw </w:t>
            </w:r>
            <w:r w:rsidRPr="00564B4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value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Holm-adjusted </w:t>
            </w:r>
            <w:r w:rsidRPr="00564B4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value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922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198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LOW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17.23 (16.47–18.00)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16.86 (15.28–18.43)</w:t>
            </w:r>
          </w:p>
        </w:tc>
        <w:tc>
          <w:tcPr>
            <w:tcW w:w="1335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-0.38 (-2.13–1.37)</w:t>
            </w:r>
          </w:p>
        </w:tc>
        <w:tc>
          <w:tcPr>
            <w:tcW w:w="842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0.672</w:t>
            </w:r>
          </w:p>
        </w:tc>
        <w:tc>
          <w:tcPr>
            <w:tcW w:w="983" w:type="dxa"/>
            <w:tcBorders>
              <w:top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0.672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lastRenderedPageBreak/>
              <w:t>OS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17.23 (16.47–18.00)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12.95 (10.11–15.80)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-4.28 (-7.23–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-1.33)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0.004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0.013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16.86 (15.28–18.43)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12.95 (10.11–15.80)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-3.90 (-7.16–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-0.65)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0.019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0.038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LOW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16.21 (14.86–17.55)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16.83 (15.22–18.45)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0.63 (-1.47–2.73)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0.559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0.559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16.21 (14.86–17.55)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11.49 (7.91–15.07)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-4.72 (-8.54–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-0.89)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0.016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0.031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16.83 (15.22–18.45)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11.49 (7.91–15.07)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-5.34 (-9.27–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-1.41)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0.023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LOW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21.92 (20.38–23.47)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21.09 (17.78–24.39)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-0.84 (-4.49–2.81)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0.652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0.652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21.92 (20.38–23.47)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13.85 (9.92–17.79)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-8.07 (-12.30–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-3.84)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&lt;0.001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21.09 (17.78–24.39)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13.85 (9.92–17.79)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-7.23 (-12.37–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-2.09)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0.006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0.012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LOW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20.01 (17.85–22.17)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21.13 (17.77–24.50)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1.12 (-2.87–5.12)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0.582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0.582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92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</w:t>
            </w:r>
          </w:p>
        </w:tc>
        <w:tc>
          <w:tcPr>
            <w:tcW w:w="119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BLQ vs HIGH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20.01 (17.85–22.17)</w:t>
            </w:r>
          </w:p>
        </w:tc>
        <w:tc>
          <w:tcPr>
            <w:tcW w:w="1048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12.35 (7.72–16.97)</w:t>
            </w:r>
          </w:p>
        </w:tc>
        <w:tc>
          <w:tcPr>
            <w:tcW w:w="1335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-7.67 (-12.77–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-2.56)</w:t>
            </w:r>
          </w:p>
        </w:tc>
        <w:tc>
          <w:tcPr>
            <w:tcW w:w="842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0.003</w:t>
            </w:r>
          </w:p>
        </w:tc>
        <w:tc>
          <w:tcPr>
            <w:tcW w:w="983" w:type="dxa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</w:tr>
      <w:tr w:rsidR="00564B46" w:rsidRPr="00564B46" w:rsidTr="00771188">
        <w:trPr>
          <w:trHeight w:val="300"/>
        </w:trPr>
        <w:tc>
          <w:tcPr>
            <w:tcW w:w="930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LOW vs HIGH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21.13 (17.77–24.50)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12.35 (7.72–16.97)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-8.79 (-14.50–</w:t>
            </w:r>
            <w:r w:rsidRPr="00564B46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</w:t>
            </w: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-3.07)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0.003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0.008</w:t>
            </w:r>
          </w:p>
        </w:tc>
      </w:tr>
    </w:tbl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Abbreviations:</w:t>
      </w:r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OS, overall survival; RFS, recurrence-free survival; RMST, restricted mean survival time; CI, confidence interval; BLQ, below the lower limit of quantification.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Notes:</w:t>
      </w:r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RMST was estimated at truncation times of 18 and 24 months. RMST differences were calculated as the second-listed group minus the first-listed group. </w:t>
      </w:r>
      <w:r w:rsidRPr="00564B46">
        <w:rPr>
          <w:rFonts w:ascii="Times New Roman" w:eastAsia="宋体" w:hAnsi="Times New Roman" w:cs="Arial Unicode MS"/>
          <w:i/>
          <w:i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</w:t>
      </w:r>
      <w:r w:rsidRPr="00564B46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values were adjusted for the three pairwise comparisons within each endpoint and truncation time using the Holm method.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Supplementary Table S</w:t>
      </w:r>
      <w:r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6</w:t>
      </w: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. Conventional Cox regression analyses of tissue </w:t>
      </w:r>
      <w:proofErr w:type="spellStart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 and postoperative outcomes</w:t>
      </w:r>
      <w:r w:rsid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8"/>
        <w:gridCol w:w="647"/>
        <w:gridCol w:w="1529"/>
        <w:gridCol w:w="420"/>
        <w:gridCol w:w="1414"/>
        <w:gridCol w:w="420"/>
        <w:gridCol w:w="1286"/>
        <w:gridCol w:w="1052"/>
      </w:tblGrid>
      <w:tr w:rsidR="00564B46" w:rsidRPr="00564B46" w:rsidTr="00564B4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Tissue 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Endpoint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Univariable 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Adjusted HR (95% </w:t>
            </w:r>
            <w:proofErr w:type="gram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CI)†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PH test for </w:t>
            </w:r>
            <w:proofErr w:type="spell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pgRNA</w:t>
            </w:r>
            <w:proofErr w:type="spellEnd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, </w:t>
            </w: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Global PH test, </w:t>
            </w: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tissue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1.05 (0.91–1.20)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0.523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1.02 (0.89–1.17)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0.779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0.011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0.021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tissue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1.12 (0.98–1.28)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0.108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1.08 (0.94–1.23)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0.271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0.005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0.019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Adjacent non-tumor tissue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1.30 (1.03–1.66)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0.030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1.25 (0.95–1.66)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0.117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0.826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0.263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Adjacent non-tumor tissue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1.29 (1.02–1.62)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0.030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1.24 (0.95–1.61)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0.112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0.479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0.767</w:t>
            </w:r>
          </w:p>
        </w:tc>
      </w:tr>
    </w:tbl>
    <w:p w:rsidR="00564B46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E85052">
        <w:rPr>
          <w:rFonts w:ascii="Times New Roman" w:eastAsia="宋体" w:hAnsi="Times New Roman" w:cs="Times New Roman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Notes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: 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HRs are expressed per two-fold increase in tissue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expression. Adjusted models included tumor size. The PH assumption was assessed using Schoenfeld residuals. Because the PH assumption was violated for tumor-tissue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conventional Cox estimates should not be interpreted as constant effects over follow-up; time-varying analyses are shown in Supplementary Table S7.</w:t>
      </w:r>
    </w:p>
    <w:p w:rsidR="00E85052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Supplementary Table S</w:t>
      </w:r>
      <w:r>
        <w:rPr>
          <w:rFonts w:ascii="Times New Roman" w:eastAsia="宋体" w:hAnsi="Times New Roman" w:cs="Arial Unicode MS" w:hint="eastAsia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7</w:t>
      </w:r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. Time-varying association between tumor-tissue </w:t>
      </w:r>
      <w:proofErr w:type="spellStart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564B46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expression and postoperative outcomes</w:t>
      </w:r>
      <w:r w:rsidR="00E85052">
        <w:rPr>
          <w:rFonts w:ascii="Times New Roman" w:eastAsia="宋体" w:hAnsi="Times New Roman" w:cs="Arial Unicode MS"/>
          <w:color w:val="000000"/>
          <w:kern w:val="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p w:rsidR="00564B46" w:rsidRP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Panel A. Time-varying coefficient Cox models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1860"/>
        <w:gridCol w:w="420"/>
        <w:gridCol w:w="1820"/>
        <w:gridCol w:w="1429"/>
        <w:gridCol w:w="1680"/>
        <w:gridCol w:w="435"/>
      </w:tblGrid>
      <w:tr w:rsidR="00564B46" w:rsidRPr="00564B46" w:rsidTr="00564B46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Endpoint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HR at 12 months (95% </w:t>
            </w:r>
            <w:proofErr w:type="gramStart"/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CI)†</w:t>
            </w:r>
            <w:proofErr w:type="gram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Time-varying coefficient, β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for time interaction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Tumor size HR (95% CI)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1.27 (1.01–1.61)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−0.367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0.018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1.20 (1.07–1.34)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0.002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1.27 (1.05–1.54)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0.016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−0.336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0.010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1.18 (1.05–1.32)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0.005</w:t>
            </w:r>
          </w:p>
        </w:tc>
      </w:tr>
    </w:tbl>
    <w:p w:rsid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Panel B. Estimated time-specific HRs for tumor-tissue </w:t>
      </w:r>
      <w:proofErr w:type="spellStart"/>
      <w:r w:rsidRPr="00564B46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1167"/>
        <w:gridCol w:w="1262"/>
      </w:tblGrid>
      <w:tr w:rsidR="00564B46" w:rsidRPr="00564B46" w:rsidTr="00564B4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Time after surgery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 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 HR (95% CI)</w:t>
            </w:r>
          </w:p>
        </w:tc>
      </w:tr>
      <w:tr w:rsidR="00564B46" w:rsidRP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1.64 (1.08–2.50)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1.60 (1.14–2.26)</w:t>
            </w:r>
          </w:p>
        </w:tc>
      </w:tr>
      <w:tr w:rsidR="00564B46" w:rsidRP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1.27 (1.01–1.61)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1.27 (1.05–1.54)</w:t>
            </w:r>
          </w:p>
        </w:tc>
      </w:tr>
      <w:tr w:rsidR="00564B46" w:rsidRP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1.10 (0.94–1.28)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1.11 (0.96–1.28)</w:t>
            </w:r>
          </w:p>
        </w:tc>
      </w:tr>
      <w:tr w:rsidR="00564B46" w:rsidRP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24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0.99 (0.85–1.14)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1.01 (0.87–1.16)</w:t>
            </w:r>
          </w:p>
        </w:tc>
      </w:tr>
      <w:tr w:rsidR="00564B46" w:rsidRP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36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0.85 (0.69–1.04)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0.88 (0.72–1.07)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48 months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0.76 (0.58–1.01)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0.80 (0.62–1.03)</w:t>
            </w:r>
          </w:p>
        </w:tc>
      </w:tr>
    </w:tbl>
    <w:p w:rsidR="00564B46" w:rsidRDefault="00564B46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64B46"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Panel C. 24-month piecewise Cox sensitivity analysis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1176"/>
        <w:gridCol w:w="2162"/>
        <w:gridCol w:w="420"/>
        <w:gridCol w:w="1963"/>
      </w:tblGrid>
      <w:tr w:rsidR="00564B46" w:rsidRPr="00564B46" w:rsidTr="00564B4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Endpoint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Follow-up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HR per 2-fold increase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</w:t>
            </w: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for early-vs-late interaction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OS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0–24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1.21 (0.98–1.48)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0.070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0.006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&gt;24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0.85 (0.70–1.04)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0.117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RFS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0–24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1.19 (0.98–1.43)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0.072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0.091</w:t>
            </w:r>
          </w:p>
        </w:tc>
      </w:tr>
      <w:tr w:rsidR="00564B46" w:rsidRPr="00564B46" w:rsidTr="00564B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&gt;24 months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0.92 (0.73–1.15)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564B46"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0.442</w:t>
            </w:r>
          </w:p>
        </w:tc>
        <w:tc>
          <w:tcPr>
            <w:tcW w:w="0" w:type="auto"/>
            <w:vAlign w:val="center"/>
            <w:hideMark/>
          </w:tcPr>
          <w:p w:rsidR="00564B46" w:rsidRPr="00564B46" w:rsidRDefault="00564B46" w:rsidP="00564B4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宋体" w:hAnsi="Times New Roman" w:cs="Arial Unicode MS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</w:tc>
      </w:tr>
    </w:tbl>
    <w:p w:rsidR="00564B46" w:rsidRPr="00564B46" w:rsidRDefault="00E85052" w:rsidP="00564B4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宋体" w:hAnsi="Times New Roman" w:cs="Arial Unicode MS"/>
          <w:color w:val="000000"/>
          <w:kern w:val="0"/>
          <w:sz w:val="18"/>
          <w:szCs w:val="1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E85052">
        <w:rPr>
          <w:rFonts w:ascii="Times New Roman" w:eastAsia="宋体" w:hAnsi="Times New Roman" w:cs="Arial Unicode MS"/>
          <w:b/>
          <w:bCs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Notes:</w:t>
      </w:r>
      <w:r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E85052">
        <w:rPr>
          <w:rFonts w:ascii="Times New Roman" w:eastAsia="宋体" w:hAnsi="Times New Roman" w:cs="Arial Unicode MS" w:hint="eastAsia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umor</w:t>
      </w:r>
      <w:r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-tissue</w:t>
      </w:r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proofErr w:type="spellStart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pgRNA</w:t>
      </w:r>
      <w:proofErr w:type="spellEnd"/>
      <w:r w:rsidRPr="00E85052">
        <w:rPr>
          <w:rFonts w:ascii="Times New Roman" w:eastAsia="宋体" w:hAnsi="Times New Roman" w:cs="Arial Unicode MS"/>
          <w:color w:val="000000"/>
          <w:kern w:val="0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was modeled as log₂-transformed relative expression; HRs therefore represent the change in hazard per two-fold increase. Time-varying Cox models were adjusted for tumor size and specified β(t) = β₁₂ + βtime × log(t/12). Time-specific HRs were derived from the same fitted model. The 24-month piecewise Cox model was performed as a sensitivity analysis. HRs &lt;1 during later follow-up should not be interpreted as protective because their 95% CIs included 1.</w:t>
      </w:r>
    </w:p>
    <w:sectPr w:rsidR="00564B46" w:rsidRPr="00564B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B6"/>
    <w:rsid w:val="0002190F"/>
    <w:rsid w:val="00025655"/>
    <w:rsid w:val="00033E77"/>
    <w:rsid w:val="00057A09"/>
    <w:rsid w:val="000608AA"/>
    <w:rsid w:val="00091A35"/>
    <w:rsid w:val="000E24A2"/>
    <w:rsid w:val="00111FA9"/>
    <w:rsid w:val="001230C4"/>
    <w:rsid w:val="00132868"/>
    <w:rsid w:val="00165636"/>
    <w:rsid w:val="001A79F2"/>
    <w:rsid w:val="001C2160"/>
    <w:rsid w:val="001E32A3"/>
    <w:rsid w:val="001E6E15"/>
    <w:rsid w:val="00232390"/>
    <w:rsid w:val="00261210"/>
    <w:rsid w:val="002C2C95"/>
    <w:rsid w:val="002E7254"/>
    <w:rsid w:val="00302AFF"/>
    <w:rsid w:val="0030331B"/>
    <w:rsid w:val="00327050"/>
    <w:rsid w:val="00330D95"/>
    <w:rsid w:val="00364588"/>
    <w:rsid w:val="003B69FA"/>
    <w:rsid w:val="00434752"/>
    <w:rsid w:val="00456F42"/>
    <w:rsid w:val="00475FCB"/>
    <w:rsid w:val="00492D52"/>
    <w:rsid w:val="004A0975"/>
    <w:rsid w:val="004A675F"/>
    <w:rsid w:val="004A6766"/>
    <w:rsid w:val="004D0C93"/>
    <w:rsid w:val="00515F28"/>
    <w:rsid w:val="00524ECD"/>
    <w:rsid w:val="005463C7"/>
    <w:rsid w:val="005545D8"/>
    <w:rsid w:val="00556CA2"/>
    <w:rsid w:val="00564B46"/>
    <w:rsid w:val="005751E3"/>
    <w:rsid w:val="0058524E"/>
    <w:rsid w:val="00586183"/>
    <w:rsid w:val="005908A8"/>
    <w:rsid w:val="0059342D"/>
    <w:rsid w:val="005C681D"/>
    <w:rsid w:val="00610F36"/>
    <w:rsid w:val="006309EF"/>
    <w:rsid w:val="006419D8"/>
    <w:rsid w:val="00677BDE"/>
    <w:rsid w:val="006803FD"/>
    <w:rsid w:val="00687B93"/>
    <w:rsid w:val="007441FF"/>
    <w:rsid w:val="007944BB"/>
    <w:rsid w:val="007A63FE"/>
    <w:rsid w:val="007E1280"/>
    <w:rsid w:val="007F1328"/>
    <w:rsid w:val="007F3063"/>
    <w:rsid w:val="00815F72"/>
    <w:rsid w:val="008324E2"/>
    <w:rsid w:val="00854AE4"/>
    <w:rsid w:val="00884370"/>
    <w:rsid w:val="008D167E"/>
    <w:rsid w:val="008F7F61"/>
    <w:rsid w:val="009254CC"/>
    <w:rsid w:val="00926584"/>
    <w:rsid w:val="00973D5F"/>
    <w:rsid w:val="009B0C46"/>
    <w:rsid w:val="009B30A9"/>
    <w:rsid w:val="009E7080"/>
    <w:rsid w:val="00A12A33"/>
    <w:rsid w:val="00A80284"/>
    <w:rsid w:val="00A901A5"/>
    <w:rsid w:val="00AA42B0"/>
    <w:rsid w:val="00AA577D"/>
    <w:rsid w:val="00AF0221"/>
    <w:rsid w:val="00AF4C91"/>
    <w:rsid w:val="00B72D28"/>
    <w:rsid w:val="00B741ED"/>
    <w:rsid w:val="00B852F4"/>
    <w:rsid w:val="00B953EA"/>
    <w:rsid w:val="00BB6C2D"/>
    <w:rsid w:val="00BD45F0"/>
    <w:rsid w:val="00BE0036"/>
    <w:rsid w:val="00BF793F"/>
    <w:rsid w:val="00C00C07"/>
    <w:rsid w:val="00C05918"/>
    <w:rsid w:val="00C07FF3"/>
    <w:rsid w:val="00C3524A"/>
    <w:rsid w:val="00C60C42"/>
    <w:rsid w:val="00C65BB6"/>
    <w:rsid w:val="00C95B6A"/>
    <w:rsid w:val="00D65BE9"/>
    <w:rsid w:val="00D73401"/>
    <w:rsid w:val="00DA53E6"/>
    <w:rsid w:val="00DC0A4D"/>
    <w:rsid w:val="00DD19A8"/>
    <w:rsid w:val="00DF44DA"/>
    <w:rsid w:val="00E85052"/>
    <w:rsid w:val="00E862C1"/>
    <w:rsid w:val="00EA2243"/>
    <w:rsid w:val="00EA43CD"/>
    <w:rsid w:val="00EB7EEC"/>
    <w:rsid w:val="00EC4C89"/>
    <w:rsid w:val="00EE59F0"/>
    <w:rsid w:val="00F3179E"/>
    <w:rsid w:val="00F32B7E"/>
    <w:rsid w:val="00F433F4"/>
    <w:rsid w:val="00F95292"/>
    <w:rsid w:val="00FA4E82"/>
    <w:rsid w:val="00FD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3C54"/>
  <w15:chartTrackingRefBased/>
  <w15:docId w15:val="{E215AEFE-8346-6349-AA65-35DE271B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5B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65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B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BB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BB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BB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BB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BB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BB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5B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C65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5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5BB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5BB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5BB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5B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5B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5B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5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5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65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5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65B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5B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5B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5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65B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5BB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111F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Normal (Web)"/>
    <w:basedOn w:val="a"/>
    <w:uiPriority w:val="99"/>
    <w:semiHidden/>
    <w:unhideWhenUsed/>
    <w:rsid w:val="001E32A3"/>
    <w:rPr>
      <w:rFonts w:ascii="Times New Roman" w:hAnsi="Times New Roman" w:cs="Times New Roman"/>
      <w:sz w:val="24"/>
    </w:rPr>
  </w:style>
  <w:style w:type="character" w:styleId="af">
    <w:name w:val="Hyperlink"/>
    <w:basedOn w:val="a0"/>
    <w:uiPriority w:val="99"/>
    <w:unhideWhenUsed/>
    <w:rsid w:val="00EE59F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E59F0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EC4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ibliography"/>
    <w:basedOn w:val="a"/>
    <w:next w:val="a"/>
    <w:uiPriority w:val="37"/>
    <w:unhideWhenUsed/>
    <w:rsid w:val="009B0C46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1765</Words>
  <Characters>10065</Characters>
  <Application>Microsoft Office Word</Application>
  <DocSecurity>0</DocSecurity>
  <Lines>83</Lines>
  <Paragraphs>23</Paragraphs>
  <ScaleCrop>false</ScaleCrop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 田</dc:creator>
  <cp:keywords/>
  <dc:description/>
  <cp:lastModifiedBy>toma 田</cp:lastModifiedBy>
  <cp:revision>9</cp:revision>
  <dcterms:created xsi:type="dcterms:W3CDTF">2026-08-25T09:18:00Z</dcterms:created>
  <dcterms:modified xsi:type="dcterms:W3CDTF">2026-08-25T14:38:00Z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zotero-version="9.0.4"&gt;&lt;session id="QQTIuwOn"/&gt;&lt;style id="http://www.zotero.org/styles/biomed-central" hasBibliography="1" bibliographyStyleHasBeenSet="1"/&gt;&lt;prefs&gt;&lt;pref name="fieldType" value="Field"/&gt;&lt;/prefs&gt;&lt;/data&gt;</vt:lpwstr>
  </property>
  <property fmtid="{D5CDD505-2E9C-101B-9397-08002B2CF9AE}" pid="3" name="ZOTERO_PREF_2">
    <vt:lpwstr/>
  </property>
</Properties>
</file>