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3652" w:tblpY="2543"/>
        <w:tblOverlap w:val="never"/>
        <w:tblW w:w="57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2"/>
        <w:gridCol w:w="1686"/>
      </w:tblGrid>
      <w:tr w14:paraId="3F980C76">
        <w:tc>
          <w:tcPr>
            <w:tcW w:w="40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5C06D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Characteristics</w:t>
            </w:r>
          </w:p>
        </w:tc>
        <w:tc>
          <w:tcPr>
            <w:tcW w:w="1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611FC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(%)</w:t>
            </w:r>
          </w:p>
        </w:tc>
      </w:tr>
      <w:tr w14:paraId="6BC12589">
        <w:tc>
          <w:tcPr>
            <w:tcW w:w="40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0A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Sex</w:t>
            </w:r>
          </w:p>
        </w:tc>
        <w:tc>
          <w:tcPr>
            <w:tcW w:w="16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D9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</w:p>
        </w:tc>
      </w:tr>
      <w:tr w14:paraId="03879386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656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Male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EF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89 (71.2%)</w:t>
            </w:r>
          </w:p>
        </w:tc>
      </w:tr>
      <w:tr w14:paraId="395C40E4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D36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Female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25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36 (28.8%)</w:t>
            </w:r>
          </w:p>
        </w:tc>
      </w:tr>
      <w:tr w14:paraId="1D83964D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65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Age (year,median (IQR) 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7C4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2"/>
                <w:szCs w:val="22"/>
                <w:lang w:val="en-US" w:eastAsia="zh-CN"/>
              </w:rPr>
              <w:t xml:space="preserve">63.4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± </w:t>
            </w:r>
            <w:r>
              <w:rPr>
                <w:rFonts w:hint="eastAsia" w:ascii="Times New Roman Regular" w:hAnsi="Times New Roman Regular" w:eastAsia="宋体" w:cs="Times New Roman Regular"/>
                <w:sz w:val="22"/>
                <w:szCs w:val="22"/>
                <w:lang w:val="en-US" w:eastAsia="zh-CN"/>
              </w:rPr>
              <w:t>7.64</w:t>
            </w:r>
          </w:p>
        </w:tc>
      </w:tr>
      <w:tr w14:paraId="0A85CF59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B4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Marital status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F5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</w:p>
        </w:tc>
      </w:tr>
      <w:tr w14:paraId="36688205">
        <w:trPr>
          <w:trHeight w:val="81" w:hRule="atLeast"/>
        </w:trPr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2FC9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Single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F5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2.4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687389E8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DE85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Married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23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122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97.6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711DB49C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02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Occupation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0F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sz w:val="22"/>
                <w:szCs w:val="22"/>
                <w:lang w:val="en-US" w:eastAsia="zh-CN"/>
              </w:rPr>
            </w:pPr>
          </w:p>
        </w:tc>
      </w:tr>
      <w:tr w14:paraId="3D247424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B5B6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"/>
              </w:rPr>
              <w:t>Worker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9B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2"/>
                <w:szCs w:val="22"/>
                <w:lang w:val="en-US" w:eastAsia="zh-CN"/>
              </w:rPr>
              <w:t xml:space="preserve">25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20.0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2C14E98C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F00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Farmer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E7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2"/>
                <w:szCs w:val="22"/>
                <w:lang w:val="en-US" w:eastAsia="zh-CN"/>
              </w:rPr>
              <w:t xml:space="preserve">26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20.8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7E01ED70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F993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"/>
              </w:rPr>
              <w:t>Teacher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C7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3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2.4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701799F6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6F3B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Management/technical personnel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07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6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4.8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30FDB663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A8CC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Doctor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5D4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4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3.2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4637056E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1E0D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Student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83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0.0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21A60C12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58F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2"/>
                <w:szCs w:val="22"/>
                <w:lang w:val="en-US" w:eastAsia="zh-CN" w:bidi="ar"/>
              </w:rPr>
              <w:t>Freelancer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F6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61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48.8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7704C27F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F0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Education level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8A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</w:p>
        </w:tc>
      </w:tr>
      <w:tr w14:paraId="22299BE1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8A3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2"/>
                <w:szCs w:val="22"/>
                <w:lang w:val="en-US" w:eastAsia="zh-CN" w:bidi="ar"/>
              </w:rPr>
              <w:t>Compulsory education stage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5D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87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69.6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4C01DCCB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18AF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High school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31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28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(2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19F21106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1E1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College and above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AA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2"/>
                <w:szCs w:val="22"/>
                <w:lang w:val="en-US" w:eastAsia="zh-CN"/>
              </w:rPr>
              <w:t>10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8.0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04F12ACB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9F4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Gastrointestinal symptoms within last 1 year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6A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</w:p>
        </w:tc>
      </w:tr>
      <w:tr w14:paraId="1FFD7962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C5F6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No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F0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36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28.8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7A62382D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BC78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Yes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D8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89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71.2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0D9A661C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350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Helicobacter pylori status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4B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</w:p>
        </w:tc>
      </w:tr>
      <w:tr w14:paraId="2C853606">
        <w:trPr>
          <w:trHeight w:val="90" w:hRule="atLeast"/>
        </w:trPr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6D5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N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egative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10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7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5.6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7D12BA64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BD0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P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ositive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11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18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94.3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1E7C5C09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325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Atrophic gastritis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13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</w:p>
        </w:tc>
      </w:tr>
      <w:tr w14:paraId="35B8E4C6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563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/>
              </w:rPr>
              <w:t>Mild (C0,C1)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4C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23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18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306570A6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22B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/>
              </w:rPr>
              <w:t>Moderate (C2,C3)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18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54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(43.2%)</w:t>
            </w:r>
          </w:p>
        </w:tc>
      </w:tr>
      <w:tr w14:paraId="38685E73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197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/>
              </w:rPr>
              <w:t>Severe (O1,O2,O3)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B7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48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(38.4%)</w:t>
            </w:r>
          </w:p>
        </w:tc>
      </w:tr>
      <w:tr w14:paraId="2B72B2B1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2C7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22"/>
                <w:szCs w:val="22"/>
                <w:lang w:val="en-U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No. of infected family members 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26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</w:p>
        </w:tc>
      </w:tr>
      <w:tr w14:paraId="2EEEF3DC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021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AE3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  <w:t>5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(4.0%)</w:t>
            </w:r>
          </w:p>
        </w:tc>
      </w:tr>
      <w:tr w14:paraId="66F6A407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745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CB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  <w:t>44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(35.2%)</w:t>
            </w:r>
          </w:p>
        </w:tc>
      </w:tr>
      <w:tr w14:paraId="2E3973A1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C2C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FB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  <w:t>42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(33.6%)</w:t>
            </w:r>
          </w:p>
        </w:tc>
      </w:tr>
      <w:tr w14:paraId="209AE124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57B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A8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  <w:t>18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4.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78D70B34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9F2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69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  <w:t>11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(8.8%)</w:t>
            </w:r>
          </w:p>
        </w:tc>
      </w:tr>
      <w:tr w14:paraId="57B3C4C2"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127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54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  <w:t>3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(2.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%)</w:t>
            </w:r>
          </w:p>
        </w:tc>
      </w:tr>
      <w:tr w14:paraId="0961B4B4">
        <w:tc>
          <w:tcPr>
            <w:tcW w:w="40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57D05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E63F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bidi="ar"/>
              </w:rPr>
              <w:t>2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.6%)</w:t>
            </w:r>
          </w:p>
        </w:tc>
      </w:tr>
    </w:tbl>
    <w:p w14:paraId="43668BD9">
      <w:pPr>
        <w:rPr>
          <w:rFonts w:hint="default"/>
          <w:lang w:val="en-US"/>
        </w:rPr>
      </w:pPr>
    </w:p>
    <w:p w14:paraId="4DFF33FF">
      <w:pPr>
        <w:keepNext w:val="0"/>
        <w:keepLines w:val="0"/>
        <w:widowControl/>
        <w:suppressLineNumbers w:val="0"/>
        <w:jc w:val="left"/>
        <w:rPr>
          <w:rFonts w:hint="default"/>
          <w:sz w:val="24"/>
          <w:szCs w:val="24"/>
          <w:lang w:val="en-US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Table</w:t>
      </w: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 xml:space="preserve"> 1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.</w:t>
      </w: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Baseline Characteristics of 125 Early Gastric Cancer Patients.</w:t>
      </w:r>
    </w:p>
    <w:p w14:paraId="4A30BFF1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47DF423A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5B62A711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6779726F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1ADA054E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4603397F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0EFB0888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1C70FE10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3D5B0014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6F270C8C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10162ECD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75ECBF0B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59036293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47643633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0038B4BE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6A573A1D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3801CA36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7F8D9D10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5E486F9D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7878D41A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48CCA3E1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169B3595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20C55EC5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4D3FC1C3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28611AB4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686C9571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5E0C26DB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6D4AA295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777FB875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2A2B8DB7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3D83F03C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4B53FE94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5003524D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43382324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3EA20B9D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73D61996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0E12CBE8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55981059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14FD93E3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624B1E16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Table</w:t>
      </w: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 xml:space="preserve"> 2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. Count-model sensitivity analyses for the association between the current H. pylori infection status of the EGC index patient and the number of infected family members.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7"/>
        <w:gridCol w:w="1542"/>
        <w:gridCol w:w="1844"/>
        <w:gridCol w:w="2939"/>
      </w:tblGrid>
      <w:tr w14:paraId="73783392">
        <w:tc>
          <w:tcPr>
            <w:tcW w:w="2260" w:type="dxa"/>
            <w:tcBorders>
              <w:top w:val="single" w:color="auto" w:sz="4" w:space="0"/>
              <w:bottom w:val="single" w:color="auto" w:sz="4" w:space="0"/>
            </w:tcBorders>
          </w:tcPr>
          <w:p w14:paraId="062C914C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  <w:t>Model</w:t>
            </w:r>
          </w:p>
        </w:tc>
        <w:tc>
          <w:tcPr>
            <w:tcW w:w="1654" w:type="dxa"/>
            <w:tcBorders>
              <w:top w:val="single" w:color="auto" w:sz="4" w:space="0"/>
              <w:bottom w:val="single" w:color="auto" w:sz="4" w:space="0"/>
            </w:tcBorders>
          </w:tcPr>
          <w:p w14:paraId="33524C99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  <w:t>Effect measure</w:t>
            </w:r>
          </w:p>
        </w:tc>
        <w:tc>
          <w:tcPr>
            <w:tcW w:w="1957" w:type="dxa"/>
            <w:tcBorders>
              <w:top w:val="single" w:color="auto" w:sz="4" w:space="0"/>
              <w:bottom w:val="single" w:color="auto" w:sz="4" w:space="0"/>
            </w:tcBorders>
          </w:tcPr>
          <w:p w14:paraId="75673941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  <w:t>Estimate (95% CI)</w:t>
            </w:r>
          </w:p>
        </w:tc>
        <w:tc>
          <w:tcPr>
            <w:tcW w:w="3360" w:type="dxa"/>
            <w:tcBorders>
              <w:top w:val="single" w:color="auto" w:sz="4" w:space="0"/>
              <w:bottom w:val="single" w:color="auto" w:sz="4" w:space="0"/>
            </w:tcBorders>
          </w:tcPr>
          <w:p w14:paraId="472A27FC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  <w:t>P value</w:t>
            </w:r>
          </w:p>
        </w:tc>
      </w:tr>
      <w:tr w14:paraId="367FAFC4">
        <w:tc>
          <w:tcPr>
            <w:tcW w:w="2260" w:type="dxa"/>
            <w:tcBorders>
              <w:top w:val="single" w:color="auto" w:sz="4" w:space="0"/>
            </w:tcBorders>
          </w:tcPr>
          <w:p w14:paraId="3880FF17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  <w:t>Poisson mixed-effects model</w:t>
            </w:r>
          </w:p>
        </w:tc>
        <w:tc>
          <w:tcPr>
            <w:tcW w:w="1654" w:type="dxa"/>
            <w:tcBorders>
              <w:top w:val="single" w:color="auto" w:sz="4" w:space="0"/>
            </w:tcBorders>
          </w:tcPr>
          <w:p w14:paraId="5B8B30CF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  <w:t>IRR</w:t>
            </w:r>
          </w:p>
        </w:tc>
        <w:tc>
          <w:tcPr>
            <w:tcW w:w="1957" w:type="dxa"/>
            <w:tcBorders>
              <w:top w:val="single" w:color="auto" w:sz="4" w:space="0"/>
            </w:tcBorders>
          </w:tcPr>
          <w:p w14:paraId="681A1672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  <w:t>1.18 (0.52–2.68)</w:t>
            </w:r>
          </w:p>
        </w:tc>
        <w:tc>
          <w:tcPr>
            <w:tcW w:w="3360" w:type="dxa"/>
            <w:tcBorders>
              <w:top w:val="single" w:color="auto" w:sz="4" w:space="0"/>
            </w:tcBorders>
          </w:tcPr>
          <w:p w14:paraId="4C056019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  <w:t>0.687</w:t>
            </w:r>
          </w:p>
        </w:tc>
      </w:tr>
      <w:tr w14:paraId="427C9446">
        <w:tc>
          <w:tcPr>
            <w:tcW w:w="2260" w:type="dxa"/>
            <w:tcBorders>
              <w:bottom w:val="single" w:color="auto" w:sz="4" w:space="0"/>
            </w:tcBorders>
          </w:tcPr>
          <w:p w14:paraId="6D3FC2E8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  <w:t>Negative-binomial mixed-effects model</w:t>
            </w:r>
          </w:p>
        </w:tc>
        <w:tc>
          <w:tcPr>
            <w:tcW w:w="1654" w:type="dxa"/>
            <w:tcBorders>
              <w:bottom w:val="single" w:color="auto" w:sz="4" w:space="0"/>
            </w:tcBorders>
          </w:tcPr>
          <w:p w14:paraId="61787A2D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  <w:t>IRR</w:t>
            </w:r>
          </w:p>
        </w:tc>
        <w:tc>
          <w:tcPr>
            <w:tcW w:w="1957" w:type="dxa"/>
            <w:tcBorders>
              <w:bottom w:val="single" w:color="auto" w:sz="4" w:space="0"/>
            </w:tcBorders>
          </w:tcPr>
          <w:p w14:paraId="3AC4D5F4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  <w:t>1.18 (0.52–2.68)</w:t>
            </w:r>
          </w:p>
        </w:tc>
        <w:tc>
          <w:tcPr>
            <w:tcW w:w="3360" w:type="dxa"/>
            <w:tcBorders>
              <w:bottom w:val="single" w:color="auto" w:sz="4" w:space="0"/>
            </w:tcBorders>
          </w:tcPr>
          <w:p w14:paraId="7D37F879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  <w:t>0.687</w:t>
            </w:r>
          </w:p>
        </w:tc>
      </w:tr>
    </w:tbl>
    <w:p w14:paraId="28B1F3F9">
      <w:pPr>
        <w:rPr>
          <w:rFonts w:hint="default" w:ascii="Times New Roman Regular" w:hAnsi="Times New Roman Regular" w:cs="Times New Roman Regular"/>
          <w:b w:val="0"/>
        </w:rPr>
      </w:pPr>
      <w:r>
        <w:rPr>
          <w:rFonts w:hint="default" w:ascii="Times New Roman Regular" w:hAnsi="Times New Roman Regular" w:cs="Times New Roman Regular"/>
          <w:b w:val="0"/>
        </w:rPr>
        <w:t>IRR, incidence rate ratio; CI, confidence interval.</w:t>
      </w:r>
    </w:p>
    <w:p w14:paraId="3433FB5B">
      <w:pPr>
        <w:rPr>
          <w:rFonts w:hint="default"/>
          <w:lang w:val="en-US"/>
        </w:rPr>
      </w:pPr>
    </w:p>
    <w:p w14:paraId="4C82BC0B">
      <w:pPr>
        <w:rPr>
          <w:rFonts w:hint="default"/>
          <w:lang w:val="en-US"/>
        </w:rPr>
      </w:pPr>
    </w:p>
    <w:p w14:paraId="67B5DCBC">
      <w:pPr>
        <w:rPr>
          <w:rFonts w:hint="default"/>
          <w:lang w:val="en-US"/>
        </w:rPr>
      </w:pPr>
    </w:p>
    <w:p w14:paraId="62294FD3">
      <w:pPr>
        <w:rPr>
          <w:rFonts w:hint="default"/>
          <w:lang w:val="en-US"/>
        </w:rPr>
      </w:pPr>
    </w:p>
    <w:p w14:paraId="51C01E4F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Table S3. Firth penalized logistic regression sensitivity analysis for factors associated with Helicobacter pylori infection.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2"/>
        <w:gridCol w:w="1537"/>
        <w:gridCol w:w="1852"/>
        <w:gridCol w:w="2731"/>
      </w:tblGrid>
      <w:tr w14:paraId="5BD94E56">
        <w:tc>
          <w:tcPr>
            <w:tcW w:w="22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3FA3FA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Characteristic</w:t>
            </w:r>
          </w:p>
        </w:tc>
        <w:tc>
          <w:tcPr>
            <w:tcW w:w="16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2AD3FA8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Firth OR</w:t>
            </w:r>
          </w:p>
        </w:tc>
        <w:tc>
          <w:tcPr>
            <w:tcW w:w="195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364DC5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95% CI</w:t>
            </w:r>
          </w:p>
        </w:tc>
        <w:tc>
          <w:tcPr>
            <w:tcW w:w="33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7D21FA5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 value</w:t>
            </w:r>
          </w:p>
        </w:tc>
      </w:tr>
      <w:tr w14:paraId="529516C9">
        <w:tc>
          <w:tcPr>
            <w:tcW w:w="2260" w:type="dxa"/>
            <w:tcBorders>
              <w:top w:val="single" w:color="auto" w:sz="4" w:space="0"/>
            </w:tcBorders>
            <w:vAlign w:val="center"/>
          </w:tcPr>
          <w:p w14:paraId="6B784984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  <w:tc>
          <w:tcPr>
            <w:tcW w:w="1654" w:type="dxa"/>
            <w:tcBorders>
              <w:top w:val="single" w:color="auto" w:sz="4" w:space="0"/>
            </w:tcBorders>
            <w:vAlign w:val="center"/>
          </w:tcPr>
          <w:p w14:paraId="1B45C68D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  <w:tc>
          <w:tcPr>
            <w:tcW w:w="1957" w:type="dxa"/>
            <w:tcBorders>
              <w:top w:val="single" w:color="auto" w:sz="4" w:space="0"/>
            </w:tcBorders>
            <w:vAlign w:val="center"/>
          </w:tcPr>
          <w:p w14:paraId="2321BDE6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  <w:tc>
          <w:tcPr>
            <w:tcW w:w="3360" w:type="dxa"/>
            <w:tcBorders>
              <w:top w:val="single" w:color="auto" w:sz="4" w:space="0"/>
            </w:tcBorders>
            <w:vAlign w:val="center"/>
          </w:tcPr>
          <w:p w14:paraId="067F4268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</w:tr>
      <w:tr w14:paraId="0768D2CA">
        <w:tc>
          <w:tcPr>
            <w:tcW w:w="2260" w:type="dxa"/>
            <w:vAlign w:val="center"/>
          </w:tcPr>
          <w:p w14:paraId="47469A5B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Age, per year</w:t>
            </w:r>
          </w:p>
        </w:tc>
        <w:tc>
          <w:tcPr>
            <w:tcW w:w="1654" w:type="dxa"/>
            <w:vAlign w:val="center"/>
          </w:tcPr>
          <w:p w14:paraId="04213EDA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1.05</w:t>
            </w:r>
          </w:p>
        </w:tc>
        <w:tc>
          <w:tcPr>
            <w:tcW w:w="1957" w:type="dxa"/>
            <w:vAlign w:val="center"/>
          </w:tcPr>
          <w:p w14:paraId="1B756088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1.03–1.08</w:t>
            </w:r>
          </w:p>
        </w:tc>
        <w:tc>
          <w:tcPr>
            <w:tcW w:w="3360" w:type="dxa"/>
            <w:vAlign w:val="center"/>
          </w:tcPr>
          <w:p w14:paraId="2249AB33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5.93 × 10⁻⁶</w:t>
            </w:r>
          </w:p>
        </w:tc>
      </w:tr>
      <w:tr w14:paraId="729A5ED9">
        <w:tc>
          <w:tcPr>
            <w:tcW w:w="2260" w:type="dxa"/>
            <w:vAlign w:val="center"/>
          </w:tcPr>
          <w:p w14:paraId="2757C136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Occupation</w:t>
            </w:r>
          </w:p>
        </w:tc>
        <w:tc>
          <w:tcPr>
            <w:tcW w:w="1654" w:type="dxa"/>
            <w:vAlign w:val="center"/>
          </w:tcPr>
          <w:p w14:paraId="011E24A7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  <w:tc>
          <w:tcPr>
            <w:tcW w:w="1957" w:type="dxa"/>
            <w:vAlign w:val="center"/>
          </w:tcPr>
          <w:p w14:paraId="0510D1D2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  <w:tc>
          <w:tcPr>
            <w:tcW w:w="3360" w:type="dxa"/>
            <w:vAlign w:val="center"/>
          </w:tcPr>
          <w:p w14:paraId="6303DF09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</w:tr>
      <w:tr w14:paraId="0B299F70">
        <w:tc>
          <w:tcPr>
            <w:tcW w:w="2260" w:type="dxa"/>
            <w:vAlign w:val="center"/>
          </w:tcPr>
          <w:p w14:paraId="6BB19983">
            <w:pPr>
              <w:jc w:val="righ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Worker</w:t>
            </w:r>
          </w:p>
        </w:tc>
        <w:tc>
          <w:tcPr>
            <w:tcW w:w="1654" w:type="dxa"/>
            <w:vAlign w:val="center"/>
          </w:tcPr>
          <w:p w14:paraId="10EC8E93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Reference</w:t>
            </w:r>
          </w:p>
        </w:tc>
        <w:tc>
          <w:tcPr>
            <w:tcW w:w="1957" w:type="dxa"/>
            <w:vAlign w:val="center"/>
          </w:tcPr>
          <w:p w14:paraId="0671920F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3360" w:type="dxa"/>
            <w:vAlign w:val="center"/>
          </w:tcPr>
          <w:p w14:paraId="163B0496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38BE4637">
        <w:tc>
          <w:tcPr>
            <w:tcW w:w="2260" w:type="dxa"/>
            <w:vAlign w:val="center"/>
          </w:tcPr>
          <w:p w14:paraId="79854E45">
            <w:pPr>
              <w:jc w:val="righ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Farmer</w:t>
            </w:r>
          </w:p>
        </w:tc>
        <w:tc>
          <w:tcPr>
            <w:tcW w:w="1654" w:type="dxa"/>
            <w:vAlign w:val="center"/>
          </w:tcPr>
          <w:p w14:paraId="78E1499C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3.15</w:t>
            </w:r>
          </w:p>
        </w:tc>
        <w:tc>
          <w:tcPr>
            <w:tcW w:w="1957" w:type="dxa"/>
            <w:vAlign w:val="center"/>
          </w:tcPr>
          <w:p w14:paraId="55137E84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1.20–8.56</w:t>
            </w:r>
          </w:p>
        </w:tc>
        <w:tc>
          <w:tcPr>
            <w:tcW w:w="3360" w:type="dxa"/>
            <w:vAlign w:val="center"/>
          </w:tcPr>
          <w:p w14:paraId="00E2EDC9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0.019</w:t>
            </w:r>
          </w:p>
        </w:tc>
      </w:tr>
      <w:tr w14:paraId="7FF69D34">
        <w:tc>
          <w:tcPr>
            <w:tcW w:w="2260" w:type="dxa"/>
            <w:vAlign w:val="center"/>
          </w:tcPr>
          <w:p w14:paraId="6839D092">
            <w:pPr>
              <w:jc w:val="righ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Teacher</w:t>
            </w:r>
          </w:p>
        </w:tc>
        <w:tc>
          <w:tcPr>
            <w:tcW w:w="1654" w:type="dxa"/>
            <w:vAlign w:val="center"/>
          </w:tcPr>
          <w:p w14:paraId="5AD2BD63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1.17</w:t>
            </w:r>
          </w:p>
        </w:tc>
        <w:tc>
          <w:tcPr>
            <w:tcW w:w="1957" w:type="dxa"/>
            <w:vAlign w:val="center"/>
          </w:tcPr>
          <w:p w14:paraId="3658F2B3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0.27–4.67</w:t>
            </w:r>
          </w:p>
        </w:tc>
        <w:tc>
          <w:tcPr>
            <w:tcW w:w="3360" w:type="dxa"/>
            <w:vAlign w:val="center"/>
          </w:tcPr>
          <w:p w14:paraId="595852F3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0.826</w:t>
            </w:r>
          </w:p>
        </w:tc>
      </w:tr>
      <w:tr w14:paraId="1C911F56">
        <w:tc>
          <w:tcPr>
            <w:tcW w:w="2260" w:type="dxa"/>
            <w:vAlign w:val="center"/>
          </w:tcPr>
          <w:p w14:paraId="6937B05E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Management/technical personnel</w:t>
            </w:r>
          </w:p>
        </w:tc>
        <w:tc>
          <w:tcPr>
            <w:tcW w:w="1654" w:type="dxa"/>
            <w:vAlign w:val="center"/>
          </w:tcPr>
          <w:p w14:paraId="02CC25A9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0.88</w:t>
            </w:r>
          </w:p>
        </w:tc>
        <w:tc>
          <w:tcPr>
            <w:tcW w:w="1957" w:type="dxa"/>
            <w:vAlign w:val="center"/>
          </w:tcPr>
          <w:p w14:paraId="670B4A63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0.32–2.39</w:t>
            </w:r>
          </w:p>
        </w:tc>
        <w:tc>
          <w:tcPr>
            <w:tcW w:w="3360" w:type="dxa"/>
            <w:vAlign w:val="center"/>
          </w:tcPr>
          <w:p w14:paraId="7FB6F036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0.809</w:t>
            </w:r>
          </w:p>
        </w:tc>
      </w:tr>
      <w:tr w14:paraId="05DA3F36">
        <w:tc>
          <w:tcPr>
            <w:tcW w:w="2260" w:type="dxa"/>
            <w:vAlign w:val="center"/>
          </w:tcPr>
          <w:p w14:paraId="054FD059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Doctor</w:t>
            </w:r>
          </w:p>
        </w:tc>
        <w:tc>
          <w:tcPr>
            <w:tcW w:w="1654" w:type="dxa"/>
            <w:vAlign w:val="center"/>
          </w:tcPr>
          <w:p w14:paraId="5EF42DF0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1.56</w:t>
            </w:r>
          </w:p>
        </w:tc>
        <w:tc>
          <w:tcPr>
            <w:tcW w:w="1957" w:type="dxa"/>
            <w:vAlign w:val="center"/>
          </w:tcPr>
          <w:p w14:paraId="38185E2F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0.29–8.36</w:t>
            </w:r>
          </w:p>
        </w:tc>
        <w:tc>
          <w:tcPr>
            <w:tcW w:w="3360" w:type="dxa"/>
            <w:vAlign w:val="center"/>
          </w:tcPr>
          <w:p w14:paraId="1574FF44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0.600</w:t>
            </w:r>
          </w:p>
        </w:tc>
      </w:tr>
      <w:tr w14:paraId="7E9A91E0">
        <w:tc>
          <w:tcPr>
            <w:tcW w:w="2260" w:type="dxa"/>
            <w:vAlign w:val="center"/>
          </w:tcPr>
          <w:p w14:paraId="2645BE3F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Student</w:t>
            </w:r>
          </w:p>
        </w:tc>
        <w:tc>
          <w:tcPr>
            <w:tcW w:w="1654" w:type="dxa"/>
            <w:vAlign w:val="center"/>
          </w:tcPr>
          <w:p w14:paraId="724DA572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13.95</w:t>
            </w:r>
          </w:p>
        </w:tc>
        <w:tc>
          <w:tcPr>
            <w:tcW w:w="1957" w:type="dxa"/>
            <w:vAlign w:val="center"/>
          </w:tcPr>
          <w:p w14:paraId="723D3E1F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0.42–271.74</w:t>
            </w:r>
          </w:p>
        </w:tc>
        <w:tc>
          <w:tcPr>
            <w:tcW w:w="3360" w:type="dxa"/>
            <w:vAlign w:val="center"/>
          </w:tcPr>
          <w:p w14:paraId="331DE4BC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0.130</w:t>
            </w:r>
          </w:p>
        </w:tc>
      </w:tr>
      <w:tr w14:paraId="3CE5DBA1">
        <w:tc>
          <w:tcPr>
            <w:tcW w:w="2260" w:type="dxa"/>
            <w:vAlign w:val="center"/>
          </w:tcPr>
          <w:p w14:paraId="240B9064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Freelancer</w:t>
            </w:r>
          </w:p>
        </w:tc>
        <w:tc>
          <w:tcPr>
            <w:tcW w:w="1654" w:type="dxa"/>
            <w:vAlign w:val="center"/>
          </w:tcPr>
          <w:p w14:paraId="4AB35D0D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1.99</w:t>
            </w:r>
          </w:p>
        </w:tc>
        <w:tc>
          <w:tcPr>
            <w:tcW w:w="1957" w:type="dxa"/>
            <w:vAlign w:val="center"/>
          </w:tcPr>
          <w:p w14:paraId="5CBA557E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1.03–3.94</w:t>
            </w:r>
          </w:p>
        </w:tc>
        <w:tc>
          <w:tcPr>
            <w:tcW w:w="3360" w:type="dxa"/>
            <w:vAlign w:val="center"/>
          </w:tcPr>
          <w:p w14:paraId="4E59AC9D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0.042</w:t>
            </w:r>
          </w:p>
        </w:tc>
      </w:tr>
      <w:tr w14:paraId="2739B509">
        <w:tc>
          <w:tcPr>
            <w:tcW w:w="2260" w:type="dxa"/>
            <w:vAlign w:val="center"/>
          </w:tcPr>
          <w:p w14:paraId="07C363A5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Education level</w:t>
            </w:r>
          </w:p>
        </w:tc>
        <w:tc>
          <w:tcPr>
            <w:tcW w:w="1654" w:type="dxa"/>
            <w:vAlign w:val="center"/>
          </w:tcPr>
          <w:p w14:paraId="053AD080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  <w:tc>
          <w:tcPr>
            <w:tcW w:w="1957" w:type="dxa"/>
            <w:vAlign w:val="center"/>
          </w:tcPr>
          <w:p w14:paraId="117EF4E6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  <w:tc>
          <w:tcPr>
            <w:tcW w:w="3360" w:type="dxa"/>
            <w:vAlign w:val="center"/>
          </w:tcPr>
          <w:p w14:paraId="1CB5F1E8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</w:tr>
      <w:tr w14:paraId="4C8299F9">
        <w:tc>
          <w:tcPr>
            <w:tcW w:w="2260" w:type="dxa"/>
            <w:vAlign w:val="center"/>
          </w:tcPr>
          <w:p w14:paraId="044DEBCB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Compulsory education stage</w:t>
            </w:r>
          </w:p>
        </w:tc>
        <w:tc>
          <w:tcPr>
            <w:tcW w:w="1654" w:type="dxa"/>
            <w:vAlign w:val="center"/>
          </w:tcPr>
          <w:p w14:paraId="6672416F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Reference</w:t>
            </w:r>
          </w:p>
        </w:tc>
        <w:tc>
          <w:tcPr>
            <w:tcW w:w="1957" w:type="dxa"/>
            <w:vAlign w:val="center"/>
          </w:tcPr>
          <w:p w14:paraId="2F1B8BFB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3360" w:type="dxa"/>
            <w:vAlign w:val="center"/>
          </w:tcPr>
          <w:p w14:paraId="24B8804C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3370DFF7">
        <w:tc>
          <w:tcPr>
            <w:tcW w:w="2260" w:type="dxa"/>
            <w:vAlign w:val="center"/>
          </w:tcPr>
          <w:p w14:paraId="272F0BCD">
            <w:pPr>
              <w:jc w:val="righ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High school</w:t>
            </w:r>
          </w:p>
        </w:tc>
        <w:tc>
          <w:tcPr>
            <w:tcW w:w="1654" w:type="dxa"/>
            <w:vAlign w:val="center"/>
          </w:tcPr>
          <w:p w14:paraId="36307374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1.06</w:t>
            </w:r>
          </w:p>
        </w:tc>
        <w:tc>
          <w:tcPr>
            <w:tcW w:w="1957" w:type="dxa"/>
            <w:vAlign w:val="center"/>
          </w:tcPr>
          <w:p w14:paraId="4B14FFB5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0.20–4.94</w:t>
            </w:r>
          </w:p>
        </w:tc>
        <w:tc>
          <w:tcPr>
            <w:tcW w:w="3360" w:type="dxa"/>
            <w:vAlign w:val="center"/>
          </w:tcPr>
          <w:p w14:paraId="39EF8771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0.941</w:t>
            </w:r>
          </w:p>
        </w:tc>
      </w:tr>
      <w:tr w14:paraId="1F983958">
        <w:tc>
          <w:tcPr>
            <w:tcW w:w="2260" w:type="dxa"/>
            <w:vAlign w:val="center"/>
          </w:tcPr>
          <w:p w14:paraId="03B3680A">
            <w:pPr>
              <w:jc w:val="righ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College and above</w:t>
            </w:r>
          </w:p>
        </w:tc>
        <w:tc>
          <w:tcPr>
            <w:tcW w:w="1654" w:type="dxa"/>
            <w:vAlign w:val="center"/>
          </w:tcPr>
          <w:p w14:paraId="3584B8B0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1.17</w:t>
            </w:r>
          </w:p>
        </w:tc>
        <w:tc>
          <w:tcPr>
            <w:tcW w:w="1957" w:type="dxa"/>
            <w:vAlign w:val="center"/>
          </w:tcPr>
          <w:p w14:paraId="51A03EBD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0.21–6.06</w:t>
            </w:r>
          </w:p>
        </w:tc>
        <w:tc>
          <w:tcPr>
            <w:tcW w:w="3360" w:type="dxa"/>
            <w:vAlign w:val="center"/>
          </w:tcPr>
          <w:p w14:paraId="23DEECC2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0.858</w:t>
            </w:r>
          </w:p>
        </w:tc>
      </w:tr>
      <w:tr w14:paraId="7A2AAB23">
        <w:tc>
          <w:tcPr>
            <w:tcW w:w="2260" w:type="dxa"/>
            <w:vAlign w:val="center"/>
          </w:tcPr>
          <w:p w14:paraId="314AAB29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No. of infected family members exposed</w:t>
            </w:r>
          </w:p>
        </w:tc>
        <w:tc>
          <w:tcPr>
            <w:tcW w:w="1654" w:type="dxa"/>
            <w:vAlign w:val="center"/>
          </w:tcPr>
          <w:p w14:paraId="467BCF3D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  <w:tc>
          <w:tcPr>
            <w:tcW w:w="1957" w:type="dxa"/>
            <w:vAlign w:val="center"/>
          </w:tcPr>
          <w:p w14:paraId="305D4FA6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  <w:tc>
          <w:tcPr>
            <w:tcW w:w="3360" w:type="dxa"/>
            <w:vAlign w:val="center"/>
          </w:tcPr>
          <w:p w14:paraId="5909E2BC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</w:tr>
      <w:tr w14:paraId="25222BCF">
        <w:tc>
          <w:tcPr>
            <w:tcW w:w="2260" w:type="dxa"/>
            <w:vAlign w:val="center"/>
          </w:tcPr>
          <w:p w14:paraId="1F0EDFB4">
            <w:pPr>
              <w:jc w:val="righ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654" w:type="dxa"/>
            <w:vAlign w:val="center"/>
          </w:tcPr>
          <w:p w14:paraId="3B5625EE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Reference</w:t>
            </w:r>
          </w:p>
        </w:tc>
        <w:tc>
          <w:tcPr>
            <w:tcW w:w="1957" w:type="dxa"/>
            <w:vAlign w:val="center"/>
          </w:tcPr>
          <w:p w14:paraId="00A19517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3360" w:type="dxa"/>
            <w:vAlign w:val="center"/>
          </w:tcPr>
          <w:p w14:paraId="13F2A7A8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10620543">
        <w:tc>
          <w:tcPr>
            <w:tcW w:w="2260" w:type="dxa"/>
            <w:vAlign w:val="center"/>
          </w:tcPr>
          <w:p w14:paraId="5091268E">
            <w:pPr>
              <w:jc w:val="righ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654" w:type="dxa"/>
            <w:vAlign w:val="center"/>
          </w:tcPr>
          <w:p w14:paraId="29DB97A9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5.47</w:t>
            </w:r>
          </w:p>
        </w:tc>
        <w:tc>
          <w:tcPr>
            <w:tcW w:w="1957" w:type="dxa"/>
            <w:vAlign w:val="center"/>
          </w:tcPr>
          <w:p w14:paraId="48F05E00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3.03–10.19</w:t>
            </w:r>
          </w:p>
        </w:tc>
        <w:tc>
          <w:tcPr>
            <w:tcW w:w="3360" w:type="dxa"/>
            <w:vAlign w:val="center"/>
          </w:tcPr>
          <w:p w14:paraId="321F633E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6.36 × 10⁻⁹</w:t>
            </w:r>
          </w:p>
        </w:tc>
      </w:tr>
      <w:tr w14:paraId="38942B63">
        <w:tc>
          <w:tcPr>
            <w:tcW w:w="2260" w:type="dxa"/>
            <w:vAlign w:val="center"/>
          </w:tcPr>
          <w:p w14:paraId="0314BA4D">
            <w:pPr>
              <w:jc w:val="righ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654" w:type="dxa"/>
            <w:vAlign w:val="center"/>
          </w:tcPr>
          <w:p w14:paraId="4FE45454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43.76</w:t>
            </w:r>
          </w:p>
        </w:tc>
        <w:tc>
          <w:tcPr>
            <w:tcW w:w="1957" w:type="dxa"/>
            <w:vAlign w:val="center"/>
          </w:tcPr>
          <w:p w14:paraId="321F1A1D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16.33–135.11</w:t>
            </w:r>
          </w:p>
        </w:tc>
        <w:tc>
          <w:tcPr>
            <w:tcW w:w="3360" w:type="dxa"/>
            <w:vAlign w:val="center"/>
          </w:tcPr>
          <w:p w14:paraId="05F9764F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2.68 × 10⁻¹⁸</w:t>
            </w:r>
          </w:p>
        </w:tc>
      </w:tr>
      <w:tr w14:paraId="3F9E65A2">
        <w:tc>
          <w:tcPr>
            <w:tcW w:w="2260" w:type="dxa"/>
            <w:vAlign w:val="center"/>
          </w:tcPr>
          <w:p w14:paraId="6905AE3F">
            <w:pPr>
              <w:jc w:val="righ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654" w:type="dxa"/>
            <w:vAlign w:val="center"/>
          </w:tcPr>
          <w:p w14:paraId="217FBE9D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103.10</w:t>
            </w:r>
          </w:p>
        </w:tc>
        <w:tc>
          <w:tcPr>
            <w:tcW w:w="1957" w:type="dxa"/>
            <w:vAlign w:val="center"/>
          </w:tcPr>
          <w:p w14:paraId="255F7B37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27.91–576.05</w:t>
            </w:r>
          </w:p>
        </w:tc>
        <w:tc>
          <w:tcPr>
            <w:tcW w:w="3360" w:type="dxa"/>
            <w:vAlign w:val="center"/>
          </w:tcPr>
          <w:p w14:paraId="63EF3FEA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9.60 × 10⁻¹⁹</w:t>
            </w:r>
          </w:p>
        </w:tc>
      </w:tr>
      <w:tr w14:paraId="71FE3F60">
        <w:tc>
          <w:tcPr>
            <w:tcW w:w="2260" w:type="dxa"/>
            <w:vAlign w:val="center"/>
          </w:tcPr>
          <w:p w14:paraId="796688A3">
            <w:pPr>
              <w:jc w:val="righ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654" w:type="dxa"/>
            <w:vAlign w:val="center"/>
          </w:tcPr>
          <w:p w14:paraId="22EACA01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26.58</w:t>
            </w:r>
          </w:p>
        </w:tc>
        <w:tc>
          <w:tcPr>
            <w:tcW w:w="1957" w:type="dxa"/>
            <w:vAlign w:val="center"/>
          </w:tcPr>
          <w:p w14:paraId="32CAFD84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6.51–159.00</w:t>
            </w:r>
          </w:p>
        </w:tc>
        <w:tc>
          <w:tcPr>
            <w:tcW w:w="3360" w:type="dxa"/>
            <w:vAlign w:val="center"/>
          </w:tcPr>
          <w:p w14:paraId="0DD9817E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5.57 × 10⁻⁷</w:t>
            </w:r>
          </w:p>
        </w:tc>
      </w:tr>
      <w:tr w14:paraId="01B4DF18">
        <w:tc>
          <w:tcPr>
            <w:tcW w:w="2260" w:type="dxa"/>
            <w:vAlign w:val="center"/>
          </w:tcPr>
          <w:p w14:paraId="5594CD90">
            <w:pPr>
              <w:jc w:val="righ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654" w:type="dxa"/>
            <w:vAlign w:val="center"/>
          </w:tcPr>
          <w:p w14:paraId="194994FC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24.59</w:t>
            </w:r>
          </w:p>
        </w:tc>
        <w:tc>
          <w:tcPr>
            <w:tcW w:w="1957" w:type="dxa"/>
            <w:vAlign w:val="center"/>
          </w:tcPr>
          <w:p w14:paraId="2ECF0AB6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4.43–261.57</w:t>
            </w:r>
          </w:p>
        </w:tc>
        <w:tc>
          <w:tcPr>
            <w:tcW w:w="3360" w:type="dxa"/>
            <w:vAlign w:val="center"/>
          </w:tcPr>
          <w:p w14:paraId="63D45C86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7.19 × 10⁻⁵</w:t>
            </w:r>
          </w:p>
        </w:tc>
      </w:tr>
      <w:tr w14:paraId="33B1B9F5">
        <w:tc>
          <w:tcPr>
            <w:tcW w:w="2260" w:type="dxa"/>
            <w:vAlign w:val="center"/>
          </w:tcPr>
          <w:p w14:paraId="21E7C9A1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Gastrointestinal symptoms within last 1 year</w:t>
            </w:r>
          </w:p>
        </w:tc>
        <w:tc>
          <w:tcPr>
            <w:tcW w:w="1654" w:type="dxa"/>
            <w:vAlign w:val="center"/>
          </w:tcPr>
          <w:p w14:paraId="3B51C72A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  <w:tc>
          <w:tcPr>
            <w:tcW w:w="1957" w:type="dxa"/>
            <w:vAlign w:val="center"/>
          </w:tcPr>
          <w:p w14:paraId="0C811483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  <w:tc>
          <w:tcPr>
            <w:tcW w:w="3360" w:type="dxa"/>
            <w:vAlign w:val="center"/>
          </w:tcPr>
          <w:p w14:paraId="7C7A5845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</w:p>
        </w:tc>
      </w:tr>
      <w:tr w14:paraId="288B2D6A">
        <w:tc>
          <w:tcPr>
            <w:tcW w:w="2260" w:type="dxa"/>
            <w:vAlign w:val="center"/>
          </w:tcPr>
          <w:p w14:paraId="376FCCBE">
            <w:pPr>
              <w:jc w:val="righ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No</w:t>
            </w:r>
          </w:p>
        </w:tc>
        <w:tc>
          <w:tcPr>
            <w:tcW w:w="1654" w:type="dxa"/>
            <w:vAlign w:val="center"/>
          </w:tcPr>
          <w:p w14:paraId="38D62680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Reference</w:t>
            </w:r>
          </w:p>
        </w:tc>
        <w:tc>
          <w:tcPr>
            <w:tcW w:w="1957" w:type="dxa"/>
            <w:vAlign w:val="center"/>
          </w:tcPr>
          <w:p w14:paraId="3A11A086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3360" w:type="dxa"/>
            <w:vAlign w:val="center"/>
          </w:tcPr>
          <w:p w14:paraId="1480761F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64D2F190">
        <w:trPr>
          <w:trHeight w:val="90" w:hRule="atLeast"/>
        </w:trPr>
        <w:tc>
          <w:tcPr>
            <w:tcW w:w="2260" w:type="dxa"/>
            <w:tcBorders>
              <w:bottom w:val="single" w:color="auto" w:sz="4" w:space="0"/>
            </w:tcBorders>
            <w:vAlign w:val="center"/>
          </w:tcPr>
          <w:p w14:paraId="3F70B0E4">
            <w:pPr>
              <w:jc w:val="righ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Yes</w:t>
            </w:r>
          </w:p>
        </w:tc>
        <w:tc>
          <w:tcPr>
            <w:tcW w:w="1654" w:type="dxa"/>
            <w:tcBorders>
              <w:bottom w:val="single" w:color="auto" w:sz="4" w:space="0"/>
            </w:tcBorders>
            <w:vAlign w:val="center"/>
          </w:tcPr>
          <w:p w14:paraId="193578AA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4.48</w:t>
            </w:r>
          </w:p>
        </w:tc>
        <w:tc>
          <w:tcPr>
            <w:tcW w:w="1957" w:type="dxa"/>
            <w:tcBorders>
              <w:bottom w:val="single" w:color="auto" w:sz="4" w:space="0"/>
            </w:tcBorders>
            <w:vAlign w:val="center"/>
          </w:tcPr>
          <w:p w14:paraId="30AEC999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2.55–8.10</w:t>
            </w:r>
          </w:p>
        </w:tc>
        <w:tc>
          <w:tcPr>
            <w:tcW w:w="3360" w:type="dxa"/>
            <w:tcBorders>
              <w:bottom w:val="single" w:color="auto" w:sz="4" w:space="0"/>
            </w:tcBorders>
            <w:vAlign w:val="center"/>
          </w:tcPr>
          <w:p w14:paraId="08DF3F8C">
            <w:pPr>
              <w:rPr>
                <w:rFonts w:hint="default" w:ascii="Times New Roman Regular" w:hAnsi="Times New Roman Regular" w:cs="Times New Roman Regular"/>
                <w:b w:val="0"/>
                <w:sz w:val="22"/>
                <w:szCs w:val="28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8.37 × 10⁻⁸</w:t>
            </w:r>
          </w:p>
        </w:tc>
      </w:tr>
    </w:tbl>
    <w:p w14:paraId="68D20B37">
      <w:pPr>
        <w:rPr>
          <w:rFonts w:hint="default" w:ascii="Times New Roman Regular" w:hAnsi="Times New Roman Regular" w:eastAsia="宋体" w:cs="Times New Roman Regular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0"/>
          <w:sz w:val="24"/>
          <w:szCs w:val="24"/>
          <w:lang w:val="en-US" w:eastAsia="zh-CN" w:bidi="ar"/>
        </w:rPr>
        <w:t xml:space="preserve">CI, confidence interval; OR, odds ratio. </w:t>
      </w:r>
    </w:p>
    <w:p w14:paraId="6A19BB01">
      <w:pPr>
        <w:rPr>
          <w:rFonts w:hint="default" w:ascii="Times New Roman Regular" w:hAnsi="Times New Roman Regular" w:eastAsia="宋体" w:cs="Times New Roman Regular"/>
          <w:b w:val="0"/>
          <w:bCs w:val="0"/>
          <w:kern w:val="0"/>
          <w:sz w:val="24"/>
          <w:szCs w:val="24"/>
          <w:lang w:val="en-US" w:eastAsia="zh-CN" w:bidi="ar"/>
        </w:rPr>
      </w:pPr>
    </w:p>
    <w:p w14:paraId="2FCD04AB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44E05688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33DD1035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539825B8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70E7A5F8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058ABE41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6014CCE4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7B8BD2E5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19B65736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5A525229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5728211A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6627A10D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080CA74E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701B4643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</w:p>
    <w:p w14:paraId="7BB6758B">
      <w:pP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Table S4. Age-adjusted sensitivity analysis of cohabitation duration and joint Helicobacter pylori infection among couples.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5"/>
        <w:gridCol w:w="2289"/>
        <w:gridCol w:w="1715"/>
        <w:gridCol w:w="2553"/>
      </w:tblGrid>
      <w:tr w14:paraId="6A441288">
        <w:tc>
          <w:tcPr>
            <w:tcW w:w="22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8C194F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Model</w:t>
            </w:r>
          </w:p>
        </w:tc>
        <w:tc>
          <w:tcPr>
            <w:tcW w:w="22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AA71BC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OR per higher cohabitation-duration category</w:t>
            </w:r>
          </w:p>
        </w:tc>
        <w:tc>
          <w:tcPr>
            <w:tcW w:w="195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615C02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95% CI</w:t>
            </w:r>
          </w:p>
        </w:tc>
        <w:tc>
          <w:tcPr>
            <w:tcW w:w="33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824C59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 value</w:t>
            </w:r>
          </w:p>
        </w:tc>
      </w:tr>
      <w:tr w14:paraId="3510440C">
        <w:tc>
          <w:tcPr>
            <w:tcW w:w="2260" w:type="dxa"/>
            <w:tcBorders>
              <w:top w:val="single" w:color="auto" w:sz="4" w:space="0"/>
            </w:tcBorders>
            <w:vAlign w:val="center"/>
          </w:tcPr>
          <w:p w14:paraId="6DC1A8D2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Unadjusted</w:t>
            </w:r>
          </w:p>
        </w:tc>
        <w:tc>
          <w:tcPr>
            <w:tcW w:w="2292" w:type="dxa"/>
            <w:tcBorders>
              <w:top w:val="single" w:color="auto" w:sz="4" w:space="0"/>
            </w:tcBorders>
            <w:vAlign w:val="center"/>
          </w:tcPr>
          <w:p w14:paraId="3D93FE34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1.51</w:t>
            </w:r>
          </w:p>
        </w:tc>
        <w:tc>
          <w:tcPr>
            <w:tcW w:w="1957" w:type="dxa"/>
            <w:tcBorders>
              <w:top w:val="single" w:color="auto" w:sz="4" w:space="0"/>
            </w:tcBorders>
            <w:vAlign w:val="center"/>
          </w:tcPr>
          <w:p w14:paraId="2CB77A27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1.03–2.21</w:t>
            </w:r>
          </w:p>
        </w:tc>
        <w:tc>
          <w:tcPr>
            <w:tcW w:w="3360" w:type="dxa"/>
            <w:tcBorders>
              <w:top w:val="single" w:color="auto" w:sz="4" w:space="0"/>
            </w:tcBorders>
            <w:vAlign w:val="center"/>
          </w:tcPr>
          <w:p w14:paraId="466E6A57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0.033</w:t>
            </w:r>
          </w:p>
        </w:tc>
      </w:tr>
      <w:tr w14:paraId="39F848EA">
        <w:tc>
          <w:tcPr>
            <w:tcW w:w="2260" w:type="dxa"/>
            <w:vAlign w:val="center"/>
          </w:tcPr>
          <w:p w14:paraId="4BEBD8EE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Adjusted for mean spousal age</w:t>
            </w:r>
          </w:p>
        </w:tc>
        <w:tc>
          <w:tcPr>
            <w:tcW w:w="2292" w:type="dxa"/>
            <w:vAlign w:val="center"/>
          </w:tcPr>
          <w:p w14:paraId="5CBDD539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1.37</w:t>
            </w:r>
          </w:p>
        </w:tc>
        <w:tc>
          <w:tcPr>
            <w:tcW w:w="1957" w:type="dxa"/>
            <w:vAlign w:val="center"/>
          </w:tcPr>
          <w:p w14:paraId="59E2FDA9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0.74–2.51</w:t>
            </w:r>
          </w:p>
        </w:tc>
        <w:tc>
          <w:tcPr>
            <w:tcW w:w="3360" w:type="dxa"/>
            <w:vAlign w:val="center"/>
          </w:tcPr>
          <w:p w14:paraId="6CC278C6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0.316</w:t>
            </w:r>
          </w:p>
        </w:tc>
      </w:tr>
      <w:tr w14:paraId="26E052F1">
        <w:trPr>
          <w:trHeight w:val="382" w:hRule="atLeast"/>
        </w:trPr>
        <w:tc>
          <w:tcPr>
            <w:tcW w:w="2260" w:type="dxa"/>
            <w:tcBorders>
              <w:bottom w:val="single" w:color="auto" w:sz="4" w:space="0"/>
            </w:tcBorders>
            <w:vAlign w:val="center"/>
          </w:tcPr>
          <w:p w14:paraId="5CA4EDD6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Adjusted for mean spousal age and absolute age difference</w:t>
            </w:r>
          </w:p>
        </w:tc>
        <w:tc>
          <w:tcPr>
            <w:tcW w:w="2292" w:type="dxa"/>
            <w:tcBorders>
              <w:bottom w:val="single" w:color="auto" w:sz="4" w:space="0"/>
            </w:tcBorders>
            <w:vAlign w:val="center"/>
          </w:tcPr>
          <w:p w14:paraId="55621E0A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1.30</w:t>
            </w:r>
          </w:p>
        </w:tc>
        <w:tc>
          <w:tcPr>
            <w:tcW w:w="1957" w:type="dxa"/>
            <w:tcBorders>
              <w:bottom w:val="single" w:color="auto" w:sz="4" w:space="0"/>
            </w:tcBorders>
            <w:vAlign w:val="center"/>
          </w:tcPr>
          <w:p w14:paraId="76607031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0.70–2.44</w:t>
            </w:r>
          </w:p>
        </w:tc>
        <w:tc>
          <w:tcPr>
            <w:tcW w:w="3360" w:type="dxa"/>
            <w:tcBorders>
              <w:bottom w:val="single" w:color="auto" w:sz="4" w:space="0"/>
            </w:tcBorders>
            <w:vAlign w:val="center"/>
          </w:tcPr>
          <w:p w14:paraId="09CD70E3">
            <w:pP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0.405</w:t>
            </w:r>
          </w:p>
        </w:tc>
      </w:tr>
    </w:tbl>
    <w:p w14:paraId="3CDD22A6">
      <w:pPr>
        <w:rPr>
          <w:rFonts w:hint="default" w:ascii="Times New Roman Regular" w:hAnsi="Times New Roman Regular" w:cs="Times New Roman Regular"/>
          <w:b w:val="0"/>
          <w:bCs w:val="0"/>
          <w:lang w:val="en-US"/>
        </w:rPr>
      </w:pPr>
      <w:r>
        <w:rPr>
          <w:rFonts w:hint="default" w:ascii="Times New Roman Regular" w:hAnsi="Times New Roman Regular" w:cs="Times New Roman Regular"/>
          <w:b w:val="0"/>
          <w:bCs w:val="0"/>
          <w:lang w:val="en-US"/>
        </w:rPr>
        <w:t>Joint infection was defined as both partners testing positive.Cohabitation duration was modelled as an ordered variable (&lt;5, 5–14, 15–29, and ≥30 years), using the shorter reported household-residence category of the two spouses as the couple-level value. Logistic regression used household-clustered robust standard errors.</w:t>
      </w:r>
    </w:p>
    <w:p w14:paraId="554BB740">
      <w:pPr>
        <w:pStyle w:val="4"/>
        <w:widowControl/>
        <w:spacing w:beforeAutospacing="0" w:afterAutospacing="0" w:line="360" w:lineRule="auto"/>
        <w:jc w:val="both"/>
      </w:pPr>
      <w:r>
        <w:drawing>
          <wp:inline distT="0" distB="0" distL="114300" distR="114300">
            <wp:extent cx="4862195" cy="4297680"/>
            <wp:effectExtent l="0" t="0" r="14605" b="203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2195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639D9">
      <w:pPr>
        <w:pStyle w:val="4"/>
        <w:widowControl/>
        <w:spacing w:beforeAutospacing="0" w:afterAutospacing="0" w:line="360" w:lineRule="auto"/>
        <w:jc w:val="both"/>
      </w:pPr>
    </w:p>
    <w:p w14:paraId="2D17DA1E">
      <w:pPr>
        <w:pStyle w:val="4"/>
        <w:widowControl/>
        <w:spacing w:beforeAutospacing="0" w:afterAutospacing="0" w:line="360" w:lineRule="auto"/>
        <w:jc w:val="both"/>
        <w:rPr>
          <w:rFonts w:ascii="Times New Roman Regular" w:hAnsi="Times New Roman Regular" w:cs="Times New Roman Regul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F</w:t>
      </w: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ig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.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1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 xml:space="preserve"> </w:t>
      </w:r>
      <w:r>
        <w:rPr>
          <w:rFonts w:ascii="Times New Roman Regular" w:hAnsi="Times New Roman Regular" w:cs="Times New Roman Regular"/>
          <w:i/>
          <w:iCs/>
        </w:rPr>
        <w:t>H. pylori</w:t>
      </w:r>
      <w:r>
        <w:rPr>
          <w:rFonts w:ascii="Times New Roman Regular" w:hAnsi="Times New Roman Regular" w:cs="Times New Roman Regular"/>
        </w:rPr>
        <w:t xml:space="preserve"> Infection Distribution and Rates Across Different Age Groups Among Enrolled Participants</w:t>
      </w:r>
    </w:p>
    <w:p w14:paraId="3DCAA858">
      <w:pPr>
        <w:pStyle w:val="4"/>
        <w:widowControl/>
        <w:spacing w:beforeAutospacing="0" w:afterAutospacing="0" w:line="360" w:lineRule="auto"/>
        <w:ind w:firstLine="240" w:firstLineChars="100"/>
        <w:jc w:val="both"/>
        <w:rPr>
          <w:rFonts w:ascii="Times New Roman Regular" w:hAnsi="Times New Roman Regular" w:cs="Times New Roman Regular"/>
        </w:rPr>
      </w:pPr>
      <w:r>
        <w:rPr>
          <w:rFonts w:hint="eastAsia" w:ascii="Times New Roman Regular" w:hAnsi="Times New Roman Regular" w:cs="Times New Roman Regular"/>
        </w:rPr>
        <w:drawing>
          <wp:inline distT="0" distB="0" distL="114300" distR="114300">
            <wp:extent cx="5271770" cy="4506595"/>
            <wp:effectExtent l="0" t="0" r="11430" b="14605"/>
            <wp:docPr id="10" name="图片 10" descr="截屏2025-07-21 20.16.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截屏2025-07-21 20.16.3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50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B3C42">
      <w:pPr>
        <w:pStyle w:val="4"/>
        <w:widowControl/>
        <w:spacing w:beforeAutospacing="0" w:afterAutospacing="0" w:line="360" w:lineRule="auto"/>
        <w:jc w:val="both"/>
        <w:rPr>
          <w:rFonts w:ascii="Times New Roman Regular" w:hAnsi="Times New Roman Regular" w:eastAsia="宋体" w:cs="Times New Roman Regular"/>
          <w:lang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F</w:t>
      </w: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ig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.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2</w:t>
      </w:r>
      <w:r>
        <w:rPr>
          <w:rFonts w:ascii="Times New Roman Bold" w:hAnsi="Times New Roman Bold" w:eastAsia="宋体" w:cs="Times New Roman Bold"/>
          <w:b/>
          <w:bCs/>
          <w:lang w:bidi="ar"/>
        </w:rPr>
        <w:t xml:space="preserve"> </w:t>
      </w:r>
      <w:r>
        <w:rPr>
          <w:rFonts w:ascii="Times New Roman Regular" w:hAnsi="Times New Roman Regular" w:eastAsia="宋体" w:cs="Times New Roman Regular"/>
          <w:lang w:bidi="ar"/>
        </w:rPr>
        <w:t xml:space="preserve">Stratified analysis of </w:t>
      </w:r>
      <w:r>
        <w:rPr>
          <w:rFonts w:ascii="Times New Roman Regular" w:hAnsi="Times New Roman Regular" w:eastAsia="宋体" w:cs="Times New Roman Regular"/>
          <w:i/>
          <w:iCs/>
          <w:lang w:bidi="ar"/>
        </w:rPr>
        <w:t>H. pylori</w:t>
      </w:r>
      <w:r>
        <w:rPr>
          <w:rFonts w:ascii="Times New Roman Regular" w:hAnsi="Times New Roman Regular" w:eastAsia="宋体" w:cs="Times New Roman Regular"/>
          <w:lang w:bidi="ar"/>
        </w:rPr>
        <w:t xml:space="preserve"> infection in the enrolled couples </w:t>
      </w:r>
      <w:r>
        <w:rPr>
          <w:rFonts w:hint="default" w:ascii="Times New Roman Bold" w:hAnsi="Times New Roman Bold" w:eastAsia="宋体" w:cs="Times New Roman Bold"/>
          <w:b/>
          <w:bCs/>
          <w:lang w:bidi="ar"/>
        </w:rPr>
        <w:t>(a)</w:t>
      </w:r>
      <w:r>
        <w:rPr>
          <w:rFonts w:ascii="Times New Roman Regular" w:hAnsi="Times New Roman Regular" w:eastAsia="宋体" w:cs="Times New Roman Regular"/>
          <w:lang w:bidi="ar"/>
        </w:rPr>
        <w:t xml:space="preserve"> Distribution of couples number per household in 125 enrolled families </w:t>
      </w:r>
      <w:r>
        <w:rPr>
          <w:rFonts w:hint="default" w:ascii="Times New Roman Bold" w:hAnsi="Times New Roman Bold" w:eastAsia="宋体" w:cs="Times New Roman Bold"/>
          <w:b/>
          <w:bCs/>
          <w:lang w:bidi="ar"/>
        </w:rPr>
        <w:t xml:space="preserve">(b) </w:t>
      </w:r>
      <w:r>
        <w:rPr>
          <w:rFonts w:ascii="Times New Roman Regular" w:hAnsi="Times New Roman Regular" w:eastAsia="宋体" w:cs="Times New Roman Regular"/>
          <w:lang w:bidi="ar"/>
        </w:rPr>
        <w:t xml:space="preserve">Infection status of the total 153 couples </w:t>
      </w:r>
      <w:r>
        <w:rPr>
          <w:rFonts w:hint="default" w:ascii="Times New Roman Bold" w:hAnsi="Times New Roman Bold" w:eastAsia="宋体" w:cs="Times New Roman Bold"/>
          <w:b/>
          <w:bCs/>
          <w:lang w:bidi="ar"/>
        </w:rPr>
        <w:t xml:space="preserve">(c) </w:t>
      </w:r>
      <w:r>
        <w:rPr>
          <w:rFonts w:ascii="Times New Roman Regular" w:hAnsi="Times New Roman Regular" w:eastAsia="宋体" w:cs="Times New Roman Regular"/>
          <w:lang w:bidi="ar"/>
        </w:rPr>
        <w:t xml:space="preserve">Correlation of couple cohabitation time and H. pylori infection rate of 153 couples </w:t>
      </w:r>
      <w:r>
        <w:rPr>
          <w:rFonts w:hint="default" w:ascii="Times New Roman Bold" w:hAnsi="Times New Roman Bold" w:eastAsia="宋体" w:cs="Times New Roman Bold"/>
          <w:b/>
          <w:bCs/>
          <w:lang w:bidi="ar"/>
        </w:rPr>
        <w:t>(d)</w:t>
      </w:r>
      <w:r>
        <w:rPr>
          <w:rFonts w:ascii="Times New Roman Regular" w:hAnsi="Times New Roman Regular" w:eastAsia="宋体" w:cs="Times New Roman Regular"/>
          <w:lang w:bidi="ar"/>
        </w:rPr>
        <w:t xml:space="preserve"> Correlation of annual household income and couple infection status</w:t>
      </w:r>
    </w:p>
    <w:p w14:paraId="7D44DB65">
      <w:pPr>
        <w:pStyle w:val="4"/>
        <w:widowControl/>
        <w:spacing w:beforeAutospacing="0" w:afterAutospacing="0" w:line="360" w:lineRule="auto"/>
        <w:jc w:val="both"/>
        <w:rPr>
          <w:rFonts w:ascii="Times New Roman" w:hAnsi="Times New Roman"/>
          <w:kern w:val="2"/>
        </w:rPr>
      </w:pPr>
      <w:r>
        <w:rPr>
          <w:rFonts w:hint="eastAsia" w:ascii="Times New Roman" w:hAnsi="Times New Roman"/>
          <w:kern w:val="2"/>
        </w:rPr>
        <w:drawing>
          <wp:inline distT="0" distB="0" distL="114300" distR="114300">
            <wp:extent cx="5274310" cy="2985135"/>
            <wp:effectExtent l="0" t="0" r="8890" b="12065"/>
            <wp:docPr id="11" name="图片 11" descr="截屏2025-07-21 20.17.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截屏2025-07-21 20.17.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8E15C">
      <w:pPr>
        <w:pStyle w:val="4"/>
        <w:widowControl/>
        <w:spacing w:beforeAutospacing="0" w:afterAutospacing="0" w:line="360" w:lineRule="auto"/>
        <w:jc w:val="both"/>
        <w:rPr>
          <w:rFonts w:hint="default"/>
          <w:lang w:val="en-US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F</w:t>
      </w: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ig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.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3 </w:t>
      </w:r>
      <w:r>
        <w:rPr>
          <w:rFonts w:ascii="Times New Roman" w:hAnsi="Times New Roman" w:eastAsia="宋体"/>
          <w:lang w:bidi="ar"/>
        </w:rPr>
        <w:t xml:space="preserve">Stratified analysis of </w:t>
      </w:r>
      <w:r>
        <w:rPr>
          <w:rFonts w:ascii="Times New Roman Italic" w:hAnsi="Times New Roman Italic" w:eastAsia="宋体" w:cs="Times New Roman Italic"/>
          <w:i/>
          <w:iCs/>
          <w:lang w:bidi="ar"/>
        </w:rPr>
        <w:t>H. pylori</w:t>
      </w:r>
      <w:r>
        <w:rPr>
          <w:rFonts w:ascii="Times New Roman" w:hAnsi="Times New Roman" w:eastAsia="宋体"/>
          <w:lang w:bidi="ar"/>
        </w:rPr>
        <w:t xml:space="preserve"> in offspring</w:t>
      </w:r>
      <w:r>
        <w:rPr>
          <w:rFonts w:hint="default" w:ascii="Times New Roman Bold" w:hAnsi="Times New Roman Bold" w:eastAsia="宋体" w:cs="Times New Roman Bold"/>
          <w:b/>
          <w:bCs/>
          <w:lang w:bidi="ar"/>
        </w:rPr>
        <w:t xml:space="preserve"> (a) </w:t>
      </w:r>
      <w:r>
        <w:rPr>
          <w:rFonts w:ascii="Times New Roman" w:hAnsi="Times New Roman" w:eastAsia="宋体"/>
          <w:lang w:bidi="ar"/>
        </w:rPr>
        <w:t xml:space="preserve">Parental infection status of 127 offspring </w:t>
      </w:r>
      <w:r>
        <w:rPr>
          <w:rFonts w:hint="default" w:ascii="Times New Roman Bold" w:hAnsi="Times New Roman Bold" w:eastAsia="宋体" w:cs="Times New Roman Bold"/>
          <w:b/>
          <w:bCs/>
          <w:lang w:bidi="ar"/>
        </w:rPr>
        <w:t>(b) </w:t>
      </w:r>
      <w:r>
        <w:rPr>
          <w:rFonts w:ascii="Times New Roman" w:hAnsi="Times New Roman" w:eastAsia="宋体"/>
          <w:lang w:bidi="ar"/>
        </w:rPr>
        <w:t>Correlation of parental infection status and offspring infection rate</w:t>
      </w:r>
    </w:p>
    <w:p w14:paraId="44816A13">
      <w:pPr>
        <w:rPr>
          <w:rFonts w:hint="default"/>
          <w:lang w:val="en-US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Webdings">
    <w:panose1 w:val="05030102010509060703"/>
    <w:charset w:val="00"/>
    <w:family w:val="decorative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B0227">
    <w:pPr>
      <w:pStyle w:val="3"/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31BD6">
    <w:pPr>
      <w:pStyle w:val="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3F9918"/>
    <w:rsid w:val="3F5FF8AD"/>
    <w:rsid w:val="4FFBBA7B"/>
    <w:rsid w:val="B8E7E553"/>
    <w:rsid w:val="BE9FCB91"/>
    <w:rsid w:val="BFE76D5F"/>
    <w:rsid w:val="DF3D5DEA"/>
    <w:rsid w:val="E9CF2D11"/>
    <w:rsid w:val="FB3F9918"/>
    <w:rsid w:val="FD1FF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1"/>
    <w:pPr>
      <w:ind w:left="117"/>
      <w:outlineLvl w:val="0"/>
    </w:pPr>
    <w:rPr>
      <w:b/>
      <w:bCs/>
      <w:sz w:val="25"/>
      <w:szCs w:val="25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21"/>
      <w:szCs w:val="21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paragraph" w:styleId="10">
    <w:name w:val="List Paragraph"/>
    <w:basedOn w:val="1"/>
    <w:qFormat/>
    <w:uiPriority w:val="1"/>
    <w:pPr>
      <w:ind w:left="332" w:hanging="215"/>
    </w:pPr>
  </w:style>
  <w:style w:type="paragraph" w:customStyle="1" w:styleId="11">
    <w:name w:val="Table Paragraph"/>
    <w:basedOn w:val="1"/>
    <w:qFormat/>
    <w:uiPriority w:val="1"/>
    <w:pPr>
      <w:ind w:left="96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607</TotalTime>
  <ScaleCrop>false</ScaleCrop>
  <LinksUpToDate>false</LinksUpToDate>
  <CharactersWithSpaces>0</CharactersWithSpaces>
  <Application>WPS Office_12.1.22218.22218_F1E327BC-269C-435d-A152-05C5408002CA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2025-07-02T05:41:00Z</dcterms:created>
  <dc:creator>Re&amp;M</dc:creator>
  <cp:lastModifiedBy>Re&amp;M</cp:lastModifiedBy>
  <dcterms:modified xsi:type="dcterms:W3CDTF">2026-10-09T00:11:36Z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2052-12.1.22218.22218</vt:lpwstr>
  </property>
  <property fmtid="{D5CDD505-2E9C-101B-9397-08002B2CF9AE}" pid="3" name="ICV">
    <vt:lpwstr>D9CB8EB9AC21310D219462682E86B12B_41</vt:lpwstr>
  </property>
</Properties>
</file>