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F84" w:rsidRDefault="00FA374F" w:rsidP="00FA374F">
      <w:pPr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Additional file 2</w:t>
      </w:r>
      <w:r w:rsidR="00037F84">
        <w:rPr>
          <w:rFonts w:ascii="Arial" w:hAnsi="Arial" w:cs="Arial"/>
          <w:lang w:val="en-GB"/>
        </w:rPr>
        <w:t>:</w:t>
      </w:r>
      <w:r w:rsidR="00037F84" w:rsidRPr="00A0651B">
        <w:rPr>
          <w:rFonts w:ascii="Arial" w:hAnsi="Arial" w:cs="Arial"/>
          <w:lang w:val="en-GB"/>
        </w:rPr>
        <w:t xml:space="preserve"> Categorical variables: number of herds in PRRS</w:t>
      </w:r>
      <w:r w:rsidR="00376557">
        <w:rPr>
          <w:rFonts w:ascii="Arial" w:hAnsi="Arial" w:cs="Arial"/>
          <w:lang w:val="en-GB"/>
        </w:rPr>
        <w:t>V</w:t>
      </w:r>
      <w:r w:rsidR="00037F84" w:rsidRPr="00A0651B">
        <w:rPr>
          <w:rFonts w:ascii="Arial" w:hAnsi="Arial" w:cs="Arial"/>
          <w:lang w:val="en-GB"/>
        </w:rPr>
        <w:t xml:space="preserve"> </w:t>
      </w:r>
      <w:r w:rsidR="00804545">
        <w:rPr>
          <w:rFonts w:ascii="Arial" w:hAnsi="Arial" w:cs="Arial"/>
          <w:lang w:val="en-GB"/>
        </w:rPr>
        <w:t>positive</w:t>
      </w:r>
      <w:r w:rsidR="00037F84" w:rsidRPr="00A0651B">
        <w:rPr>
          <w:rFonts w:ascii="Arial" w:hAnsi="Arial" w:cs="Arial"/>
          <w:lang w:val="en-GB"/>
        </w:rPr>
        <w:t xml:space="preserve"> (pos) and </w:t>
      </w:r>
      <w:proofErr w:type="spellStart"/>
      <w:r w:rsidR="00037F84" w:rsidRPr="00A0651B">
        <w:rPr>
          <w:rFonts w:ascii="Arial" w:hAnsi="Arial" w:cs="Arial"/>
          <w:lang w:val="en-GB"/>
        </w:rPr>
        <w:t>PRRS</w:t>
      </w:r>
      <w:r w:rsidR="00376557">
        <w:rPr>
          <w:rFonts w:ascii="Arial" w:hAnsi="Arial" w:cs="Arial"/>
          <w:lang w:val="en-GB"/>
        </w:rPr>
        <w:t>V</w:t>
      </w:r>
      <w:proofErr w:type="spellEnd"/>
      <w:r w:rsidR="00037F84" w:rsidRPr="00A0651B">
        <w:rPr>
          <w:rFonts w:ascii="Arial" w:hAnsi="Arial" w:cs="Arial"/>
          <w:lang w:val="en-GB"/>
        </w:rPr>
        <w:t xml:space="preserve"> </w:t>
      </w:r>
      <w:r w:rsidR="00804545">
        <w:rPr>
          <w:rFonts w:ascii="Arial" w:hAnsi="Arial" w:cs="Arial"/>
          <w:lang w:val="en-GB"/>
        </w:rPr>
        <w:t>negative</w:t>
      </w:r>
      <w:r w:rsidR="00037F84" w:rsidRPr="00A0651B">
        <w:rPr>
          <w:rFonts w:ascii="Arial" w:hAnsi="Arial" w:cs="Arial"/>
          <w:lang w:val="en-GB"/>
        </w:rPr>
        <w:t xml:space="preserve"> (</w:t>
      </w:r>
      <w:proofErr w:type="spellStart"/>
      <w:r w:rsidR="00037F84" w:rsidRPr="00A0651B">
        <w:rPr>
          <w:rFonts w:ascii="Arial" w:hAnsi="Arial" w:cs="Arial"/>
          <w:lang w:val="en-GB"/>
        </w:rPr>
        <w:t>neg</w:t>
      </w:r>
      <w:proofErr w:type="spellEnd"/>
      <w:r w:rsidR="00037F84" w:rsidRPr="00A0651B">
        <w:rPr>
          <w:rFonts w:ascii="Arial" w:hAnsi="Arial" w:cs="Arial"/>
          <w:lang w:val="en-GB"/>
        </w:rPr>
        <w:t xml:space="preserve">) herds per category and result of Chi square / Fisher’s </w:t>
      </w:r>
      <w:proofErr w:type="spellStart"/>
      <w:r w:rsidR="00037F84" w:rsidRPr="00A0651B">
        <w:rPr>
          <w:rFonts w:ascii="Arial" w:hAnsi="Arial" w:cs="Arial"/>
          <w:lang w:val="en-GB"/>
        </w:rPr>
        <w:t>Exakt</w:t>
      </w:r>
      <w:proofErr w:type="spellEnd"/>
      <w:r w:rsidR="00037F84" w:rsidRPr="00A0651B">
        <w:rPr>
          <w:rFonts w:ascii="Arial" w:hAnsi="Arial" w:cs="Arial"/>
          <w:lang w:val="en-GB"/>
        </w:rPr>
        <w:t xml:space="preserve"> test (p-value)</w:t>
      </w:r>
    </w:p>
    <w:p w:rsidR="00FA374F" w:rsidRPr="00AA7AF3" w:rsidRDefault="00FA374F" w:rsidP="00FA374F">
      <w:pPr>
        <w:jc w:val="both"/>
        <w:rPr>
          <w:rFonts w:ascii="Arial" w:hAnsi="Arial" w:cs="Arial"/>
          <w:lang w:val="en-GB"/>
        </w:rPr>
      </w:pPr>
    </w:p>
    <w:tbl>
      <w:tblPr>
        <w:tblW w:w="9751" w:type="dxa"/>
        <w:tblInd w:w="-10" w:type="dxa"/>
        <w:tblCellMar>
          <w:left w:w="28" w:type="dxa"/>
          <w:right w:w="57" w:type="dxa"/>
        </w:tblCellMar>
        <w:tblLook w:val="04A0"/>
      </w:tblPr>
      <w:tblGrid>
        <w:gridCol w:w="3795"/>
        <w:gridCol w:w="4190"/>
        <w:gridCol w:w="575"/>
        <w:gridCol w:w="624"/>
        <w:gridCol w:w="567"/>
      </w:tblGrid>
      <w:tr w:rsidR="00037F84" w:rsidRPr="00713FAA" w:rsidTr="005437D4">
        <w:trPr>
          <w:trHeight w:val="20"/>
        </w:trPr>
        <w:tc>
          <w:tcPr>
            <w:tcW w:w="37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7F84" w:rsidRPr="00713FAA" w:rsidRDefault="00037F84" w:rsidP="003A353C">
            <w:pPr>
              <w:ind w:firstLineChars="100" w:firstLine="181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e-CH"/>
              </w:rPr>
            </w:pPr>
            <w:r w:rsidRPr="00713FAA"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en-GB" w:eastAsia="de-CH"/>
              </w:rPr>
              <w:t>Variables</w:t>
            </w:r>
          </w:p>
        </w:tc>
        <w:tc>
          <w:tcPr>
            <w:tcW w:w="419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7F84" w:rsidRPr="00713FAA" w:rsidRDefault="00037F84" w:rsidP="00FA374F">
            <w:pP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e-CH"/>
              </w:rPr>
            </w:pPr>
            <w:r w:rsidRPr="00713FAA"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en-GB" w:eastAsia="de-CH"/>
              </w:rPr>
              <w:t>Categories</w:t>
            </w:r>
          </w:p>
        </w:tc>
        <w:tc>
          <w:tcPr>
            <w:tcW w:w="5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37F84" w:rsidRPr="00713FAA" w:rsidRDefault="00037F84" w:rsidP="00376557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e-CH"/>
              </w:rPr>
            </w:pPr>
            <w:r w:rsidRPr="00713FAA"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en-GB" w:eastAsia="de-CH"/>
              </w:rPr>
              <w:t>PRRS</w:t>
            </w:r>
            <w:r w:rsidR="00376557"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en-GB" w:eastAsia="de-CH"/>
              </w:rPr>
              <w:t>V</w:t>
            </w:r>
            <w:r w:rsidRPr="00713FAA"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en-GB" w:eastAsia="de-CH"/>
              </w:rPr>
              <w:t xml:space="preserve"> pos</w:t>
            </w:r>
          </w:p>
        </w:tc>
        <w:tc>
          <w:tcPr>
            <w:tcW w:w="62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37F84" w:rsidRPr="00713FAA" w:rsidRDefault="00037F84" w:rsidP="00376557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e-CH"/>
              </w:rPr>
            </w:pPr>
            <w:proofErr w:type="spellStart"/>
            <w:r w:rsidRPr="00713FAA"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en-GB" w:eastAsia="de-CH"/>
              </w:rPr>
              <w:t>PRRS</w:t>
            </w:r>
            <w:r w:rsidR="00376557"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en-GB" w:eastAsia="de-CH"/>
              </w:rPr>
              <w:t>V</w:t>
            </w:r>
            <w:proofErr w:type="spellEnd"/>
            <w:r w:rsidRPr="00713FAA"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en-GB" w:eastAsia="de-CH"/>
              </w:rPr>
              <w:t xml:space="preserve"> </w:t>
            </w:r>
            <w:proofErr w:type="spellStart"/>
            <w:r w:rsidRPr="00713FAA"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713FAA" w:rsidRDefault="00037F84" w:rsidP="00FA374F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e-CH"/>
              </w:rPr>
            </w:pPr>
            <w:r w:rsidRPr="00713FAA"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en-GB" w:eastAsia="de-CH"/>
              </w:rPr>
              <w:t>p-value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3A353C">
            <w:pPr>
              <w:ind w:firstLineChars="100" w:firstLine="18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val="en-GB" w:eastAsia="de-CH"/>
              </w:rPr>
              <w:t>Herd characteristics</w:t>
            </w:r>
          </w:p>
        </w:tc>
        <w:tc>
          <w:tcPr>
            <w:tcW w:w="41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3A353C">
            <w:pPr>
              <w:ind w:firstLineChars="100" w:firstLine="18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de-CH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CH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C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Production type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piglet producer - sale of weaning pigs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0.96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piglet producer - sale of nursery pigs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farrow-to-finish (fattening of ≤70% of produced piglets)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farrow-to-finish (fattening of &gt;70% of produced piglets)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Farm sites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0.53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≥3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Sows - genetic (all or majority)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Danbred</w:t>
            </w:r>
            <w:proofErr w:type="spellEnd"/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0.07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 xml:space="preserve">BHZP or </w:t>
            </w:r>
            <w:proofErr w:type="spellStart"/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Topigs</w:t>
            </w:r>
            <w:proofErr w:type="spellEnd"/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 xml:space="preserve">PIC, </w:t>
            </w:r>
            <w:proofErr w:type="spellStart"/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Hülsenberger</w:t>
            </w:r>
            <w:proofErr w:type="spellEnd"/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, Hermitage, other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Sows - more than one genetic (recent change)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yes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0.49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no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3A353C">
            <w:pPr>
              <w:ind w:firstLineChars="100" w:firstLine="18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val="en-GB" w:eastAsia="de-CH"/>
              </w:rPr>
              <w:t>External Biosecurity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3A353C">
            <w:pPr>
              <w:ind w:firstLineChars="100" w:firstLine="18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de-CH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CH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CH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Location of farm in county with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high pig density (</w:t>
            </w:r>
            <w:proofErr w:type="spellStart"/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Cloppenburg</w:t>
            </w:r>
            <w:proofErr w:type="spellEnd"/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 xml:space="preserve">, </w:t>
            </w:r>
            <w:proofErr w:type="spellStart"/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Vechta</w:t>
            </w:r>
            <w:proofErr w:type="spellEnd"/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)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0.01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de-CH"/>
              </w:rPr>
              <w:t>moderate pig density  (Emsland, Osnabrück, Diepholz)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Number of other pig farms within 1000 m distance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 or 1 farm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0.01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 xml:space="preserve"> ≥ 2 farms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Production type of the closest pig farm within 1000 m distance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 xml:space="preserve">farm with </w:t>
            </w:r>
            <w:proofErr w:type="spellStart"/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with</w:t>
            </w:r>
            <w:proofErr w:type="spellEnd"/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 xml:space="preserve"> nursery pigs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0.53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farm with fattening pigs/boars only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Boar semen – purchase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from one boar stud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0.54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from two or more different boar stud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376557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Boar semen – purchase from PRRSV</w:t>
            </w:r>
            <w:r w:rsidR="00037F84"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 xml:space="preserve"> unsuspicious boar stud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yes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0.09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no or unknown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Gilts - replacement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replacement with self-bred animals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0.6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purchase or purchase and replacement with self-bred animals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 xml:space="preserve">Gilts - purchase, </w:t>
            </w:r>
            <w:r w:rsidR="0037655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PRRSV</w:t>
            </w: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 xml:space="preserve"> status of herd of origin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376557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PRRSV</w:t>
            </w:r>
            <w:r w:rsidR="00037F84"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 xml:space="preserve"> unsuspicious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0.81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unknown or positive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Boars - replacement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replacement with self-bred animals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0.74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purchase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Gilts - delivery to farm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breeder / raiser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0.46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commercial carrier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Nursery pigs - collection (sale, transport to different location)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yes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0.24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no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5C280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Nursery pigs - collection, transport vehicle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own transport vehicle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0.45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5C280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external transport vehicle (carrier, buyer)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Slaughter sows - collection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own transport vehicle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0.31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commercial carrier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Hygiene lock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no clear separation between dirty and clean area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0.09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clear separation between dirty and clean area / shower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Consultants have regular access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yes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0.94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no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Gestation check service has regular access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yes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0.87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no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Employment of external staff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yes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0.03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no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Gilts - purchase, quarantine/acclimatization phase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yes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0.27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no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Young boars - purchase, quarantine/acclimatization phase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yes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0.4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no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Gilts - purchase, quarantine/acclimatization barn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separate site / barn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0.11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separate compartment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Gilts - purchase, housing system quarantine/acclimatization barn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all in - all out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0.35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continuously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Gilts - purchase, contacts during quarantine/acclimatization phase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none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0.51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faeces, placentae, slaughter sows, nursery pigs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Gilts - integration with sows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separate group until farrowing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0.29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lastRenderedPageBreak/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together with sows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3A353C">
            <w:pPr>
              <w:ind w:firstLineChars="100" w:firstLine="18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val="en-GB" w:eastAsia="de-CH"/>
              </w:rPr>
              <w:t>Internal biosecurity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3A353C">
            <w:pPr>
              <w:ind w:firstLineChars="100" w:firstLine="18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de-CH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CH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CH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Use of the same equipment in various buildings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yes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0.16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no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Production / farrowing rhythm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1- or 2-weekly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0.01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3-, 4- or  5-weekly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Boars - use for breeding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yes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0.85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no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Combined breeding and gestation unit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yes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0.2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no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Breeding unit - housing system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all in - all out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0.01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continuously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Gestation unit - sow grouping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no groups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0.03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dynamic groups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fixed groups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 xml:space="preserve">Farrowing unit - compartment for intermediate </w:t>
            </w:r>
            <w:proofErr w:type="spellStart"/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farrowings</w:t>
            </w:r>
            <w:proofErr w:type="spellEnd"/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yes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0.37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no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Farrowing unit - housing system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all in - all out, strictly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0.57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all in - all out, not strictly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Farrowing unit - cleaning before restocking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yes, strictly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0.49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yes, not strictly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Farrowing unit - disinfection before restocking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yes, strictly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0.73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yes, not strictly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Farrowing unit - disinfectant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disinfectant brand 1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0.13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disinfectant brand 2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disinfectant brand 3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Suckling pigs - age at tail docking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1st day of life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0.24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≥ 2nd day of life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Suckling pigs - teeth grinding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yes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0.24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no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Suckling pigs - age at ear tagging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1st day of life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0.02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≥ 2nd day of life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Suckling pigs - proportion of fostered pigs per farrowing group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≤ 10 %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0.53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≥ 11%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Suckling pigs - age at weaning (days)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≤ 23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0.06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≥ 24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Nursery unit - cleaning before restocking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yes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0.71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no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Nursery unit - disinfection before restocking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yes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0.33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no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3A353C">
            <w:pPr>
              <w:ind w:firstLineChars="100" w:firstLine="18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val="en-GB" w:eastAsia="de-CH"/>
              </w:rPr>
              <w:t>Health and treatments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3A353C">
            <w:pPr>
              <w:ind w:firstLineChars="100" w:firstLine="18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de-CH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CH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CH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Sows - induction of farrowing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only rarely, if prolonged gestation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0.73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115</w:t>
            </w:r>
            <w:proofErr w:type="gramStart"/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./</w:t>
            </w:r>
            <w:proofErr w:type="gramEnd"/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116. day of gestation, if necessary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113./114 day of gestation, standard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Suckling pigs - 2nd application of iron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yes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0.51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no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Suckling pigs - 1st standard antibiotic treatment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yes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0.12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no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Suckling pigs - reason for 1st standard antibiotic treatment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infection of castration wound / umbilical infection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0.31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respiratory / intestinal infection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Suckling pigs - 2nd standard antibiotic treatment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yes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0.04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no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Suckling pigs - reason for 2nd standard antibiotic treatment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infection of castration wound / umbilical infection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0.92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respiratory / intestinal infection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Nursery pigs - 1st standard antibiotic treatment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yes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0.56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no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Nursery pigs - 2nd standard antibiotic treatment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yes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0.97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no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Nursery pigs - health issues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no health issues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0.24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health issues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Gilts - 1st standard antibiotic treatment during quarantine / acclimatization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yes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0.57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no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lastRenderedPageBreak/>
              <w:t>Gilts - 2nd standard antibiotic treatment during quarantine / acclimatization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yes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0.08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no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 xml:space="preserve">Sows – vaccination against </w:t>
            </w:r>
            <w:r w:rsidR="0037655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PRRSV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yes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0.09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no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 xml:space="preserve">Sows – </w:t>
            </w:r>
            <w:r w:rsidR="0037655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PRRSV</w:t>
            </w: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 xml:space="preserve"> vaccination scheme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mass vaccination, 3, 4 or 5 months interval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0.34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proofErr w:type="gramStart"/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according</w:t>
            </w:r>
            <w:proofErr w:type="gramEnd"/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 xml:space="preserve"> to the status or reproduction (6/60, during gestation etc.)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 xml:space="preserve">Sows – vaccination against porcine </w:t>
            </w:r>
            <w:proofErr w:type="spellStart"/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circo</w:t>
            </w:r>
            <w:proofErr w:type="spellEnd"/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 xml:space="preserve"> virus 2 (PCV2)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yes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0.39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no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Sows – vaccination against swine influenza virus (SIV)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yes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0.74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no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 xml:space="preserve">Sows – vaccination against </w:t>
            </w:r>
            <w:r w:rsidRPr="003C1FC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de-CH"/>
              </w:rPr>
              <w:t>E. coli</w:t>
            </w: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 xml:space="preserve"> or </w:t>
            </w:r>
            <w:r w:rsidRPr="003C1FC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de-CH"/>
              </w:rPr>
              <w:t xml:space="preserve">E. coli/Cl. </w:t>
            </w:r>
            <w:proofErr w:type="spellStart"/>
            <w:r w:rsidRPr="003C1FC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de-CH"/>
              </w:rPr>
              <w:t>perfringens</w:t>
            </w:r>
            <w:proofErr w:type="spellEnd"/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yes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0.13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no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Sows – simultaneous vaccinations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yes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0.28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no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 xml:space="preserve">Suckling pigs – vaccination against </w:t>
            </w:r>
            <w:r w:rsidR="0037655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PRRSV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yes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0.27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no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 xml:space="preserve">Suckling pigs – age (week of life) at vaccination against </w:t>
            </w:r>
            <w:r w:rsidR="0037655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PRRSV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1st or 2nd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0.54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3rd of 3th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Suckling pigs – vaccination against PCV2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yes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0.69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no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Suckling pigs – age (week of life) at vaccination against PCV2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1st or 2nd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0.57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3rd of 3th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Suckling pigs – PCV2 vaccine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vaccine A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0.32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vaccine B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776AF6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 xml:space="preserve">Suckling pigs – vaccination against </w:t>
            </w:r>
            <w:r w:rsidR="00776AF6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de-CH"/>
              </w:rPr>
              <w:t>M. </w:t>
            </w:r>
            <w:r w:rsidRPr="003C1FC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de-CH"/>
              </w:rPr>
              <w:t>hyopneumoniae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776AF6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yes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776AF6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776AF6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776AF6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0.29</w:t>
            </w:r>
          </w:p>
        </w:tc>
      </w:tr>
      <w:tr w:rsidR="00037F84" w:rsidRPr="00776AF6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776AF6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776AF6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no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776AF6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776AF6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776AF6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CH"/>
              </w:rPr>
            </w:pPr>
            <w:r w:rsidRPr="00776AF6">
              <w:rPr>
                <w:rFonts w:ascii="Calibri" w:eastAsia="Times New Roman" w:hAnsi="Calibri" w:cs="Calibri"/>
                <w:color w:val="000000"/>
                <w:lang w:val="en-US" w:eastAsia="de-CH"/>
              </w:rPr>
              <w:t> </w:t>
            </w:r>
          </w:p>
        </w:tc>
      </w:tr>
      <w:tr w:rsidR="00037F84" w:rsidRPr="00776AF6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776AF6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Suckling pigs – simultaneous vaccinations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776AF6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yes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776AF6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776AF6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776AF6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0.99</w:t>
            </w:r>
          </w:p>
        </w:tc>
      </w:tr>
      <w:tr w:rsidR="00037F84" w:rsidRPr="00776AF6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776AF6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776AF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776AF6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no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776AF6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776AF6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776AF6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CH"/>
              </w:rPr>
            </w:pPr>
            <w:r w:rsidRPr="00776AF6">
              <w:rPr>
                <w:rFonts w:ascii="Calibri" w:eastAsia="Times New Roman" w:hAnsi="Calibri" w:cs="Calibri"/>
                <w:color w:val="000000"/>
                <w:lang w:val="en-US"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Nursery pigs - vaccinations during nursery phase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yes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0.59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no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432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 xml:space="preserve">Gilts (in quarantine / acclimatization) – vaccination against </w:t>
            </w:r>
            <w:r w:rsidR="0037655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PRRSV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yes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0.2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no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 xml:space="preserve">Gilts – number of </w:t>
            </w:r>
            <w:r w:rsidR="0037655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PRRSV</w:t>
            </w: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 xml:space="preserve"> vaccinations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FA37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0.2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776AF6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776AF6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776AF6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Gilts – vaccination against PCV2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776AF6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yes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0.2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776AF6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776AF6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no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497547" w:rsidRDefault="00037F84" w:rsidP="00776AF6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Gilts – number of PCV2 vaccinations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776AF6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0.33</w:t>
            </w:r>
          </w:p>
        </w:tc>
      </w:tr>
      <w:tr w:rsidR="00037F84" w:rsidRPr="003C1FC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776AF6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776AF6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37F84" w:rsidRPr="003C1FCF" w:rsidTr="005437D4">
        <w:trPr>
          <w:trHeight w:hRule="exact" w:val="248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776AF6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Gilts – vaccination against SIV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7F84" w:rsidRPr="003C1FCF" w:rsidRDefault="00037F84" w:rsidP="00776AF6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yes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37F84" w:rsidRPr="003C1FCF" w:rsidRDefault="00037F84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3C1FC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0.54</w:t>
            </w:r>
          </w:p>
        </w:tc>
      </w:tr>
      <w:tr w:rsidR="00FA374F" w:rsidRPr="00FA374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</w:tcPr>
          <w:p w:rsidR="00FA374F" w:rsidRPr="00FA374F" w:rsidRDefault="00FA374F" w:rsidP="00776AF6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</w:pPr>
            <w:bookmarkStart w:id="0" w:name="_GoBack"/>
            <w:bookmarkEnd w:id="0"/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A374F" w:rsidRPr="00FA374F" w:rsidRDefault="00FA374F" w:rsidP="00776AF6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</w:pPr>
            <w:r w:rsidRPr="00FA374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no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A374F" w:rsidRPr="00FA374F" w:rsidRDefault="00FA374F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</w:pPr>
            <w:r w:rsidRPr="00FA374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A374F" w:rsidRPr="00FA374F" w:rsidRDefault="00FA374F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</w:pPr>
            <w:r w:rsidRPr="00FA374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A374F" w:rsidRPr="00FA374F" w:rsidRDefault="00FA374F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</w:pPr>
          </w:p>
        </w:tc>
      </w:tr>
      <w:tr w:rsidR="00FA374F" w:rsidRPr="00FA374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</w:tcPr>
          <w:p w:rsidR="00FA374F" w:rsidRPr="00FA374F" w:rsidRDefault="00FA374F" w:rsidP="00776AF6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</w:pPr>
            <w:r w:rsidRPr="00FA374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Gilts – vaccination against A. pleuropneumoniae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A374F" w:rsidRPr="00FA374F" w:rsidRDefault="00FA374F" w:rsidP="00776AF6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</w:pPr>
            <w:r w:rsidRPr="00FA374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yes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A374F" w:rsidRPr="00FA374F" w:rsidRDefault="00FA374F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</w:pPr>
            <w:r w:rsidRPr="00FA374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A374F" w:rsidRPr="00FA374F" w:rsidRDefault="00FA374F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</w:pPr>
            <w:r w:rsidRPr="00FA374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A374F" w:rsidRPr="00FA374F" w:rsidRDefault="00FA374F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</w:pPr>
            <w:r w:rsidRPr="00FA374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0.41</w:t>
            </w:r>
          </w:p>
        </w:tc>
      </w:tr>
      <w:tr w:rsidR="00FA374F" w:rsidRPr="00FA374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</w:tcPr>
          <w:p w:rsidR="00FA374F" w:rsidRPr="00FA374F" w:rsidRDefault="00FA374F" w:rsidP="00776AF6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</w:pP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A374F" w:rsidRPr="00FA374F" w:rsidRDefault="00FA374F" w:rsidP="00776AF6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</w:pPr>
            <w:r w:rsidRPr="00FA374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no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A374F" w:rsidRPr="00FA374F" w:rsidRDefault="00FA374F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</w:pPr>
            <w:r w:rsidRPr="00FA374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A374F" w:rsidRPr="00FA374F" w:rsidRDefault="00FA374F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</w:pPr>
            <w:r w:rsidRPr="00FA374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A374F" w:rsidRPr="00FA374F" w:rsidRDefault="00FA374F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</w:pPr>
          </w:p>
        </w:tc>
      </w:tr>
      <w:tr w:rsidR="00FA374F" w:rsidRPr="00FA374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</w:tcPr>
          <w:p w:rsidR="00FA374F" w:rsidRPr="00FA374F" w:rsidRDefault="00FA374F" w:rsidP="00776AF6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</w:pPr>
            <w:r w:rsidRPr="00FA374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Gilts – vaccination against M. pleuropneumoniae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A374F" w:rsidRPr="00FA374F" w:rsidRDefault="00FA374F" w:rsidP="00776AF6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</w:pPr>
            <w:r w:rsidRPr="00FA374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yes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A374F" w:rsidRPr="00FA374F" w:rsidRDefault="00FA374F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</w:pPr>
            <w:r w:rsidRPr="00FA374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A374F" w:rsidRPr="00FA374F" w:rsidRDefault="00FA374F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</w:pPr>
            <w:r w:rsidRPr="00FA374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A374F" w:rsidRPr="00FA374F" w:rsidRDefault="00FA374F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</w:pPr>
            <w:r w:rsidRPr="00FA374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0.33</w:t>
            </w:r>
          </w:p>
        </w:tc>
      </w:tr>
      <w:tr w:rsidR="00FA374F" w:rsidRPr="00FA374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</w:tcPr>
          <w:p w:rsidR="00FA374F" w:rsidRPr="00FA374F" w:rsidRDefault="00FA374F" w:rsidP="00776AF6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</w:pP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A374F" w:rsidRPr="00FA374F" w:rsidRDefault="00FA374F" w:rsidP="00776AF6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</w:pPr>
            <w:r w:rsidRPr="00FA374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no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A374F" w:rsidRPr="00FA374F" w:rsidRDefault="00FA374F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</w:pPr>
            <w:r w:rsidRPr="00FA374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A374F" w:rsidRPr="00FA374F" w:rsidRDefault="00FA374F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</w:pPr>
            <w:r w:rsidRPr="00FA374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A374F" w:rsidRPr="00FA374F" w:rsidRDefault="00FA374F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</w:pPr>
          </w:p>
        </w:tc>
      </w:tr>
      <w:tr w:rsidR="00FA374F" w:rsidRPr="00FA374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</w:tcPr>
          <w:p w:rsidR="00FA374F" w:rsidRPr="00FA374F" w:rsidRDefault="00FA374F" w:rsidP="00776AF6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</w:pPr>
            <w:r w:rsidRPr="00FA374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 xml:space="preserve">Gilts – vaccination against H. </w:t>
            </w:r>
            <w:proofErr w:type="spellStart"/>
            <w:r w:rsidRPr="00FA374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parasuis</w:t>
            </w:r>
            <w:proofErr w:type="spellEnd"/>
          </w:p>
        </w:tc>
        <w:tc>
          <w:tcPr>
            <w:tcW w:w="4190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FA374F" w:rsidRPr="00FA374F" w:rsidRDefault="00FA374F" w:rsidP="00776AF6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</w:pPr>
            <w:r w:rsidRPr="00FA374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yes</w:t>
            </w:r>
          </w:p>
        </w:tc>
        <w:tc>
          <w:tcPr>
            <w:tcW w:w="575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FA374F" w:rsidRPr="00FA374F" w:rsidRDefault="00FA374F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</w:pPr>
            <w:r w:rsidRPr="00FA374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FA374F" w:rsidRPr="00FA374F" w:rsidRDefault="00FA374F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</w:pPr>
            <w:r w:rsidRPr="00FA374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</w:tcPr>
          <w:p w:rsidR="00FA374F" w:rsidRPr="00FA374F" w:rsidRDefault="00FA374F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</w:pPr>
            <w:r w:rsidRPr="00FA374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0.42</w:t>
            </w:r>
          </w:p>
        </w:tc>
      </w:tr>
      <w:tr w:rsidR="00FA374F" w:rsidRPr="00FA374F" w:rsidTr="005437D4">
        <w:trPr>
          <w:trHeight w:hRule="exact" w:val="227"/>
        </w:trPr>
        <w:tc>
          <w:tcPr>
            <w:tcW w:w="379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A374F" w:rsidRPr="00FA374F" w:rsidRDefault="00FA374F" w:rsidP="00776AF6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</w:pP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374F" w:rsidRPr="00FA374F" w:rsidRDefault="00FA374F" w:rsidP="00776AF6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</w:pPr>
            <w:r w:rsidRPr="00FA374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no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A374F" w:rsidRPr="00FA374F" w:rsidRDefault="00FA374F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</w:pPr>
            <w:r w:rsidRPr="00FA374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27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A374F" w:rsidRPr="00FA374F" w:rsidRDefault="00FA374F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</w:pPr>
            <w:r w:rsidRPr="00FA374F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A374F" w:rsidRPr="00FA374F" w:rsidRDefault="00FA374F" w:rsidP="00FA374F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</w:pPr>
          </w:p>
        </w:tc>
      </w:tr>
    </w:tbl>
    <w:p w:rsidR="00256558" w:rsidRPr="00DA4C7E" w:rsidRDefault="00256558" w:rsidP="00F05205">
      <w:pPr>
        <w:rPr>
          <w:rFonts w:ascii="Arial" w:hAnsi="Arial" w:cs="Arial"/>
          <w:lang w:val="en-GB"/>
        </w:rPr>
      </w:pPr>
    </w:p>
    <w:sectPr w:rsidR="00256558" w:rsidRPr="00DA4C7E" w:rsidSect="003A353C">
      <w:pgSz w:w="11907" w:h="16839"/>
      <w:pgMar w:top="1417" w:right="992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F4355A"/>
    <w:multiLevelType w:val="hybridMultilevel"/>
    <w:tmpl w:val="D744C79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E816C4"/>
    <w:multiLevelType w:val="hybridMultilevel"/>
    <w:tmpl w:val="0106BA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8717B3"/>
    <w:multiLevelType w:val="hybridMultilevel"/>
    <w:tmpl w:val="1242E7FC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revisionView w:markup="0"/>
  <w:defaultTabStop w:val="708"/>
  <w:hyphenationZone w:val="425"/>
  <w:drawingGridHorizontalSpacing w:val="120"/>
  <w:displayHorizontalDrawingGridEvery w:val="2"/>
  <w:characterSpacingControl w:val="doNotCompress"/>
  <w:compat/>
  <w:rsids>
    <w:rsidRoot w:val="00037F84"/>
    <w:rsid w:val="00037F84"/>
    <w:rsid w:val="00135DA5"/>
    <w:rsid w:val="00190AF6"/>
    <w:rsid w:val="00233F78"/>
    <w:rsid w:val="00256558"/>
    <w:rsid w:val="00376557"/>
    <w:rsid w:val="003A353C"/>
    <w:rsid w:val="005437D4"/>
    <w:rsid w:val="00640D05"/>
    <w:rsid w:val="00776AF6"/>
    <w:rsid w:val="00804545"/>
    <w:rsid w:val="00911375"/>
    <w:rsid w:val="00DA4C7E"/>
    <w:rsid w:val="00E82B04"/>
    <w:rsid w:val="00F05205"/>
    <w:rsid w:val="00FA37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F84"/>
    <w:pPr>
      <w:spacing w:after="0" w:line="240" w:lineRule="auto"/>
    </w:pPr>
    <w:rPr>
      <w:rFonts w:eastAsiaTheme="minorEastAsia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7F8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37F8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7F8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7F8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7F8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7F84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7F84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7F84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7F8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7F8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37F8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7F84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7F84"/>
    <w:rPr>
      <w:rFonts w:eastAsiaTheme="minorEastAsia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7F84"/>
    <w:rPr>
      <w:rFonts w:eastAsiaTheme="minorEastAsia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7F84"/>
    <w:rPr>
      <w:rFonts w:eastAsiaTheme="minorEastAsia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7F84"/>
    <w:rPr>
      <w:rFonts w:eastAsiaTheme="minorEastAsia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7F84"/>
    <w:rPr>
      <w:rFonts w:eastAsiaTheme="minorEastAsia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7F84"/>
    <w:rPr>
      <w:rFonts w:asciiTheme="majorHAnsi" w:eastAsiaTheme="majorEastAsia" w:hAnsiTheme="majorHAnsi" w:cs="Times New Roman"/>
    </w:rPr>
  </w:style>
  <w:style w:type="character" w:styleId="LineNumber">
    <w:name w:val="line number"/>
    <w:basedOn w:val="DefaultParagraphFont"/>
    <w:uiPriority w:val="99"/>
    <w:semiHidden/>
    <w:unhideWhenUsed/>
    <w:rsid w:val="00037F84"/>
  </w:style>
  <w:style w:type="paragraph" w:styleId="Header">
    <w:name w:val="header"/>
    <w:basedOn w:val="Normal"/>
    <w:link w:val="HeaderChar"/>
    <w:uiPriority w:val="99"/>
    <w:unhideWhenUsed/>
    <w:rsid w:val="00037F8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7F84"/>
    <w:rPr>
      <w:rFonts w:eastAsiaTheme="minorEastAsia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37F8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7F84"/>
    <w:rPr>
      <w:rFonts w:eastAsiaTheme="minorEastAsia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37F8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7F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F84"/>
    <w:rPr>
      <w:rFonts w:ascii="Tahoma" w:eastAsiaTheme="minorEastAsi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37F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7F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7F84"/>
    <w:rPr>
      <w:rFonts w:eastAsiaTheme="minorEastAsia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7F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7F84"/>
    <w:rPr>
      <w:rFonts w:eastAsiaTheme="minorEastAsia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37F84"/>
    <w:pPr>
      <w:spacing w:after="0" w:line="240" w:lineRule="auto"/>
    </w:pPr>
    <w:rPr>
      <w:rFonts w:eastAsiaTheme="minorEastAsia" w:cs="Times New Roman"/>
    </w:rPr>
  </w:style>
  <w:style w:type="character" w:customStyle="1" w:styleId="VerbatimChar">
    <w:name w:val="Verbatim Char"/>
    <w:basedOn w:val="DefaultParagraphFont"/>
    <w:link w:val="SourceCode"/>
    <w:rsid w:val="00037F84"/>
    <w:rPr>
      <w:rFonts w:ascii="Consolas" w:hAnsi="Consolas"/>
      <w:shd w:val="clear" w:color="auto" w:fill="F8F8F8"/>
    </w:rPr>
  </w:style>
  <w:style w:type="paragraph" w:customStyle="1" w:styleId="SourceCode">
    <w:name w:val="Source Code"/>
    <w:basedOn w:val="Normal"/>
    <w:link w:val="VerbatimChar"/>
    <w:rsid w:val="00037F84"/>
    <w:pPr>
      <w:shd w:val="clear" w:color="auto" w:fill="F8F8F8"/>
      <w:wordWrap w:val="0"/>
      <w:spacing w:before="180" w:after="180"/>
    </w:pPr>
    <w:rPr>
      <w:rFonts w:ascii="Consolas" w:eastAsiaTheme="minorHAnsi" w:hAnsi="Consolas" w:cstheme="minorBidi"/>
      <w:sz w:val="22"/>
      <w:szCs w:val="22"/>
    </w:rPr>
  </w:style>
  <w:style w:type="paragraph" w:styleId="Caption">
    <w:name w:val="caption"/>
    <w:basedOn w:val="Normal"/>
    <w:next w:val="Normal"/>
    <w:uiPriority w:val="35"/>
    <w:unhideWhenUsed/>
    <w:rsid w:val="00037F84"/>
    <w:pPr>
      <w:spacing w:after="200"/>
    </w:pPr>
    <w:rPr>
      <w:b/>
      <w:bCs/>
      <w:color w:val="5B9BD5" w:themeColor="accent1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037F84"/>
    <w:rPr>
      <w:color w:val="800080"/>
      <w:u w:val="single"/>
    </w:rPr>
  </w:style>
  <w:style w:type="paragraph" w:customStyle="1" w:styleId="font5">
    <w:name w:val="font5"/>
    <w:basedOn w:val="Normal"/>
    <w:rsid w:val="00037F84"/>
    <w:pPr>
      <w:spacing w:before="100" w:beforeAutospacing="1" w:after="100" w:afterAutospacing="1"/>
    </w:pPr>
    <w:rPr>
      <w:rFonts w:ascii="Calibri" w:eastAsia="Times New Roman" w:hAnsi="Calibri"/>
      <w:color w:val="000000"/>
      <w:lang w:val="en-GB" w:eastAsia="en-GB"/>
    </w:rPr>
  </w:style>
  <w:style w:type="paragraph" w:customStyle="1" w:styleId="xl65">
    <w:name w:val="xl65"/>
    <w:basedOn w:val="Normal"/>
    <w:rsid w:val="00037F84"/>
    <w:pPr>
      <w:spacing w:before="100" w:beforeAutospacing="1" w:after="100" w:afterAutospacing="1"/>
    </w:pPr>
    <w:rPr>
      <w:rFonts w:ascii="Times New Roman" w:eastAsia="Times New Roman" w:hAnsi="Times New Roman"/>
      <w:b/>
      <w:bCs/>
      <w:i/>
      <w:iCs/>
      <w:lang w:val="en-GB" w:eastAsia="en-GB"/>
    </w:rPr>
  </w:style>
  <w:style w:type="paragraph" w:customStyle="1" w:styleId="xl67">
    <w:name w:val="xl67"/>
    <w:basedOn w:val="Normal"/>
    <w:rsid w:val="00037F84"/>
    <w:pPr>
      <w:spacing w:before="100" w:beforeAutospacing="1" w:after="100" w:afterAutospacing="1"/>
    </w:pPr>
    <w:rPr>
      <w:rFonts w:ascii="Times New Roman" w:eastAsia="Times New Roman" w:hAnsi="Times New Roman"/>
      <w:lang w:val="en-GB" w:eastAsia="en-GB"/>
    </w:rPr>
  </w:style>
  <w:style w:type="table" w:styleId="TableGrid">
    <w:name w:val="Table Grid"/>
    <w:basedOn w:val="TableNormal"/>
    <w:uiPriority w:val="39"/>
    <w:rsid w:val="00037F84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37F84"/>
    <w:pPr>
      <w:ind w:left="720"/>
      <w:contextualSpacing/>
    </w:pPr>
  </w:style>
  <w:style w:type="character" w:customStyle="1" w:styleId="KeywordTok">
    <w:name w:val="KeywordTok"/>
    <w:basedOn w:val="VerbatimChar"/>
    <w:rsid w:val="00037F84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CommentTok">
    <w:name w:val="CommentTok"/>
    <w:basedOn w:val="VerbatimChar"/>
    <w:rsid w:val="00037F84"/>
    <w:rPr>
      <w:rFonts w:ascii="Consolas" w:hAnsi="Consolas"/>
      <w:i/>
      <w:color w:val="8F5902"/>
      <w:sz w:val="22"/>
      <w:shd w:val="clear" w:color="auto" w:fill="F8F8F8"/>
    </w:rPr>
  </w:style>
  <w:style w:type="paragraph" w:styleId="Title">
    <w:name w:val="Title"/>
    <w:basedOn w:val="Normal"/>
    <w:next w:val="Normal"/>
    <w:link w:val="TitleChar"/>
    <w:uiPriority w:val="10"/>
    <w:qFormat/>
    <w:rsid w:val="00037F8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37F8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7F8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037F84"/>
    <w:rPr>
      <w:rFonts w:asciiTheme="majorHAnsi" w:eastAsiaTheme="majorEastAsia" w:hAnsiTheme="majorHAnsi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37F84"/>
    <w:rPr>
      <w:b/>
      <w:bCs/>
    </w:rPr>
  </w:style>
  <w:style w:type="character" w:styleId="Emphasis">
    <w:name w:val="Emphasis"/>
    <w:basedOn w:val="DefaultParagraphFont"/>
    <w:uiPriority w:val="20"/>
    <w:qFormat/>
    <w:rsid w:val="00037F84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037F84"/>
    <w:rPr>
      <w:szCs w:val="32"/>
    </w:rPr>
  </w:style>
  <w:style w:type="paragraph" w:styleId="Quote">
    <w:name w:val="Quote"/>
    <w:basedOn w:val="Normal"/>
    <w:next w:val="Normal"/>
    <w:link w:val="QuoteChar"/>
    <w:uiPriority w:val="29"/>
    <w:qFormat/>
    <w:rsid w:val="00037F84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037F84"/>
    <w:rPr>
      <w:rFonts w:eastAsiaTheme="minorEastAsia" w:cs="Times New Roman"/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F84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F84"/>
    <w:rPr>
      <w:rFonts w:eastAsiaTheme="minorEastAsia" w:cs="Times New Roman"/>
      <w:b/>
      <w:i/>
      <w:sz w:val="24"/>
    </w:rPr>
  </w:style>
  <w:style w:type="character" w:styleId="SubtleEmphasis">
    <w:name w:val="Subtle Emphasis"/>
    <w:uiPriority w:val="19"/>
    <w:qFormat/>
    <w:rsid w:val="00037F84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037F84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037F8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037F84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037F84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7F84"/>
    <w:pPr>
      <w:outlineLvl w:val="9"/>
    </w:pPr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58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1141</Words>
  <Characters>6510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Bundesverwaltung</Company>
  <LinksUpToDate>false</LinksUpToDate>
  <CharactersWithSpaces>7636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Nathues Christina BLV</dc:creator>
  <cp:keywords/>
  <dc:description/>
  <cp:lastModifiedBy>0013358</cp:lastModifiedBy>
  <cp:revision>4</cp:revision>
  <dcterms:created xsi:type="dcterms:W3CDTF">2018-09-12T12:07:00Z</dcterms:created>
  <dcterms:modified xsi:type="dcterms:W3CDTF">2018-09-14T13:49:00Z</dcterms:modified>
</cp:coreProperties>
</file>