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47" w:rsidRPr="00B3723B" w:rsidRDefault="00F926D8" w:rsidP="00B835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D41107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B83547" w:rsidRPr="00B3723B">
        <w:rPr>
          <w:rFonts w:ascii="Times New Roman" w:hAnsi="Times New Roman" w:cs="Times New Roman" w:hint="eastAsia"/>
          <w:b/>
          <w:sz w:val="24"/>
          <w:szCs w:val="24"/>
        </w:rPr>
        <w:t>: Assessment of biochemical measurements</w:t>
      </w:r>
    </w:p>
    <w:p w:rsidR="00B83547" w:rsidRDefault="00B83547" w:rsidP="00B835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5362">
        <w:rPr>
          <w:rFonts w:ascii="Times New Roman" w:hAnsi="Times New Roman" w:cs="Times New Roman"/>
          <w:sz w:val="24"/>
          <w:szCs w:val="24"/>
        </w:rPr>
        <w:t xml:space="preserve">Venous blood samples were collected in citrate and serum tubes and spun at room temperature. All blood samples were frozen at -70°C until assay. The serogroup of HCV was determined using an enzyme immunoassay (ELISA) kit (Tonen Chemistry, Tokyo, Japan). Serum HCV RNA levels were measured with a quantitive HCV RNA PCR assay (Amplicor-M kit, Roche Diagnostic, Tokyo, Japan). Serum AFP levels and hyaluronic acid levels were evaluated using an ELISA kit (Diagnostic System Laboratories, Webster, TX) and a Latex Agglutination- Turbidimetric Immunoassay (Sujirebio Inc., Tokyo, Japan), respectively. </w:t>
      </w:r>
      <w:r w:rsidRPr="009736ED">
        <w:rPr>
          <w:rFonts w:ascii="Times New Roman" w:hAnsi="Times New Roman" w:cs="Times New Roman" w:hint="eastAsia"/>
          <w:sz w:val="24"/>
          <w:szCs w:val="24"/>
        </w:rPr>
        <w:t>Natural killer (NK) cell activity was measured using peripheral-blood mononuclear cells isolated on Ficoll-Hypaque gradients. Peripheral blood mononuclear cells were plated in 96 wells at four different effector to target ratios and coincubated with chromium-labeled K562 targets for 4 hours at 37</w:t>
      </w:r>
      <w:r w:rsidRPr="009736ED">
        <w:rPr>
          <w:rFonts w:ascii="Times New Roman" w:hAnsi="Times New Roman" w:cs="Times New Roman"/>
          <w:sz w:val="24"/>
          <w:szCs w:val="24"/>
        </w:rPr>
        <w:t>°C</w:t>
      </w:r>
      <w:r w:rsidRPr="009736ED">
        <w:rPr>
          <w:rFonts w:ascii="Times New Roman" w:hAnsi="Times New Roman" w:cs="Times New Roman" w:hint="eastAsia"/>
          <w:sz w:val="24"/>
          <w:szCs w:val="24"/>
        </w:rPr>
        <w:t>。</w:t>
      </w:r>
      <w:r w:rsidRPr="009736ED">
        <w:rPr>
          <w:rFonts w:ascii="Times New Roman" w:hAnsi="Times New Roman" w:cs="Times New Roman" w:hint="eastAsia"/>
          <w:sz w:val="24"/>
          <w:szCs w:val="24"/>
        </w:rPr>
        <w:t>Th</w:t>
      </w:r>
      <w:r>
        <w:rPr>
          <w:rFonts w:ascii="Times New Roman" w:hAnsi="Times New Roman" w:cs="Times New Roman" w:hint="eastAsia"/>
          <w:sz w:val="24"/>
          <w:szCs w:val="24"/>
        </w:rPr>
        <w:t xml:space="preserve">e cells were harvested, and the percentage of specific lysis was determined using the following formula: 100 (mean experimental counts per minutes cpm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 w:hint="eastAsia"/>
          <w:sz w:val="24"/>
          <w:szCs w:val="24"/>
        </w:rPr>
        <w:t xml:space="preserve"> mean spontaneous release cpm)/(mean maximum release cpm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 w:hint="eastAsia"/>
          <w:sz w:val="24"/>
          <w:szCs w:val="24"/>
        </w:rPr>
        <w:t xml:space="preserve"> mean spontaneous release cpm). </w:t>
      </w:r>
      <w:r w:rsidRPr="00905362">
        <w:rPr>
          <w:rFonts w:ascii="Times New Roman" w:hAnsi="Times New Roman" w:cs="Times New Roman"/>
          <w:sz w:val="24"/>
          <w:szCs w:val="24"/>
        </w:rPr>
        <w:t>The other biochemical data and the whole blood cell counts were measured by standard methods using a conventional automated analyzer.</w:t>
      </w:r>
    </w:p>
    <w:p w:rsidR="001D510F" w:rsidRPr="00B83547" w:rsidRDefault="001D510F"/>
    <w:sectPr w:rsidR="001D510F" w:rsidRPr="00B83547" w:rsidSect="005039B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039B1"/>
    <w:rsid w:val="001D510F"/>
    <w:rsid w:val="005039B1"/>
    <w:rsid w:val="00560EBE"/>
    <w:rsid w:val="00AA3AE7"/>
    <w:rsid w:val="00B83547"/>
    <w:rsid w:val="00D41107"/>
    <w:rsid w:val="00F9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547"/>
    <w:pPr>
      <w:widowControl w:val="0"/>
      <w:jc w:val="both"/>
    </w:pPr>
    <w:rPr>
      <w:rFonts w:asciiTheme="minorEastAsia" w:cs="Courier New"/>
      <w:kern w:val="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547"/>
    <w:pPr>
      <w:widowControl w:val="0"/>
      <w:jc w:val="both"/>
    </w:pPr>
    <w:rPr>
      <w:rFonts w:asciiTheme="minorEastAsia" w:cs="Courier New"/>
      <w:kern w:val="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澤本良子</dc:creator>
  <cp:lastModifiedBy>Real, Francis Frank</cp:lastModifiedBy>
  <cp:revision>4</cp:revision>
  <dcterms:created xsi:type="dcterms:W3CDTF">2015-10-28T11:45:00Z</dcterms:created>
  <dcterms:modified xsi:type="dcterms:W3CDTF">2016-07-27T14:22:00Z</dcterms:modified>
</cp:coreProperties>
</file>