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3E446" w14:textId="77777777" w:rsidR="007F6453" w:rsidRPr="00B9047F" w:rsidRDefault="005F4EE7">
      <w:pPr>
        <w:pStyle w:val="1"/>
        <w:spacing w:line="480" w:lineRule="auto"/>
      </w:pPr>
      <w:r w:rsidRPr="00B9047F">
        <w:t xml:space="preserve">Additional File 1. </w:t>
      </w:r>
    </w:p>
    <w:p w14:paraId="3263E447" w14:textId="77777777" w:rsidR="007F6453" w:rsidRPr="00B9047F" w:rsidRDefault="005F4EE7">
      <w:pPr>
        <w:pStyle w:val="1"/>
        <w:spacing w:line="480" w:lineRule="auto"/>
      </w:pPr>
      <w:r w:rsidRPr="00B9047F">
        <w:t>A. Participant sampling strategy</w:t>
      </w:r>
    </w:p>
    <w:p w14:paraId="3263E448" w14:textId="77777777" w:rsidR="007F6453" w:rsidRPr="00B9047F" w:rsidRDefault="007F6453">
      <w:pPr>
        <w:widowControl/>
        <w:spacing w:line="480" w:lineRule="auto"/>
        <w:jc w:val="left"/>
        <w:rPr>
          <w:rFonts w:ascii="Times New Roman" w:eastAsia="Times New Roman" w:hAnsi="Times New Roman" w:cs="Times New Roman"/>
          <w:sz w:val="24"/>
        </w:rPr>
      </w:pPr>
    </w:p>
    <w:p w14:paraId="3263E449" w14:textId="139D5EB7" w:rsidR="007F6453" w:rsidRPr="00B9047F" w:rsidRDefault="005F4EE7">
      <w:pPr>
        <w:widowControl/>
        <w:spacing w:line="480" w:lineRule="auto"/>
        <w:jc w:val="left"/>
        <w:rPr>
          <w:rFonts w:ascii="Times New Roman" w:eastAsia="Times New Roman" w:hAnsi="Times New Roman" w:cs="Times New Roman"/>
          <w:sz w:val="24"/>
        </w:rPr>
      </w:pPr>
      <w:r w:rsidRPr="00B9047F">
        <w:rPr>
          <w:rFonts w:ascii="Times New Roman" w:eastAsia="Times New Roman" w:hAnsi="Times New Roman" w:cs="Times New Roman"/>
          <w:sz w:val="24"/>
        </w:rPr>
        <w:t>Our panel survey recruited Japanese adults aged ≥ 20 years with the assistance of a web-based company (Cross Marketing, Shinjuku, Tokyo, Japan). The target sample size was 1500 participants due to the project's budget constraints. The sample size was set at a 1:1 ratio for men and women (750 each) and a 1:1 ratio for older and younger individuals of each sex (375 each for each sex). To sample individuals with and without obesity, sampling ratios were established using the original categories for which the web-based company panel was registered in advance. Specifically, we set the number of individuals to ensure a 10:3:2 ratio among those who reported a history of hospitalization or clinic visits for obesity, those who were worried about obesity, and those who did not report these problems (i.e., the general population) (i.e., 250, 75, and 50 individuals for each sex and each age group, respectively).</w:t>
      </w:r>
    </w:p>
    <w:p w14:paraId="3263E44A" w14:textId="77777777" w:rsidR="007F6453" w:rsidRPr="00B9047F" w:rsidRDefault="007F6453">
      <w:pPr>
        <w:widowControl/>
        <w:spacing w:line="480" w:lineRule="auto"/>
        <w:jc w:val="left"/>
        <w:rPr>
          <w:rFonts w:ascii="Times New Roman" w:eastAsia="Times New Roman" w:hAnsi="Times New Roman" w:cs="Times New Roman"/>
          <w:sz w:val="24"/>
        </w:rPr>
      </w:pPr>
    </w:p>
    <w:p w14:paraId="3263E44B" w14:textId="77777777" w:rsidR="007F6453" w:rsidRPr="00B9047F" w:rsidRDefault="005F4EE7">
      <w:pPr>
        <w:spacing w:line="480" w:lineRule="auto"/>
        <w:rPr>
          <w:rFonts w:ascii="Times New Roman" w:eastAsia="Times New Roman" w:hAnsi="Times New Roman" w:cs="Times New Roman"/>
          <w:sz w:val="24"/>
        </w:rPr>
      </w:pPr>
      <w:r w:rsidRPr="00B9047F">
        <w:rPr>
          <w:rFonts w:ascii="Times New Roman" w:eastAsia="Times New Roman" w:hAnsi="Times New Roman" w:cs="Times New Roman"/>
          <w:sz w:val="24"/>
        </w:rPr>
        <w:br w:type="page"/>
      </w:r>
    </w:p>
    <w:p w14:paraId="3263E44C" w14:textId="77777777" w:rsidR="007F6453" w:rsidRPr="00B9047F" w:rsidRDefault="005F4EE7">
      <w:pPr>
        <w:pStyle w:val="Web"/>
        <w:spacing w:before="0" w:beforeAutospacing="0" w:after="0" w:afterAutospacing="0" w:line="480" w:lineRule="auto"/>
        <w:rPr>
          <w:rFonts w:ascii="Times New Roman" w:eastAsia="Times New Roman" w:hAnsi="Times New Roman" w:cs="Times New Roman"/>
          <w:b/>
        </w:rPr>
      </w:pPr>
      <w:r w:rsidRPr="00B9047F">
        <w:rPr>
          <w:rFonts w:ascii="Times New Roman" w:eastAsia="Times New Roman" w:hAnsi="Times New Roman" w:cs="Times New Roman"/>
          <w:b/>
        </w:rPr>
        <w:lastRenderedPageBreak/>
        <w:t xml:space="preserve">Additional File 1. </w:t>
      </w:r>
    </w:p>
    <w:p w14:paraId="3263E44D" w14:textId="77777777" w:rsidR="007F6453" w:rsidRPr="00B9047F" w:rsidRDefault="005F4EE7">
      <w:pPr>
        <w:pStyle w:val="Web"/>
        <w:spacing w:before="0" w:beforeAutospacing="0" w:after="0" w:afterAutospacing="0" w:line="480" w:lineRule="auto"/>
        <w:rPr>
          <w:rFonts w:ascii="Times New Roman" w:eastAsia="Times New Roman" w:hAnsi="Times New Roman" w:cs="Times New Roman"/>
        </w:rPr>
      </w:pPr>
      <w:r w:rsidRPr="00B9047F">
        <w:rPr>
          <w:rFonts w:ascii="Times New Roman" w:eastAsia="Times New Roman" w:hAnsi="Times New Roman" w:cs="Times New Roman"/>
          <w:b/>
        </w:rPr>
        <w:t>B. Designing Screener Items</w:t>
      </w:r>
    </w:p>
    <w:p w14:paraId="3263E44E" w14:textId="77777777" w:rsidR="007F6453" w:rsidRPr="00B9047F" w:rsidRDefault="007F6453">
      <w:pPr>
        <w:pStyle w:val="Web"/>
        <w:spacing w:before="0" w:beforeAutospacing="0" w:after="0" w:afterAutospacing="0" w:line="480" w:lineRule="auto"/>
        <w:rPr>
          <w:rFonts w:ascii="Times New Roman" w:eastAsia="Times New Roman" w:hAnsi="Times New Roman" w:cs="Times New Roman"/>
        </w:rPr>
      </w:pPr>
    </w:p>
    <w:p w14:paraId="3263E44F" w14:textId="0EE9CEA1" w:rsidR="007F6453" w:rsidRPr="00B9047F" w:rsidRDefault="005F4EE7">
      <w:pPr>
        <w:pStyle w:val="Web"/>
        <w:spacing w:before="0" w:beforeAutospacing="0" w:after="0" w:afterAutospacing="0" w:line="480" w:lineRule="auto"/>
        <w:rPr>
          <w:rFonts w:ascii="Times New Roman" w:eastAsia="Times New Roman" w:hAnsi="Times New Roman" w:cs="Times New Roman"/>
        </w:rPr>
      </w:pPr>
      <w:r w:rsidRPr="00B9047F">
        <w:rPr>
          <w:rFonts w:ascii="Times New Roman" w:eastAsia="Times New Roman" w:hAnsi="Times New Roman" w:cs="Times New Roman"/>
        </w:rPr>
        <w:t>To assess the presence of careless participants</w:t>
      </w:r>
      <w:r w:rsidRPr="00B9047F">
        <w:rPr>
          <w:rStyle w:val="a8"/>
          <w:rFonts w:ascii="Times New Roman" w:eastAsia="Times New Roman" w:hAnsi="Times New Roman" w:cs="Times New Roman"/>
          <w:color w:val="auto"/>
          <w:u w:val="none"/>
        </w:rPr>
        <w:t xml:space="preserve"> </w:t>
      </w:r>
      <w:hyperlink r:id="rId5" w:history="1">
        <w:r w:rsidRPr="00B9047F">
          <w:rPr>
            <w:rStyle w:val="a8"/>
            <w:rFonts w:ascii="Times New Roman" w:eastAsia="Times New Roman" w:hAnsi="Times New Roman" w:cs="Times New Roman"/>
            <w:color w:val="auto"/>
            <w:u w:val="none"/>
          </w:rPr>
          <w:t>[1]</w:t>
        </w:r>
      </w:hyperlink>
      <w:r w:rsidRPr="00B9047F">
        <w:rPr>
          <w:rFonts w:ascii="Times New Roman" w:eastAsia="Times New Roman" w:hAnsi="Times New Roman" w:cs="Times New Roman"/>
        </w:rPr>
        <w:t>, five “screener” items were created to identify and exclude them from our analyses. Specifically, we excluded respondents with an inappropriate entry of 1) age, 2) sex or extreme values for 3) height or 4) weight, or those with 5) completion times &lt; 5 min</w:t>
      </w:r>
      <w:r w:rsidRPr="00B9047F">
        <w:rPr>
          <w:rStyle w:val="a8"/>
          <w:rFonts w:ascii="Times New Roman" w:eastAsia="Times New Roman" w:hAnsi="Times New Roman" w:cs="Times New Roman"/>
          <w:color w:val="auto"/>
          <w:u w:val="none"/>
        </w:rPr>
        <w:t xml:space="preserve"> </w:t>
      </w:r>
      <w:hyperlink r:id="rId6" w:history="1">
        <w:r w:rsidRPr="00B9047F">
          <w:rPr>
            <w:rStyle w:val="a8"/>
            <w:rFonts w:ascii="Times New Roman" w:eastAsia="Times New Roman" w:hAnsi="Times New Roman" w:cs="Times New Roman"/>
            <w:color w:val="auto"/>
            <w:u w:val="none"/>
          </w:rPr>
          <w:t>[2, 3]</w:t>
        </w:r>
      </w:hyperlink>
      <w:r w:rsidRPr="00B9047F">
        <w:rPr>
          <w:rStyle w:val="a8"/>
          <w:rFonts w:ascii="Times New Roman" w:eastAsia="Times New Roman" w:hAnsi="Times New Roman" w:cs="Times New Roman"/>
          <w:color w:val="auto"/>
          <w:u w:val="none"/>
        </w:rPr>
        <w:t>.</w:t>
      </w:r>
      <w:r w:rsidRPr="00B9047F">
        <w:rPr>
          <w:rFonts w:ascii="Times New Roman" w:eastAsia="Times New Roman" w:hAnsi="Times New Roman" w:cs="Times New Roman"/>
        </w:rPr>
        <w:t> </w:t>
      </w:r>
    </w:p>
    <w:p w14:paraId="3263E450" w14:textId="77777777" w:rsidR="007F6453" w:rsidRPr="00B9047F" w:rsidRDefault="007F6453">
      <w:pPr>
        <w:spacing w:line="480" w:lineRule="auto"/>
        <w:rPr>
          <w:rFonts w:ascii="Times New Roman" w:eastAsia="Times New Roman" w:hAnsi="Times New Roman" w:cs="Times New Roman"/>
          <w:sz w:val="24"/>
        </w:rPr>
      </w:pPr>
    </w:p>
    <w:p w14:paraId="3263E451" w14:textId="77777777" w:rsidR="007F6453" w:rsidRPr="00B9047F" w:rsidRDefault="005F4EE7">
      <w:pPr>
        <w:pStyle w:val="Web"/>
        <w:spacing w:before="0" w:beforeAutospacing="0" w:after="0" w:afterAutospacing="0" w:line="480" w:lineRule="auto"/>
        <w:rPr>
          <w:rFonts w:ascii="Times New Roman" w:eastAsia="Times New Roman" w:hAnsi="Times New Roman" w:cs="Times New Roman"/>
        </w:rPr>
      </w:pPr>
      <w:r w:rsidRPr="00B9047F">
        <w:rPr>
          <w:rFonts w:ascii="Times New Roman" w:eastAsia="Times New Roman" w:hAnsi="Times New Roman" w:cs="Times New Roman"/>
        </w:rPr>
        <w:t>The respondents were asked to indicate their age and sex twice, once at the beginning and once in the latter part of the questionnaire. We identified and excluded respondents whose age or sex responses did not match.</w:t>
      </w:r>
    </w:p>
    <w:p w14:paraId="3263E452" w14:textId="77777777" w:rsidR="007F6453" w:rsidRPr="00B9047F" w:rsidRDefault="007F6453">
      <w:pPr>
        <w:spacing w:line="480" w:lineRule="auto"/>
        <w:rPr>
          <w:rFonts w:ascii="Times New Roman" w:eastAsia="Times New Roman" w:hAnsi="Times New Roman" w:cs="Times New Roman"/>
          <w:sz w:val="24"/>
        </w:rPr>
      </w:pPr>
    </w:p>
    <w:p w14:paraId="3263E453" w14:textId="6C15786C" w:rsidR="007F6453" w:rsidRPr="00B9047F" w:rsidRDefault="005F4EE7">
      <w:pPr>
        <w:pStyle w:val="Web"/>
        <w:spacing w:before="0" w:beforeAutospacing="0" w:after="0" w:afterAutospacing="0" w:line="480" w:lineRule="auto"/>
        <w:rPr>
          <w:rFonts w:ascii="Times New Roman" w:eastAsia="Times New Roman" w:hAnsi="Times New Roman" w:cs="Times New Roman"/>
        </w:rPr>
      </w:pPr>
      <w:r w:rsidRPr="00B9047F">
        <w:rPr>
          <w:rFonts w:ascii="Times New Roman" w:eastAsia="Times New Roman" w:hAnsi="Times New Roman" w:cs="Times New Roman"/>
        </w:rPr>
        <w:t>In the latter part of the questionnaire, the respondents were asked to indicate their height and weight. Considering the realistic distribution of anthropometric characteristics among Japanese individuals, we excluded those who reported their height to be either ≥ 210 cm or ≤ 120 cm. We also excluded those who reported their weight to be either ≥ 151 kg or ≤ 25 kg.</w:t>
      </w:r>
    </w:p>
    <w:p w14:paraId="3263E454" w14:textId="77777777" w:rsidR="007F6453" w:rsidRPr="00B9047F" w:rsidRDefault="007F6453">
      <w:pPr>
        <w:spacing w:line="480" w:lineRule="auto"/>
        <w:rPr>
          <w:rFonts w:ascii="Times New Roman" w:eastAsia="Times New Roman" w:hAnsi="Times New Roman" w:cs="Times New Roman"/>
          <w:sz w:val="24"/>
        </w:rPr>
      </w:pPr>
    </w:p>
    <w:p w14:paraId="3263E455" w14:textId="77777777" w:rsidR="007F6453" w:rsidRPr="00B9047F" w:rsidRDefault="005F4EE7">
      <w:pPr>
        <w:pStyle w:val="Web"/>
        <w:spacing w:before="0" w:beforeAutospacing="0" w:after="0" w:afterAutospacing="0" w:line="480" w:lineRule="auto"/>
        <w:rPr>
          <w:rFonts w:ascii="Times New Roman" w:eastAsia="Times New Roman" w:hAnsi="Times New Roman" w:cs="Times New Roman"/>
        </w:rPr>
      </w:pPr>
      <w:r w:rsidRPr="00B9047F">
        <w:rPr>
          <w:rFonts w:ascii="Times New Roman" w:eastAsia="Times New Roman" w:hAnsi="Times New Roman" w:cs="Times New Roman"/>
        </w:rPr>
        <w:t>Based on our pilot test of the time required to complete the questionnaire, we excluded respondents who completed the survey in less than five minutes. Those who completed the questionnaire too quickly were categorized as careless</w:t>
      </w:r>
      <w:r w:rsidRPr="00B9047F">
        <w:rPr>
          <w:rStyle w:val="a8"/>
          <w:rFonts w:ascii="Times New Roman" w:eastAsia="Times New Roman" w:hAnsi="Times New Roman" w:cs="Times New Roman"/>
          <w:color w:val="auto"/>
          <w:u w:val="none"/>
        </w:rPr>
        <w:t xml:space="preserve"> </w:t>
      </w:r>
      <w:hyperlink r:id="rId7" w:history="1">
        <w:r w:rsidRPr="00B9047F">
          <w:rPr>
            <w:rStyle w:val="a8"/>
            <w:rFonts w:ascii="Times New Roman" w:eastAsia="Times New Roman" w:hAnsi="Times New Roman" w:cs="Times New Roman"/>
            <w:color w:val="auto"/>
            <w:u w:val="none"/>
          </w:rPr>
          <w:t>[1, 2]</w:t>
        </w:r>
      </w:hyperlink>
      <w:r w:rsidRPr="00B9047F">
        <w:rPr>
          <w:rFonts w:ascii="Times New Roman" w:eastAsia="Times New Roman" w:hAnsi="Times New Roman" w:cs="Times New Roman"/>
        </w:rPr>
        <w:t xml:space="preserve"> and were excluded from our analyses.</w:t>
      </w:r>
    </w:p>
    <w:p w14:paraId="3263E456" w14:textId="77777777" w:rsidR="007F6453" w:rsidRPr="00B9047F" w:rsidRDefault="007F6453">
      <w:pPr>
        <w:spacing w:after="240" w:line="480" w:lineRule="auto"/>
        <w:rPr>
          <w:rFonts w:ascii="Times New Roman" w:eastAsia="Times New Roman" w:hAnsi="Times New Roman" w:cs="Times New Roman"/>
          <w:sz w:val="24"/>
        </w:rPr>
      </w:pPr>
    </w:p>
    <w:p w14:paraId="3263E457" w14:textId="77777777" w:rsidR="007F6453" w:rsidRPr="00B9047F" w:rsidRDefault="005F4EE7">
      <w:pPr>
        <w:spacing w:line="480" w:lineRule="auto"/>
        <w:rPr>
          <w:rFonts w:ascii="Times New Roman" w:eastAsia="Times New Roman" w:hAnsi="Times New Roman" w:cs="Times New Roman"/>
          <w:b/>
          <w:sz w:val="24"/>
        </w:rPr>
      </w:pPr>
      <w:r w:rsidRPr="00B9047F">
        <w:rPr>
          <w:rFonts w:ascii="Times New Roman" w:eastAsia="Times New Roman" w:hAnsi="Times New Roman" w:cs="Times New Roman"/>
          <w:b/>
          <w:sz w:val="24"/>
        </w:rPr>
        <w:t>References</w:t>
      </w:r>
    </w:p>
    <w:p w14:paraId="3263E458" w14:textId="77777777" w:rsidR="007F6453" w:rsidRPr="00B9047F" w:rsidRDefault="005F4EE7">
      <w:pPr>
        <w:pStyle w:val="Web"/>
        <w:spacing w:before="240" w:beforeAutospacing="0" w:after="240" w:afterAutospacing="0" w:line="480" w:lineRule="auto"/>
        <w:rPr>
          <w:rFonts w:ascii="Times New Roman" w:eastAsia="Times New Roman" w:hAnsi="Times New Roman" w:cs="Times New Roman"/>
        </w:rPr>
      </w:pPr>
      <w:r w:rsidRPr="00B9047F">
        <w:rPr>
          <w:rFonts w:ascii="Times New Roman" w:eastAsia="Times New Roman" w:hAnsi="Times New Roman" w:cs="Times New Roman"/>
        </w:rPr>
        <w:lastRenderedPageBreak/>
        <w:t>1.</w:t>
      </w:r>
      <w:r w:rsidRPr="00B9047F">
        <w:rPr>
          <w:rFonts w:ascii="Times New Roman" w:eastAsia="Times New Roman" w:hAnsi="Times New Roman" w:cs="Times New Roman"/>
        </w:rPr>
        <w:tab/>
      </w:r>
      <w:r w:rsidRPr="00B9047F">
        <w:rPr>
          <w:rStyle w:val="a8"/>
          <w:rFonts w:ascii="Times New Roman" w:eastAsia="Times New Roman" w:hAnsi="Times New Roman" w:cs="Times New Roman"/>
          <w:color w:val="auto"/>
          <w:u w:val="none"/>
        </w:rPr>
        <w:t xml:space="preserve">Berinsky AJ, Margolis MF, Sances MW. Separating the shirkers from the workers? Making sure respondents pay attention on self‐administered surveys. Am J Pol Sci. </w:t>
      </w:r>
      <w:proofErr w:type="gramStart"/>
      <w:r w:rsidRPr="00B9047F">
        <w:rPr>
          <w:rStyle w:val="a8"/>
          <w:rFonts w:ascii="Times New Roman" w:eastAsia="Times New Roman" w:hAnsi="Times New Roman" w:cs="Times New Roman"/>
          <w:color w:val="auto"/>
          <w:u w:val="none"/>
        </w:rPr>
        <w:t>2014</w:t>
      </w:r>
      <w:r w:rsidRPr="00B9047F">
        <w:rPr>
          <w:rStyle w:val="a8"/>
          <w:rFonts w:ascii="Times New Roman" w:eastAsia="Times New Roman" w:hAnsi="Times New Roman" w:cs="Times New Roman"/>
          <w:i/>
          <w:color w:val="auto"/>
          <w:u w:val="none"/>
        </w:rPr>
        <w:t>;</w:t>
      </w:r>
      <w:r w:rsidRPr="00B9047F">
        <w:rPr>
          <w:rStyle w:val="a8"/>
          <w:rFonts w:ascii="Times New Roman" w:eastAsia="Times New Roman" w:hAnsi="Times New Roman" w:cs="Times New Roman"/>
          <w:color w:val="auto"/>
          <w:u w:val="none"/>
        </w:rPr>
        <w:t>58</w:t>
      </w:r>
      <w:r w:rsidRPr="00B9047F">
        <w:rPr>
          <w:rStyle w:val="a8"/>
          <w:rFonts w:ascii="Times New Roman" w:eastAsia="Times New Roman" w:hAnsi="Times New Roman" w:cs="Times New Roman"/>
          <w:i/>
          <w:color w:val="auto"/>
          <w:u w:val="none"/>
        </w:rPr>
        <w:t>:</w:t>
      </w:r>
      <w:r w:rsidRPr="00B9047F">
        <w:rPr>
          <w:rStyle w:val="a8"/>
          <w:rFonts w:ascii="Times New Roman" w:eastAsia="Times New Roman" w:hAnsi="Times New Roman" w:cs="Times New Roman"/>
          <w:color w:val="auto"/>
          <w:u w:val="none"/>
        </w:rPr>
        <w:t>739</w:t>
      </w:r>
      <w:proofErr w:type="gramEnd"/>
      <w:r w:rsidRPr="00B9047F">
        <w:rPr>
          <w:rStyle w:val="a8"/>
          <w:rFonts w:ascii="Times New Roman" w:eastAsia="Times New Roman" w:hAnsi="Times New Roman" w:cs="Times New Roman"/>
          <w:color w:val="auto"/>
          <w:u w:val="none"/>
        </w:rPr>
        <w:t xml:space="preserve">–53. </w:t>
      </w:r>
      <w:hyperlink r:id="rId8" w:history="1">
        <w:r w:rsidRPr="00B9047F">
          <w:rPr>
            <w:rStyle w:val="a8"/>
            <w:rFonts w:ascii="Times New Roman" w:eastAsia="Times New Roman" w:hAnsi="Times New Roman" w:cs="Times New Roman"/>
            <w:color w:val="auto"/>
            <w:u w:val="none"/>
          </w:rPr>
          <w:t>https://doi.org/10.1111/ajps.12081</w:t>
        </w:r>
      </w:hyperlink>
    </w:p>
    <w:p w14:paraId="3263E459" w14:textId="77777777" w:rsidR="007F6453" w:rsidRPr="00B9047F" w:rsidRDefault="005F4EE7">
      <w:pPr>
        <w:pStyle w:val="Web"/>
        <w:spacing w:before="0" w:beforeAutospacing="0" w:after="240" w:afterAutospacing="0" w:line="480" w:lineRule="auto"/>
        <w:rPr>
          <w:rFonts w:ascii="Times New Roman" w:eastAsia="Times New Roman" w:hAnsi="Times New Roman" w:cs="Times New Roman"/>
        </w:rPr>
      </w:pPr>
      <w:r w:rsidRPr="00B9047F">
        <w:rPr>
          <w:rFonts w:ascii="Times New Roman" w:eastAsia="Times New Roman" w:hAnsi="Times New Roman" w:cs="Times New Roman"/>
        </w:rPr>
        <w:t>2.</w:t>
      </w:r>
      <w:r w:rsidRPr="00B9047F">
        <w:rPr>
          <w:rFonts w:ascii="Times New Roman" w:eastAsia="Times New Roman" w:hAnsi="Times New Roman" w:cs="Times New Roman"/>
        </w:rPr>
        <w:tab/>
      </w:r>
      <w:hyperlink r:id="rId9" w:history="1">
        <w:r w:rsidRPr="00B9047F">
          <w:rPr>
            <w:rStyle w:val="a8"/>
            <w:rFonts w:ascii="Times New Roman" w:eastAsia="Times New Roman" w:hAnsi="Times New Roman" w:cs="Times New Roman"/>
            <w:color w:val="auto"/>
            <w:u w:val="none"/>
          </w:rPr>
          <w:t>Meade AW, Craig SB. Identifying careless responses in survey data. Psychol Methods</w:t>
        </w:r>
        <w:r w:rsidRPr="00B9047F">
          <w:rPr>
            <w:rStyle w:val="a8"/>
            <w:rFonts w:ascii="Times New Roman" w:eastAsia="Times New Roman" w:hAnsi="Times New Roman" w:cs="Times New Roman"/>
            <w:i/>
            <w:color w:val="auto"/>
            <w:u w:val="none"/>
          </w:rPr>
          <w:t>.</w:t>
        </w:r>
        <w:r w:rsidRPr="00B9047F">
          <w:rPr>
            <w:rStyle w:val="a8"/>
            <w:rFonts w:ascii="Times New Roman" w:eastAsia="Times New Roman" w:hAnsi="Times New Roman" w:cs="Times New Roman"/>
            <w:color w:val="auto"/>
            <w:u w:val="none"/>
          </w:rPr>
          <w:t xml:space="preserve"> 2012</w:t>
        </w:r>
        <w:r w:rsidRPr="00B9047F">
          <w:rPr>
            <w:rStyle w:val="a8"/>
            <w:rFonts w:ascii="Times New Roman" w:eastAsia="Times New Roman" w:hAnsi="Times New Roman" w:cs="Times New Roman"/>
            <w:i/>
            <w:color w:val="auto"/>
            <w:u w:val="none"/>
          </w:rPr>
          <w:t>;</w:t>
        </w:r>
        <w:r w:rsidRPr="00B9047F">
          <w:rPr>
            <w:rStyle w:val="a8"/>
            <w:rFonts w:ascii="Times New Roman" w:eastAsia="Times New Roman" w:hAnsi="Times New Roman" w:cs="Times New Roman"/>
            <w:color w:val="auto"/>
            <w:u w:val="none"/>
          </w:rPr>
          <w:t>17</w:t>
        </w:r>
        <w:r w:rsidRPr="00B9047F">
          <w:rPr>
            <w:rStyle w:val="a8"/>
            <w:rFonts w:ascii="Times New Roman" w:eastAsia="Times New Roman" w:hAnsi="Times New Roman" w:cs="Times New Roman"/>
            <w:i/>
            <w:color w:val="auto"/>
            <w:u w:val="none"/>
          </w:rPr>
          <w:t>:</w:t>
        </w:r>
        <w:r w:rsidRPr="00B9047F">
          <w:rPr>
            <w:rStyle w:val="a8"/>
            <w:rFonts w:ascii="Times New Roman" w:eastAsia="Times New Roman" w:hAnsi="Times New Roman" w:cs="Times New Roman"/>
            <w:color w:val="auto"/>
            <w:u w:val="none"/>
          </w:rPr>
          <w:t xml:space="preserve">437–55. </w:t>
        </w:r>
        <w:hyperlink r:id="rId10" w:history="1">
          <w:r w:rsidRPr="00B9047F">
            <w:rPr>
              <w:rStyle w:val="a8"/>
              <w:rFonts w:ascii="Times New Roman" w:eastAsia="Times New Roman" w:hAnsi="Times New Roman" w:cs="Times New Roman"/>
              <w:color w:val="auto"/>
              <w:u w:val="none"/>
            </w:rPr>
            <w:t>https://doi.org/10.1037/a0028085</w:t>
          </w:r>
        </w:hyperlink>
      </w:hyperlink>
    </w:p>
    <w:p w14:paraId="3263E45A" w14:textId="77777777" w:rsidR="007F6453" w:rsidRPr="00B9047F" w:rsidRDefault="005F4EE7">
      <w:pPr>
        <w:pStyle w:val="Web"/>
        <w:spacing w:before="0" w:beforeAutospacing="0" w:after="240" w:afterAutospacing="0" w:line="480" w:lineRule="auto"/>
        <w:rPr>
          <w:rFonts w:ascii="Times New Roman" w:eastAsia="Times New Roman" w:hAnsi="Times New Roman" w:cs="Times New Roman"/>
        </w:rPr>
      </w:pPr>
      <w:r w:rsidRPr="00B9047F">
        <w:rPr>
          <w:rFonts w:ascii="Times New Roman" w:eastAsia="Times New Roman" w:hAnsi="Times New Roman" w:cs="Times New Roman"/>
        </w:rPr>
        <w:t>3.</w:t>
      </w:r>
      <w:r w:rsidRPr="00B9047F">
        <w:rPr>
          <w:rFonts w:ascii="Times New Roman" w:eastAsia="Times New Roman" w:hAnsi="Times New Roman" w:cs="Times New Roman"/>
        </w:rPr>
        <w:tab/>
      </w:r>
      <w:hyperlink r:id="rId11" w:history="1">
        <w:r w:rsidRPr="00B9047F">
          <w:rPr>
            <w:rStyle w:val="a8"/>
            <w:rFonts w:ascii="Times New Roman" w:eastAsia="Times New Roman" w:hAnsi="Times New Roman" w:cs="Times New Roman"/>
            <w:color w:val="auto"/>
            <w:u w:val="none"/>
          </w:rPr>
          <w:t>Suzuki R, Yajima N, Sakurai K, Oguro N, Wakita T, Thom DH, et al. Association of patients’ past misdiagnosis experiences with trust in their current physician among Japanese adults. J Gen Intern Med. 2022</w:t>
        </w:r>
        <w:r w:rsidRPr="00B9047F">
          <w:rPr>
            <w:rStyle w:val="a8"/>
            <w:rFonts w:ascii="Times New Roman" w:eastAsia="Times New Roman" w:hAnsi="Times New Roman" w:cs="Times New Roman"/>
            <w:i/>
            <w:color w:val="auto"/>
            <w:u w:val="none"/>
          </w:rPr>
          <w:t>;</w:t>
        </w:r>
        <w:r w:rsidRPr="00B9047F">
          <w:rPr>
            <w:rStyle w:val="a8"/>
            <w:rFonts w:ascii="Times New Roman" w:eastAsia="Times New Roman" w:hAnsi="Times New Roman" w:cs="Times New Roman"/>
            <w:color w:val="auto"/>
            <w:u w:val="none"/>
          </w:rPr>
          <w:t>37</w:t>
        </w:r>
        <w:r w:rsidRPr="00B9047F">
          <w:rPr>
            <w:rStyle w:val="a8"/>
            <w:rFonts w:ascii="Times New Roman" w:eastAsia="Times New Roman" w:hAnsi="Times New Roman" w:cs="Times New Roman"/>
            <w:i/>
            <w:color w:val="auto"/>
            <w:u w:val="none"/>
          </w:rPr>
          <w:t>:</w:t>
        </w:r>
        <w:r w:rsidRPr="00B9047F">
          <w:rPr>
            <w:rStyle w:val="a8"/>
            <w:rFonts w:ascii="Times New Roman" w:eastAsia="Times New Roman" w:hAnsi="Times New Roman" w:cs="Times New Roman"/>
            <w:color w:val="auto"/>
            <w:u w:val="none"/>
          </w:rPr>
          <w:t xml:space="preserve">1115–21. </w:t>
        </w:r>
        <w:hyperlink r:id="rId12" w:history="1">
          <w:r w:rsidRPr="00B9047F">
            <w:rPr>
              <w:rStyle w:val="a8"/>
              <w:rFonts w:ascii="Times New Roman" w:eastAsia="Times New Roman" w:hAnsi="Times New Roman" w:cs="Times New Roman"/>
              <w:color w:val="auto"/>
              <w:u w:val="none"/>
            </w:rPr>
            <w:t>https://doi.org/10.1007/s11606-021-06950-y</w:t>
          </w:r>
        </w:hyperlink>
      </w:hyperlink>
    </w:p>
    <w:p w14:paraId="3263E45B" w14:textId="77777777" w:rsidR="007F6453" w:rsidRPr="00B9047F" w:rsidRDefault="007F6453">
      <w:pPr>
        <w:pStyle w:val="Web"/>
        <w:spacing w:before="0" w:beforeAutospacing="0" w:after="240" w:afterAutospacing="0" w:line="480" w:lineRule="auto"/>
        <w:rPr>
          <w:rFonts w:ascii="Times New Roman" w:eastAsia="Times New Roman" w:hAnsi="Times New Roman" w:cs="Times New Roman"/>
        </w:rPr>
      </w:pPr>
    </w:p>
    <w:p w14:paraId="3263E45C" w14:textId="77777777" w:rsidR="007F6453" w:rsidRPr="00B9047F" w:rsidRDefault="007F6453">
      <w:pPr>
        <w:spacing w:line="480" w:lineRule="auto"/>
        <w:rPr>
          <w:rFonts w:ascii="Times New Roman" w:eastAsia="Times New Roman" w:hAnsi="Times New Roman" w:cs="Times New Roman"/>
          <w:sz w:val="24"/>
        </w:rPr>
      </w:pPr>
    </w:p>
    <w:sectPr w:rsidR="007F6453" w:rsidRPr="00B9047F">
      <w:type w:val="continuous"/>
      <w:pgSz w:w="11900" w:h="16840"/>
      <w:pgMar w:top="1440" w:right="1440" w:bottom="1440" w:left="1440" w:header="851" w:footer="99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D3745"/>
    <w:multiLevelType w:val="multilevel"/>
    <w:tmpl w:val="3D60EF72"/>
    <w:lvl w:ilvl="0">
      <w:start w:val="1"/>
      <w:numFmt w:val="bullet"/>
      <w:lvlText w:val=""/>
      <w:lvlJc w:val="left"/>
      <w:pPr>
        <w:ind w:left="1080" w:hanging="360"/>
      </w:pPr>
      <w:rPr>
        <w:rFonts w:ascii="Symbol" w:eastAsia="Symbol" w:hAnsi="Symbol" w:cs="Symbol"/>
      </w:rPr>
    </w:lvl>
    <w:lvl w:ilvl="1">
      <w:start w:val="1"/>
      <w:numFmt w:val="bullet"/>
      <w:lvlText w:val=""/>
      <w:lvlJc w:val="left"/>
      <w:pPr>
        <w:ind w:left="1080" w:hanging="360"/>
      </w:pPr>
      <w:rPr>
        <w:rFonts w:ascii="Symbol" w:eastAsia="Symbol" w:hAnsi="Symbol" w:cs="Symbol"/>
      </w:rPr>
    </w:lvl>
    <w:lvl w:ilvl="2">
      <w:start w:val="1"/>
      <w:numFmt w:val="bullet"/>
      <w:lvlText w:val=""/>
      <w:lvlJc w:val="left"/>
      <w:pPr>
        <w:ind w:left="1080" w:hanging="360"/>
      </w:pPr>
      <w:rPr>
        <w:rFonts w:ascii="Symbol" w:eastAsia="Symbol" w:hAnsi="Symbol" w:cs="Symbol"/>
      </w:rPr>
    </w:lvl>
    <w:lvl w:ilvl="3">
      <w:start w:val="1"/>
      <w:numFmt w:val="bullet"/>
      <w:lvlText w:val=""/>
      <w:lvlJc w:val="left"/>
      <w:pPr>
        <w:ind w:left="1080" w:hanging="360"/>
      </w:pPr>
      <w:rPr>
        <w:rFonts w:ascii="Symbol" w:eastAsia="Symbol" w:hAnsi="Symbol" w:cs="Symbol"/>
      </w:rPr>
    </w:lvl>
    <w:lvl w:ilvl="4">
      <w:start w:val="1"/>
      <w:numFmt w:val="bullet"/>
      <w:lvlText w:val=""/>
      <w:lvlJc w:val="left"/>
      <w:pPr>
        <w:ind w:left="1080" w:hanging="360"/>
      </w:pPr>
      <w:rPr>
        <w:rFonts w:ascii="Symbol" w:eastAsia="Symbol" w:hAnsi="Symbol" w:cs="Symbol"/>
      </w:rPr>
    </w:lvl>
    <w:lvl w:ilvl="5">
      <w:start w:val="1"/>
      <w:numFmt w:val="bullet"/>
      <w:lvlText w:val=""/>
      <w:lvlJc w:val="left"/>
      <w:pPr>
        <w:ind w:left="1080" w:hanging="360"/>
      </w:pPr>
      <w:rPr>
        <w:rFonts w:ascii="Symbol" w:eastAsia="Symbol" w:hAnsi="Symbol" w:cs="Symbol"/>
      </w:rPr>
    </w:lvl>
    <w:lvl w:ilvl="6">
      <w:start w:val="1"/>
      <w:numFmt w:val="bullet"/>
      <w:lvlText w:val=""/>
      <w:lvlJc w:val="left"/>
      <w:pPr>
        <w:ind w:left="1080" w:hanging="360"/>
      </w:pPr>
      <w:rPr>
        <w:rFonts w:ascii="Symbol" w:eastAsia="Symbol" w:hAnsi="Symbol" w:cs="Symbol"/>
      </w:rPr>
    </w:lvl>
    <w:lvl w:ilvl="7">
      <w:start w:val="1"/>
      <w:numFmt w:val="bullet"/>
      <w:lvlText w:val=""/>
      <w:lvlJc w:val="left"/>
      <w:pPr>
        <w:ind w:left="1080" w:hanging="360"/>
      </w:pPr>
      <w:rPr>
        <w:rFonts w:ascii="Symbol" w:eastAsia="Symbol" w:hAnsi="Symbol" w:cs="Symbol"/>
      </w:rPr>
    </w:lvl>
    <w:lvl w:ilvl="8">
      <w:start w:val="1"/>
      <w:numFmt w:val="bullet"/>
      <w:lvlText w:val=""/>
      <w:lvlJc w:val="left"/>
      <w:pPr>
        <w:ind w:left="1080" w:hanging="360"/>
      </w:pPr>
      <w:rPr>
        <w:rFonts w:ascii="Symbol" w:eastAsia="Symbol" w:hAnsi="Symbol" w:cs="Symbol"/>
      </w:rPr>
    </w:lvl>
  </w:abstractNum>
  <w:abstractNum w:abstractNumId="1" w15:restartNumberingAfterBreak="0">
    <w:nsid w:val="1E625C00"/>
    <w:multiLevelType w:val="multilevel"/>
    <w:tmpl w:val="4E1C127E"/>
    <w:lvl w:ilvl="0">
      <w:start w:val="1"/>
      <w:numFmt w:val="decimal"/>
      <w:lvlText w:val="•"/>
      <w:lvlJc w:val="left"/>
      <w:pPr>
        <w:ind w:left="720" w:hanging="720"/>
      </w:pPr>
      <w:rPr>
        <w:rFonts w:ascii="游明朝" w:eastAsia="游明朝" w:hAnsi="游明朝" w:cs="游明朝"/>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29AD0665"/>
    <w:multiLevelType w:val="multilevel"/>
    <w:tmpl w:val="1DDE13B8"/>
    <w:lvl w:ilvl="0">
      <w:start w:val="1"/>
      <w:numFmt w:val="decimal"/>
      <w:lvlText w:val="•"/>
      <w:lvlJc w:val="left"/>
      <w:pPr>
        <w:ind w:left="440" w:hanging="440"/>
      </w:pPr>
      <w:rPr>
        <w:rFonts w:ascii="Arial" w:eastAsia="Arial" w:hAnsi="Arial" w:cs="Aria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2F5F1D95"/>
    <w:multiLevelType w:val="multilevel"/>
    <w:tmpl w:val="12581FE6"/>
    <w:lvl w:ilvl="0">
      <w:start w:val="1"/>
      <w:numFmt w:val="decimal"/>
      <w:lvlText w:val="•"/>
      <w:lvlJc w:val="left"/>
      <w:pPr>
        <w:ind w:left="420" w:hanging="420"/>
      </w:pPr>
      <w:rPr>
        <w:rFonts w:ascii="Arial" w:eastAsia="Arial" w:hAnsi="Arial" w:cs="Arial"/>
      </w:rPr>
    </w:lvl>
    <w:lvl w:ilvl="1">
      <w:start w:val="1"/>
      <w:numFmt w:val="decimal"/>
      <w:lvlText w:val=""/>
      <w:lvlJc w:val="left"/>
      <w:pPr>
        <w:ind w:left="840" w:hanging="420"/>
      </w:pPr>
      <w:rPr>
        <w:rFonts w:ascii="Wingdings" w:eastAsia="Wingdings" w:hAnsi="Wingdings" w:cs="Wingding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3D3851A2"/>
    <w:multiLevelType w:val="multilevel"/>
    <w:tmpl w:val="EFB0EA8C"/>
    <w:lvl w:ilvl="0">
      <w:start w:val="1"/>
      <w:numFmt w:val="decimal"/>
      <w:lvlText w:val="•"/>
      <w:lvlJc w:val="left"/>
      <w:pPr>
        <w:ind w:left="440" w:hanging="440"/>
      </w:pPr>
      <w:rPr>
        <w:rFonts w:ascii="Arial" w:eastAsia="Arial" w:hAnsi="Arial" w:cs="Aria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66922CAD"/>
    <w:multiLevelType w:val="multilevel"/>
    <w:tmpl w:val="5FCECB5E"/>
    <w:lvl w:ilvl="0">
      <w:start w:val="1"/>
      <w:numFmt w:val="bullet"/>
      <w:lvlText w:val=""/>
      <w:lvlJc w:val="left"/>
      <w:pPr>
        <w:tabs>
          <w:tab w:val="left" w:pos="720"/>
        </w:tabs>
        <w:ind w:left="720" w:hanging="360"/>
      </w:pPr>
      <w:rPr>
        <w:rFonts w:ascii="Symbol" w:eastAsia="Symbol" w:hAnsi="Symbol" w:cs="Symbol"/>
        <w:sz w:val="20"/>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6CB36C13"/>
    <w:multiLevelType w:val="multilevel"/>
    <w:tmpl w:val="D7CAFE18"/>
    <w:lvl w:ilvl="0">
      <w:start w:val="1"/>
      <w:numFmt w:val="decimal"/>
      <w:lvlText w:val="%1."/>
      <w:lvlJc w:val="left"/>
      <w:pPr>
        <w:ind w:left="1080" w:hanging="72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830176815">
    <w:abstractNumId w:val="4"/>
  </w:num>
  <w:num w:numId="2" w16cid:durableId="366758056">
    <w:abstractNumId w:val="2"/>
  </w:num>
  <w:num w:numId="3" w16cid:durableId="1016804794">
    <w:abstractNumId w:val="3"/>
  </w:num>
  <w:num w:numId="4" w16cid:durableId="360522795">
    <w:abstractNumId w:val="5"/>
  </w:num>
  <w:num w:numId="5" w16cid:durableId="1511141759">
    <w:abstractNumId w:val="0"/>
  </w:num>
  <w:num w:numId="6" w16cid:durableId="970792343">
    <w:abstractNumId w:val="1"/>
  </w:num>
  <w:num w:numId="7" w16cid:durableId="4442715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453"/>
    <w:rsid w:val="00130B43"/>
    <w:rsid w:val="005F4EE7"/>
    <w:rsid w:val="006E29E2"/>
    <w:rsid w:val="007F6453"/>
    <w:rsid w:val="00A8703C"/>
    <w:rsid w:val="00B9047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63E446"/>
  <w15:docId w15:val="{CE9727A9-92E4-4BA2-8D08-63D7C9B19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qFormat/>
    <w:pPr>
      <w:keepNext/>
      <w:keepLines/>
      <w:outlineLvl w:val="0"/>
    </w:pPr>
    <w:rPr>
      <w:rFonts w:ascii="Times New Roman" w:eastAsia="Times New Roman" w:hAnsi="Times New Roman" w:cs="Times New Roman"/>
      <w:b/>
      <w:sz w:val="24"/>
    </w:rPr>
  </w:style>
  <w:style w:type="paragraph" w:styleId="2">
    <w:name w:val="heading 2"/>
    <w:basedOn w:val="a"/>
    <w:qFormat/>
    <w:pPr>
      <w:keepNext/>
      <w:keepLines/>
      <w:spacing w:before="360" w:after="80"/>
      <w:outlineLvl w:val="1"/>
    </w:pPr>
    <w:rPr>
      <w:b/>
      <w:sz w:val="36"/>
    </w:rPr>
  </w:style>
  <w:style w:type="paragraph" w:styleId="3">
    <w:name w:val="heading 3"/>
    <w:basedOn w:val="a"/>
    <w:qFormat/>
    <w:pPr>
      <w:keepNext/>
      <w:keepLines/>
      <w:spacing w:before="280" w:after="80"/>
      <w:outlineLvl w:val="2"/>
    </w:pPr>
    <w:rPr>
      <w:b/>
      <w:sz w:val="28"/>
    </w:rPr>
  </w:style>
  <w:style w:type="paragraph" w:styleId="4">
    <w:name w:val="heading 4"/>
    <w:basedOn w:val="a"/>
    <w:pPr>
      <w:keepNext/>
      <w:keepLines/>
      <w:spacing w:before="240" w:after="40"/>
      <w:outlineLvl w:val="3"/>
    </w:pPr>
    <w:rPr>
      <w:b/>
      <w:sz w:val="24"/>
    </w:rPr>
  </w:style>
  <w:style w:type="paragraph" w:styleId="5">
    <w:name w:val="heading 5"/>
    <w:basedOn w:val="a"/>
    <w:pPr>
      <w:keepNext/>
      <w:keepLines/>
      <w:spacing w:before="220" w:after="40"/>
      <w:outlineLvl w:val="4"/>
    </w:pPr>
    <w:rPr>
      <w:b/>
      <w:sz w:val="22"/>
    </w:rPr>
  </w:style>
  <w:style w:type="paragraph" w:styleId="6">
    <w:name w:val="heading 6"/>
    <w:basedOn w:val="a"/>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pPr>
      <w:spacing w:line="305" w:lineRule="auto"/>
    </w:pPr>
    <w:rPr>
      <w:rFonts w:ascii="Calibri" w:eastAsia="Calibri" w:hAnsi="Calibri" w:cs="Calibri"/>
      <w:sz w:val="26"/>
    </w:rPr>
  </w:style>
  <w:style w:type="paragraph" w:styleId="20">
    <w:name w:val="toc 2"/>
    <w:basedOn w:val="a"/>
    <w:pPr>
      <w:spacing w:line="330" w:lineRule="auto"/>
    </w:pPr>
    <w:rPr>
      <w:rFonts w:ascii="Calibri" w:eastAsia="Calibri" w:hAnsi="Calibri" w:cs="Calibri"/>
      <w:sz w:val="24"/>
    </w:rPr>
  </w:style>
  <w:style w:type="paragraph" w:styleId="30">
    <w:name w:val="toc 3"/>
    <w:basedOn w:val="a"/>
    <w:pPr>
      <w:spacing w:line="360" w:lineRule="auto"/>
    </w:pPr>
    <w:rPr>
      <w:rFonts w:ascii="Calibri" w:eastAsia="Calibri" w:hAnsi="Calibri" w:cs="Calibri"/>
      <w:sz w:val="22"/>
    </w:rPr>
  </w:style>
  <w:style w:type="paragraph" w:styleId="40">
    <w:name w:val="toc 4"/>
    <w:basedOn w:val="a"/>
    <w:pPr>
      <w:spacing w:line="330" w:lineRule="exact"/>
    </w:pPr>
    <w:rPr>
      <w:rFonts w:ascii="Calibri" w:eastAsia="Calibri" w:hAnsi="Calibri" w:cs="Calibri"/>
    </w:rPr>
  </w:style>
  <w:style w:type="paragraph" w:styleId="50">
    <w:name w:val="toc 5"/>
    <w:basedOn w:val="a"/>
    <w:pPr>
      <w:spacing w:line="330" w:lineRule="exact"/>
    </w:pPr>
    <w:rPr>
      <w:rFonts w:ascii="Calibri" w:eastAsia="Calibri" w:hAnsi="Calibri" w:cs="Calibri"/>
    </w:rPr>
  </w:style>
  <w:style w:type="paragraph" w:styleId="60">
    <w:name w:val="toc 6"/>
    <w:basedOn w:val="a"/>
    <w:pPr>
      <w:spacing w:line="330" w:lineRule="exact"/>
    </w:pPr>
    <w:rPr>
      <w:rFonts w:ascii="Calibri" w:eastAsia="Calibri" w:hAnsi="Calibri" w:cs="Calibri"/>
    </w:rPr>
  </w:style>
  <w:style w:type="paragraph" w:styleId="7">
    <w:name w:val="toc 7"/>
    <w:basedOn w:val="a"/>
    <w:pPr>
      <w:spacing w:line="330" w:lineRule="exact"/>
    </w:pPr>
    <w:rPr>
      <w:rFonts w:ascii="Calibri" w:eastAsia="Calibri" w:hAnsi="Calibri" w:cs="Calibri"/>
    </w:rPr>
  </w:style>
  <w:style w:type="paragraph" w:styleId="8">
    <w:name w:val="toc 8"/>
    <w:basedOn w:val="a"/>
    <w:pPr>
      <w:spacing w:line="330" w:lineRule="exact"/>
    </w:pPr>
    <w:rPr>
      <w:rFonts w:ascii="Calibri" w:eastAsia="Calibri" w:hAnsi="Calibri" w:cs="Calibri"/>
    </w:rPr>
  </w:style>
  <w:style w:type="paragraph" w:styleId="9">
    <w:name w:val="toc 9"/>
    <w:basedOn w:val="a"/>
    <w:pPr>
      <w:spacing w:line="330" w:lineRule="exact"/>
    </w:pPr>
    <w:rPr>
      <w:rFonts w:ascii="Calibri" w:eastAsia="Calibri" w:hAnsi="Calibri" w:cs="Calibri"/>
    </w:rPr>
  </w:style>
  <w:style w:type="table" w:styleId="a3">
    <w:name w:val="Table Grid"/>
    <w:basedOn w:val="a1"/>
    <w:pPr>
      <w:widowControl/>
      <w:jc w:val="left"/>
    </w:pPr>
    <w:rPr>
      <w:rFonts w:ascii="Century" w:eastAsia="Century" w:hAnsi="Century" w:cs="Century"/>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CellMar>
        <w:top w:w="0" w:type="dxa"/>
        <w:left w:w="10" w:type="dxa"/>
        <w:bottom w:w="0" w:type="dxa"/>
        <w:right w:w="10" w:type="dxa"/>
      </w:tblCellMar>
    </w:tblPr>
  </w:style>
  <w:style w:type="character" w:styleId="a4">
    <w:name w:val="annotation reference"/>
    <w:basedOn w:val="a0"/>
    <w:rPr>
      <w:sz w:val="16"/>
    </w:rPr>
  </w:style>
  <w:style w:type="character" w:styleId="a5">
    <w:name w:val="endnote reference"/>
    <w:basedOn w:val="a0"/>
    <w:rPr>
      <w:vertAlign w:val="superscript"/>
    </w:rPr>
  </w:style>
  <w:style w:type="character" w:styleId="a6">
    <w:name w:val="footnote reference"/>
    <w:basedOn w:val="a0"/>
    <w:rPr>
      <w:vertAlign w:val="superscript"/>
    </w:rPr>
  </w:style>
  <w:style w:type="table" w:customStyle="1" w:styleId="TableNormal0">
    <w:name w:val="Table Normal_0"/>
    <w:tblPr>
      <w:tblCellMar>
        <w:top w:w="0" w:type="dxa"/>
        <w:left w:w="0" w:type="dxa"/>
        <w:bottom w:w="0" w:type="dxa"/>
        <w:right w:w="0" w:type="dxa"/>
      </w:tblCellMar>
    </w:tblPr>
  </w:style>
  <w:style w:type="paragraph" w:styleId="a7">
    <w:name w:val="Title"/>
    <w:basedOn w:val="a"/>
    <w:qFormat/>
    <w:pPr>
      <w:keepNext/>
      <w:keepLines/>
      <w:spacing w:before="480" w:after="120"/>
    </w:pPr>
    <w:rPr>
      <w:b/>
      <w:sz w:val="72"/>
    </w:rPr>
  </w:style>
  <w:style w:type="table" w:customStyle="1" w:styleId="TableNormal1">
    <w:name w:val="Table Normal_1"/>
    <w:tblPr>
      <w:tblCellMar>
        <w:top w:w="0" w:type="dxa"/>
        <w:left w:w="0" w:type="dxa"/>
        <w:bottom w:w="0" w:type="dxa"/>
        <w:right w:w="0" w:type="dxa"/>
      </w:tblCellMar>
    </w:tblPr>
  </w:style>
  <w:style w:type="table" w:customStyle="1" w:styleId="TableNormal2">
    <w:name w:val="Table Normal_2"/>
    <w:tblPr>
      <w:tblCellMar>
        <w:top w:w="0" w:type="dxa"/>
        <w:left w:w="0" w:type="dxa"/>
        <w:bottom w:w="0" w:type="dxa"/>
        <w:right w:w="0" w:type="dxa"/>
      </w:tblCellMar>
    </w:tblPr>
  </w:style>
  <w:style w:type="character" w:customStyle="1" w:styleId="identifier">
    <w:name w:val="identifier"/>
    <w:basedOn w:val="a0"/>
  </w:style>
  <w:style w:type="character" w:customStyle="1" w:styleId="id-label">
    <w:name w:val="id-label"/>
    <w:basedOn w:val="a0"/>
  </w:style>
  <w:style w:type="character" w:styleId="a8">
    <w:name w:val="Hyperlink"/>
    <w:basedOn w:val="a0"/>
    <w:rPr>
      <w:color w:val="0000FF"/>
      <w:u w:val="single"/>
    </w:rPr>
  </w:style>
  <w:style w:type="character" w:customStyle="1" w:styleId="11">
    <w:name w:val="未解決のメンション1"/>
    <w:basedOn w:val="a0"/>
    <w:rPr>
      <w:color w:val="605E5C"/>
    </w:rPr>
  </w:style>
  <w:style w:type="character" w:styleId="a9">
    <w:name w:val="FollowedHyperlink"/>
    <w:basedOn w:val="a0"/>
    <w:rPr>
      <w:color w:val="954F72"/>
      <w:u w:val="single"/>
    </w:rPr>
  </w:style>
  <w:style w:type="paragraph" w:customStyle="1" w:styleId="EndNoteBibliographyTitle">
    <w:name w:val="EndNote Bibliography Title"/>
    <w:basedOn w:val="a"/>
    <w:qFormat/>
    <w:pPr>
      <w:jc w:val="center"/>
    </w:pPr>
    <w:rPr>
      <w:sz w:val="20"/>
    </w:rPr>
  </w:style>
  <w:style w:type="paragraph" w:customStyle="1" w:styleId="EndNoteBibliography">
    <w:name w:val="EndNote Bibliography"/>
    <w:basedOn w:val="a"/>
    <w:rPr>
      <w:sz w:val="20"/>
    </w:rPr>
  </w:style>
  <w:style w:type="paragraph" w:styleId="aa">
    <w:name w:val="Subtitle"/>
    <w:basedOn w:val="a"/>
    <w:qFormat/>
    <w:pPr>
      <w:keepNext/>
      <w:keepLines/>
      <w:pBdr>
        <w:top w:val="nil"/>
        <w:left w:val="nil"/>
        <w:bottom w:val="nil"/>
        <w:right w:val="nil"/>
      </w:pBdr>
      <w:spacing w:before="360" w:after="80"/>
    </w:pPr>
    <w:rPr>
      <w:rFonts w:ascii="Georgia" w:eastAsia="Georgia" w:hAnsi="Georgia" w:cs="Georgia"/>
      <w:i/>
      <w:color w:val="666666"/>
      <w:sz w:val="48"/>
    </w:rPr>
  </w:style>
  <w:style w:type="table" w:customStyle="1" w:styleId="a80">
    <w:name w:val="a8"/>
    <w:basedOn w:val="TableNormal2"/>
    <w:tblPr>
      <w:tblCellMar>
        <w:top w:w="100" w:type="dxa"/>
        <w:left w:w="100" w:type="dxa"/>
        <w:bottom w:w="100" w:type="dxa"/>
        <w:right w:w="100" w:type="dxa"/>
      </w:tblCellMar>
    </w:tblPr>
  </w:style>
  <w:style w:type="table" w:customStyle="1" w:styleId="a90">
    <w:name w:val="a9"/>
    <w:basedOn w:val="TableNormal2"/>
    <w:tblPr>
      <w:tblCellMar>
        <w:top w:w="100" w:type="dxa"/>
        <w:left w:w="100" w:type="dxa"/>
        <w:bottom w:w="100" w:type="dxa"/>
        <w:right w:w="100" w:type="dxa"/>
      </w:tblCellMar>
    </w:tblPr>
  </w:style>
  <w:style w:type="paragraph" w:styleId="ab">
    <w:name w:val="header"/>
    <w:basedOn w:val="a"/>
    <w:pPr>
      <w:tabs>
        <w:tab w:val="center" w:pos="4252"/>
        <w:tab w:val="right" w:pos="8504"/>
      </w:tabs>
      <w:snapToGrid w:val="0"/>
    </w:pPr>
  </w:style>
  <w:style w:type="paragraph" w:styleId="ac">
    <w:name w:val="footer"/>
    <w:basedOn w:val="a"/>
    <w:pPr>
      <w:tabs>
        <w:tab w:val="center" w:pos="4252"/>
        <w:tab w:val="right" w:pos="8504"/>
      </w:tabs>
      <w:snapToGrid w:val="0"/>
    </w:pPr>
  </w:style>
  <w:style w:type="paragraph" w:styleId="Web">
    <w:name w:val="Normal (Web)"/>
    <w:basedOn w:val="a"/>
    <w:qFormat/>
    <w:pPr>
      <w:widowControl/>
      <w:spacing w:before="100" w:beforeAutospacing="1" w:after="100" w:afterAutospacing="1"/>
      <w:jc w:val="left"/>
    </w:pPr>
    <w:rPr>
      <w:rFonts w:ascii="ＭＳ Ｐゴシック" w:eastAsia="ＭＳ Ｐゴシック" w:hAnsi="ＭＳ Ｐゴシック" w:cs="ＭＳ Ｐゴシック"/>
      <w:sz w:val="24"/>
    </w:rPr>
  </w:style>
  <w:style w:type="character" w:customStyle="1" w:styleId="apple-tab-span">
    <w:name w:val="apple-tab-span"/>
    <w:basedOn w:val="a0"/>
  </w:style>
  <w:style w:type="paragraph" w:styleId="ad">
    <w:name w:val="annotation text"/>
    <w:basedOn w:val="a"/>
    <w:pPr>
      <w:jc w:val="left"/>
    </w:pPr>
    <w:rPr>
      <w:rFonts w:ascii="Calibri" w:eastAsia="Calibri" w:hAnsi="Calibri" w:cs="Calibri"/>
      <w:sz w:val="20"/>
    </w:rPr>
  </w:style>
  <w:style w:type="paragraph" w:styleId="ae">
    <w:name w:val="Revision"/>
    <w:pPr>
      <w:widowControl/>
      <w:jc w:val="left"/>
    </w:pPr>
  </w:style>
  <w:style w:type="paragraph" w:styleId="af">
    <w:name w:val="annotation subject"/>
    <w:basedOn w:val="ad"/>
    <w:rPr>
      <w:b/>
    </w:rPr>
  </w:style>
  <w:style w:type="paragraph" w:styleId="af0">
    <w:name w:val="List Paragraph"/>
    <w:basedOn w:val="a"/>
    <w:pPr>
      <w:ind w:left="720"/>
      <w:contextualSpacing/>
    </w:pPr>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style>
  <w:style w:type="character" w:customStyle="1" w:styleId="FamilyName">
    <w:name w:val="Family Name"/>
    <w:basedOn w:val="a0"/>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style>
  <w:style w:type="character" w:customStyle="1" w:styleId="Postcode">
    <w:name w:val="Postcode"/>
    <w:basedOn w:val="a0"/>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GrantID">
    <w:name w:val="Grant ID"/>
    <w:basedOn w:val="a0"/>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rPr>
  </w:style>
  <w:style w:type="paragraph" w:customStyle="1" w:styleId="Copyright">
    <w:name w:val="Copyright"/>
    <w:basedOn w:val="a"/>
    <w:pPr>
      <w:shd w:val="clear" w:color="auto" w:fill="E9F9FF"/>
    </w:pPr>
    <w:rPr>
      <w:rFonts w:ascii="Calibri" w:eastAsia="Calibri" w:hAnsi="Calibri" w:cs="Calibri"/>
      <w:sz w:val="18"/>
    </w:rPr>
  </w:style>
  <w:style w:type="paragraph" w:styleId="af1">
    <w:name w:val="footnote text"/>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vertAlign w:val="baseline"/>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Organization">
    <w:name w:val="Organization"/>
    <w:basedOn w:val="a0"/>
  </w:style>
  <w:style w:type="paragraph" w:styleId="21">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style>
  <w:style w:type="paragraph" w:styleId="af2">
    <w:name w:val="endnote text"/>
    <w:basedOn w:val="a"/>
    <w:rPr>
      <w:rFonts w:ascii="Calibri" w:eastAsia="Calibri" w:hAnsi="Calibri" w:cs="Calibri"/>
    </w:rPr>
  </w:style>
  <w:style w:type="paragraph" w:styleId="af3">
    <w:name w:val="Block Text"/>
    <w:basedOn w:val="a"/>
    <w:pPr>
      <w:spacing w:after="160" w:line="360" w:lineRule="auto"/>
      <w:ind w:left="1200"/>
    </w:pPr>
    <w:rPr>
      <w:rFonts w:ascii="Calibri" w:eastAsia="Calibri" w:hAnsi="Calibri" w:cs="Calibri"/>
      <w:sz w:val="22"/>
    </w:rPr>
  </w:style>
  <w:style w:type="character" w:customStyle="1" w:styleId="ArticleTitle">
    <w:name w:val="Article Title"/>
    <w:basedOn w:val="a0"/>
    <w:qFormat/>
  </w:style>
  <w:style w:type="character" w:customStyle="1" w:styleId="City">
    <w:name w:val="City"/>
    <w:basedOn w:val="a0"/>
  </w:style>
  <w:style w:type="character" w:customStyle="1" w:styleId="Region">
    <w:name w:val="Region"/>
    <w:basedOn w:val="a0"/>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rPr>
  </w:style>
  <w:style w:type="character" w:customStyle="1" w:styleId="DatabaseLink">
    <w:name w:val="Database Link"/>
    <w:basedOn w:val="a0"/>
  </w:style>
  <w:style w:type="paragraph" w:styleId="41">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ind w:left="1440"/>
      <w:outlineLvl w:val="8"/>
    </w:pPr>
    <w:rPr>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rPr>
  </w:style>
  <w:style w:type="character" w:customStyle="1" w:styleId="PageNumbers">
    <w:name w:val="Page Numbers"/>
    <w:basedOn w:val="a0"/>
  </w:style>
  <w:style w:type="paragraph" w:styleId="af4">
    <w:name w:val="Normal Indent"/>
    <w:basedOn w:val="a"/>
    <w:qFormat/>
    <w:pPr>
      <w:ind w:firstLine="480"/>
    </w:pPr>
    <w:rPr>
      <w:sz w:val="22"/>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rPr>
  </w:style>
  <w:style w:type="character" w:customStyle="1" w:styleId="VolumeNumber">
    <w:name w:val="Volume Number"/>
    <w:basedOn w:val="a0"/>
  </w:style>
  <w:style w:type="character" w:customStyle="1" w:styleId="GeneSequence">
    <w:name w:val="Gene Sequence"/>
    <w:basedOn w:val="a0"/>
  </w:style>
  <w:style w:type="paragraph" w:styleId="af5">
    <w:name w:val="Balloon Text"/>
    <w:basedOn w:val="a"/>
    <w:rPr>
      <w:rFonts w:ascii="Calibri" w:eastAsia="Calibri" w:hAnsi="Calibri" w:cs="Calibri"/>
      <w:color w:val="000000"/>
      <w:sz w:val="16"/>
    </w:rPr>
  </w:style>
  <w:style w:type="character" w:customStyle="1" w:styleId="IssueNumber">
    <w:name w:val="Issue Number"/>
    <w:basedOn w:val="a0"/>
  </w:style>
  <w:style w:type="paragraph" w:styleId="af6">
    <w:name w:val="List"/>
    <w:basedOn w:val="a"/>
    <w:pPr>
      <w:spacing w:line="360" w:lineRule="auto"/>
      <w:ind w:left="400" w:hanging="400"/>
    </w:pPr>
    <w:rPr>
      <w:rFonts w:ascii="Calibri" w:eastAsia="Calibri" w:hAnsi="Calibri" w:cs="Calibri"/>
      <w:sz w:val="22"/>
    </w:rPr>
  </w:style>
  <w:style w:type="character" w:customStyle="1" w:styleId="Edition">
    <w:name w:val="Edition"/>
    <w:basedOn w:val="a0"/>
  </w:style>
  <w:style w:type="paragraph" w:customStyle="1" w:styleId="Biography">
    <w:name w:val="Biography"/>
    <w:basedOn w:val="a"/>
    <w:pPr>
      <w:shd w:val="clear" w:color="auto" w:fill="EEFEF4"/>
      <w:spacing w:after="160" w:line="396" w:lineRule="auto"/>
    </w:pPr>
    <w:rPr>
      <w:rFonts w:ascii="Calibri" w:eastAsia="Calibri" w:hAnsi="Calibri" w:cs="Calibri"/>
      <w:sz w:val="20"/>
    </w:rPr>
  </w:style>
  <w:style w:type="paragraph" w:styleId="31">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rPr>
  </w:style>
  <w:style w:type="character" w:customStyle="1" w:styleId="Miscellaneous">
    <w:name w:val="Miscellaneous"/>
    <w:basedOn w:val="a0"/>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Source">
    <w:name w:val="Source"/>
    <w:basedOn w:val="a0"/>
  </w:style>
  <w:style w:type="character" w:customStyle="1" w:styleId="NameScientific">
    <w:name w:val="Name Scientific"/>
    <w:basedOn w:val="a0"/>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customStyle="1" w:styleId="TableNote">
    <w:name w:val="Table Note"/>
    <w:basedOn w:val="a"/>
    <w:rPr>
      <w:rFonts w:ascii="Calibri" w:eastAsia="Calibri" w:hAnsi="Calibri" w:cs="Calibri"/>
      <w:sz w:val="18"/>
    </w:rPr>
  </w:style>
  <w:style w:type="character" w:customStyle="1" w:styleId="Year">
    <w:name w:val="Year"/>
    <w:basedOn w:val="a0"/>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Location">
    <w:name w:val="Location"/>
    <w:basedOn w:val="a0"/>
  </w:style>
  <w:style w:type="paragraph" w:customStyle="1" w:styleId="ChapterNumber">
    <w:name w:val="Chapter Number"/>
    <w:basedOn w:val="a"/>
    <w:rPr>
      <w:rFonts w:ascii="Calibri" w:eastAsia="Calibri" w:hAnsi="Calibri" w:cs="Calibri"/>
    </w:rPr>
  </w:style>
  <w:style w:type="paragraph" w:styleId="51">
    <w:name w:val="List 5"/>
    <w:basedOn w:val="a"/>
    <w:pPr>
      <w:spacing w:line="360" w:lineRule="auto"/>
      <w:ind w:left="1800" w:hanging="400"/>
    </w:pPr>
    <w:rPr>
      <w:rFonts w:ascii="Calibri" w:eastAsia="Calibri" w:hAnsi="Calibri" w:cs="Calibri"/>
      <w:sz w:val="22"/>
    </w:rPr>
  </w:style>
  <w:style w:type="character" w:customStyle="1" w:styleId="Publisher">
    <w:name w:val="Publisher"/>
    <w:basedOn w:val="a0"/>
  </w:style>
  <w:style w:type="paragraph" w:styleId="af7">
    <w:name w:val="caption"/>
    <w:basedOn w:val="a"/>
    <w:pPr>
      <w:shd w:val="clear" w:color="auto" w:fill="FFF5ED"/>
      <w:spacing w:before="240" w:line="349" w:lineRule="auto"/>
    </w:pPr>
    <w:rPr>
      <w:rFonts w:ascii="Calibri" w:eastAsia="Calibri" w:hAnsi="Calibri" w:cs="Calibri"/>
      <w:sz w:val="22"/>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ajps.1208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perpile.com/c/yiLwwt/rEPUf+LGyDR" TargetMode="External"/><Relationship Id="rId12" Type="http://schemas.openxmlformats.org/officeDocument/2006/relationships/hyperlink" Target="https://doi.org/10.1007/s11606-021-06950-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perpile.com/c/yiLwwt/LGyDR+wMKeM" TargetMode="External"/><Relationship Id="rId11" Type="http://schemas.openxmlformats.org/officeDocument/2006/relationships/hyperlink" Target="http://paperpile.com/b/yiLwwt/wMKeM" TargetMode="External"/><Relationship Id="rId5" Type="http://schemas.openxmlformats.org/officeDocument/2006/relationships/hyperlink" Target="https://paperpile.com/c/yiLwwt/rEPUf" TargetMode="External"/><Relationship Id="rId10" Type="http://schemas.openxmlformats.org/officeDocument/2006/relationships/hyperlink" Target="https://doi.org/10.1037/a0028085" TargetMode="External"/><Relationship Id="rId4" Type="http://schemas.openxmlformats.org/officeDocument/2006/relationships/webSettings" Target="webSettings.xml"/><Relationship Id="rId9" Type="http://schemas.openxmlformats.org/officeDocument/2006/relationships/hyperlink" Target="http://paperpile.com/b/yiLwwt/LGyDR"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485</Words>
  <Characters>2769</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宜明 栗田</cp:lastModifiedBy>
  <cp:revision>4</cp:revision>
  <dcterms:created xsi:type="dcterms:W3CDTF">2025-02-20T10:31:00Z</dcterms:created>
  <dcterms:modified xsi:type="dcterms:W3CDTF">2025-05-25T06:47:00Z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urnalID">
    <vt:lpwstr/>
  </property>
  <property fmtid="{D5CDD505-2E9C-101B-9397-08002B2CF9AE}" pid="3" name="Source">
    <vt:lpwstr/>
  </property>
  <property fmtid="{D5CDD505-2E9C-101B-9397-08002B2CF9AE}" pid="4" name="Source-short">
    <vt:lpwstr/>
  </property>
  <property fmtid="{D5CDD505-2E9C-101B-9397-08002B2CF9AE}" pid="5" name="Source-abbreviated">
    <vt:lpwstr/>
  </property>
  <property fmtid="{D5CDD505-2E9C-101B-9397-08002B2CF9AE}" pid="6" name="epub">
    <vt:lpwstr/>
  </property>
  <property fmtid="{D5CDD505-2E9C-101B-9397-08002B2CF9AE}" pid="7" name="ppub">
    <vt:lpwstr/>
  </property>
  <property fmtid="{D5CDD505-2E9C-101B-9397-08002B2CF9AE}" pid="8" name="Publisher">
    <vt:lpwstr/>
  </property>
  <property fmtid="{D5CDD505-2E9C-101B-9397-08002B2CF9AE}" pid="9" name="Publisher-location">
    <vt:lpwstr/>
  </property>
  <property fmtid="{D5CDD505-2E9C-101B-9397-08002B2CF9AE}" pid="10" name="DOI">
    <vt:lpwstr/>
  </property>
  <property fmtid="{D5CDD505-2E9C-101B-9397-08002B2CF9AE}" pid="11" name="ReceivedDate">
    <vt:lpwstr/>
  </property>
  <property fmtid="{D5CDD505-2E9C-101B-9397-08002B2CF9AE}" pid="12" name="AcceptedDate">
    <vt:lpwstr/>
  </property>
  <property fmtid="{D5CDD505-2E9C-101B-9397-08002B2CF9AE}" pid="13" name="Reference citation style">
    <vt:lpwstr>numerical</vt:lpwstr>
  </property>
  <property fmtid="{D5CDD505-2E9C-101B-9397-08002B2CF9AE}" pid="14" name="Subject">
    <vt:lpwstr/>
  </property>
  <property fmtid="{D5CDD505-2E9C-101B-9397-08002B2CF9AE}" pid="15" name="Merops word count">
    <vt:lpwstr>436</vt:lpwstr>
  </property>
  <property fmtid="{D5CDD505-2E9C-101B-9397-08002B2CF9AE}" pid="16" name="Merops references count">
    <vt:lpwstr>3</vt:lpwstr>
  </property>
  <property fmtid="{D5CDD505-2E9C-101B-9397-08002B2CF9AE}" pid="17" name="Merops PubMed links count">
    <vt:lpwstr>0</vt:lpwstr>
  </property>
  <property fmtid="{D5CDD505-2E9C-101B-9397-08002B2CF9AE}" pid="18" name="Merops DOI links count">
    <vt:lpwstr>3</vt:lpwstr>
  </property>
  <property fmtid="{D5CDD505-2E9C-101B-9397-08002B2CF9AE}" pid="19" name="Merops tables count">
    <vt:lpwstr>0</vt:lpwstr>
  </property>
  <property fmtid="{D5CDD505-2E9C-101B-9397-08002B2CF9AE}" pid="20" name="Merops figures count">
    <vt:lpwstr>2</vt:lpwstr>
  </property>
  <property fmtid="{D5CDD505-2E9C-101B-9397-08002B2CF9AE}" pid="21" name="Merops graphics count">
    <vt:lpwstr>0</vt:lpwstr>
  </property>
  <property fmtid="{D5CDD505-2E9C-101B-9397-08002B2CF9AE}" pid="22" name="Merops footnotes/endnotes count">
    <vt:lpwstr>0</vt:lpwstr>
  </property>
  <property fmtid="{D5CDD505-2E9C-101B-9397-08002B2CF9AE}" pid="23" name="Merops email addresses count">
    <vt:lpwstr>0</vt:lpwstr>
  </property>
  <property fmtid="{D5CDD505-2E9C-101B-9397-08002B2CF9AE}" pid="24" name="Merops intra-document links count">
    <vt:lpwstr>0</vt:lpwstr>
  </property>
  <property fmtid="{D5CDD505-2E9C-101B-9397-08002B2CF9AE}" pid="25" name="Merops Standard Set">
    <vt:lpwstr>merops/preset-v1/springer-vancouver-brackets</vt:lpwstr>
  </property>
  <property fmtid="{D5CDD505-2E9C-101B-9397-08002B2CF9AE}" pid="26" name="Merops Standard Set modified">
    <vt:lpwstr/>
  </property>
  <property fmtid="{D5CDD505-2E9C-101B-9397-08002B2CF9AE}" pid="27" name="Merops client version">
    <vt:lpwstr/>
  </property>
  <property fmtid="{D5CDD505-2E9C-101B-9397-08002B2CF9AE}" pid="28" name="Merops input file path">
    <vt:lpwstr>2c0880ca-b5c6-4714-8f56-adb5ac642e23.docx</vt:lpwstr>
  </property>
  <property fmtid="{D5CDD505-2E9C-101B-9397-08002B2CF9AE}" pid="29" name="Merops -Original extension">
    <vt:lpwstr>docx</vt:lpwstr>
  </property>
  <property fmtid="{D5CDD505-2E9C-101B-9397-08002B2CF9AE}" pid="30" name="Merops server path">
    <vt:lpwstr/>
  </property>
  <property fmtid="{D5CDD505-2E9C-101B-9397-08002B2CF9AE}" pid="31" name="Merops item path">
    <vt:lpwstr>MG-Session/On-20250219/I:0ef9689a-a5d1-428b-bb49-5a3ea0ab9a70</vt:lpwstr>
  </property>
  <property fmtid="{D5CDD505-2E9C-101B-9397-08002B2CF9AE}" pid="32" name="Merops processed date">
    <vt:lpwstr>2025/02/19 08:32:04 AM</vt:lpwstr>
  </property>
  <property fmtid="{D5CDD505-2E9C-101B-9397-08002B2CF9AE}" pid="33" name="Merops WorldCat links count">
    <vt:lpwstr>0</vt:lpwstr>
  </property>
  <property fmtid="{D5CDD505-2E9C-101B-9397-08002B2CF9AE}" pid="34" name="Merops Scopus links count">
    <vt:lpwstr>0</vt:lpwstr>
  </property>
  <property fmtid="{D5CDD505-2E9C-101B-9397-08002B2CF9AE}" pid="35" name="GrammarlyDocumentId">
    <vt:lpwstr>c0c5db08ba39a123cc6e2a475b8512e2f4b0af7c639bc715a0b826afc65bf2e2</vt:lpwstr>
  </property>
  <property fmtid="{D5CDD505-2E9C-101B-9397-08002B2CF9AE}" pid="36" name="Merops change count">
    <vt:lpwstr>126</vt:lpwstr>
  </property>
  <property fmtid="{D5CDD505-2E9C-101B-9397-08002B2CF9AE}" pid="37" name="Merops comment count">
    <vt:lpwstr>0</vt:lpwstr>
  </property>
</Properties>
</file>