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D1952" w14:textId="1280DA16" w:rsidR="0060255F" w:rsidRPr="002370C3" w:rsidRDefault="00D12BCA">
      <w:pPr>
        <w:pStyle w:val="Web"/>
        <w:spacing w:before="0" w:beforeAutospacing="0" w:after="0" w:afterAutospacing="0" w:line="480" w:lineRule="auto"/>
        <w:rPr>
          <w:rFonts w:ascii="Times New Roman" w:eastAsia="Times New Roman" w:hAnsi="Times New Roman" w:cs="Times New Roman"/>
          <w:szCs w:val="24"/>
        </w:rPr>
      </w:pPr>
      <w:r w:rsidRPr="002370C3">
        <w:rPr>
          <w:rFonts w:ascii="Times New Roman" w:eastAsia="Times New Roman" w:hAnsi="Times New Roman" w:cs="Times New Roman"/>
          <w:b/>
          <w:color w:val="000000"/>
          <w:szCs w:val="24"/>
        </w:rPr>
        <w:t xml:space="preserve">Additional File </w:t>
      </w:r>
      <w:r w:rsidR="00BB74B6">
        <w:rPr>
          <w:rFonts w:ascii="Times New Roman" w:eastAsiaTheme="minorEastAsia" w:hAnsi="Times New Roman" w:cs="Times New Roman" w:hint="eastAsia"/>
          <w:b/>
          <w:color w:val="000000"/>
          <w:szCs w:val="24"/>
          <w:lang w:eastAsia="ja-JP"/>
        </w:rPr>
        <w:t>5</w:t>
      </w:r>
      <w:r w:rsidRPr="002370C3">
        <w:rPr>
          <w:rFonts w:ascii="Times New Roman" w:eastAsia="Times New Roman" w:hAnsi="Times New Roman" w:cs="Times New Roman"/>
          <w:b/>
          <w:color w:val="000000"/>
          <w:szCs w:val="24"/>
        </w:rPr>
        <w:t>. Detailed description of statistical analyses</w:t>
      </w:r>
    </w:p>
    <w:p w14:paraId="321D1953" w14:textId="13DD7591" w:rsidR="0060255F" w:rsidRPr="00BE0AA6" w:rsidRDefault="00D12BCA">
      <w:pPr>
        <w:pStyle w:val="Web"/>
        <w:spacing w:before="0" w:beforeAutospacing="0" w:after="0" w:afterAutospacing="0" w:line="480" w:lineRule="auto"/>
        <w:rPr>
          <w:rFonts w:ascii="Times New Roman" w:eastAsiaTheme="minorEastAsia" w:hAnsi="Times New Roman" w:cs="Times New Roman" w:hint="eastAsia"/>
          <w:szCs w:val="24"/>
          <w:lang w:eastAsia="ja-JP"/>
        </w:rPr>
      </w:pPr>
      <w:r w:rsidRPr="002370C3">
        <w:rPr>
          <w:rFonts w:ascii="Times New Roman" w:eastAsia="Times New Roman" w:hAnsi="Times New Roman" w:cs="Times New Roman"/>
          <w:color w:val="000000"/>
          <w:szCs w:val="24"/>
        </w:rPr>
        <w:t xml:space="preserve">Psychometric analyses were performed using R version 4.1.2, the psych package version 2.2.3, and the </w:t>
      </w:r>
      <w:proofErr w:type="spellStart"/>
      <w:r w:rsidRPr="002370C3">
        <w:rPr>
          <w:rFonts w:ascii="Times New Roman" w:eastAsia="Times New Roman" w:hAnsi="Times New Roman" w:cs="Times New Roman"/>
          <w:color w:val="000000"/>
          <w:szCs w:val="24"/>
        </w:rPr>
        <w:t>lavaan</w:t>
      </w:r>
      <w:proofErr w:type="spellEnd"/>
      <w:r w:rsidRPr="002370C3">
        <w:rPr>
          <w:rFonts w:ascii="Times New Roman" w:eastAsia="Times New Roman" w:hAnsi="Times New Roman" w:cs="Times New Roman"/>
          <w:color w:val="000000"/>
          <w:szCs w:val="24"/>
        </w:rPr>
        <w:t xml:space="preserve"> package version 0.6-11. All other analyses were performed using Stata/SE. version 17 (Stata Corp., College Station, TX, USA). </w:t>
      </w:r>
      <w:r w:rsidR="00BE0AA6" w:rsidRPr="00BE0AA6">
        <w:rPr>
          <w:rFonts w:ascii="Times New Roman" w:eastAsia="Times New Roman" w:hAnsi="Times New Roman" w:cs="Times New Roman"/>
          <w:color w:val="000000"/>
          <w:szCs w:val="24"/>
        </w:rPr>
        <w:t>Respondent characteristics are presented as means and standard deviations or medians with interquartile ranges for continuous variables, and as frequencies and percentages for categorical variables</w:t>
      </w:r>
      <w:r w:rsidR="00BE0AA6" w:rsidRPr="00BE0AA6">
        <w:rPr>
          <w:rFonts w:ascii="Times New Roman" w:eastAsiaTheme="minorEastAsia" w:hAnsi="Times New Roman" w:cs="Times New Roman" w:hint="eastAsia"/>
          <w:color w:val="000000"/>
          <w:szCs w:val="24"/>
          <w:lang w:eastAsia="ja-JP"/>
        </w:rPr>
        <w:t>.</w:t>
      </w:r>
    </w:p>
    <w:p w14:paraId="321D1954" w14:textId="77777777" w:rsidR="0060255F" w:rsidRPr="002370C3" w:rsidRDefault="0060255F">
      <w:pPr>
        <w:spacing w:line="480" w:lineRule="auto"/>
        <w:rPr>
          <w:rFonts w:ascii="Times New Roman" w:eastAsia="Times New Roman" w:hAnsi="Times New Roman" w:cs="Times New Roman"/>
          <w:sz w:val="24"/>
          <w:szCs w:val="24"/>
        </w:rPr>
      </w:pPr>
    </w:p>
    <w:p w14:paraId="321D1955" w14:textId="445D86FA" w:rsidR="0060255F" w:rsidRPr="002370C3" w:rsidRDefault="00D12BCA">
      <w:pPr>
        <w:pStyle w:val="Web"/>
        <w:spacing w:before="0" w:beforeAutospacing="0" w:after="0" w:afterAutospacing="0" w:line="480" w:lineRule="auto"/>
        <w:rPr>
          <w:rFonts w:ascii="Times New Roman" w:eastAsia="Times New Roman" w:hAnsi="Times New Roman" w:cs="Times New Roman"/>
          <w:szCs w:val="24"/>
        </w:rPr>
      </w:pPr>
      <w:r w:rsidRPr="002370C3">
        <w:rPr>
          <w:rFonts w:ascii="Times New Roman" w:eastAsia="Times New Roman" w:hAnsi="Times New Roman" w:cs="Times New Roman"/>
          <w:szCs w:val="24"/>
        </w:rPr>
        <w:t>For the TFEQ-</w:t>
      </w:r>
      <w:r w:rsidR="0019532A">
        <w:rPr>
          <w:rFonts w:ascii="Times New Roman" w:eastAsia="Times New Roman" w:hAnsi="Times New Roman" w:cs="Times New Roman"/>
          <w:szCs w:val="24"/>
        </w:rPr>
        <w:t>R18V2</w:t>
      </w:r>
      <w:r w:rsidRPr="002370C3">
        <w:rPr>
          <w:rFonts w:ascii="Times New Roman" w:eastAsia="Times New Roman" w:hAnsi="Times New Roman" w:cs="Times New Roman"/>
          <w:szCs w:val="24"/>
        </w:rPr>
        <w:t>, three-factor confirmatory factor analyses were conducted to examine the goodness of fit of the three-factor model. Recorded raw scores were used (items 1–16). The goodness of fit of the models was assessed using the comparative fit index (CFI) and root mean square approximation error (RMSEA). Acceptable model criteria are a CFI ≥ 0.90 and an RMSEA ≤ 0.08</w:t>
      </w:r>
      <w:r w:rsidRPr="002370C3">
        <w:rPr>
          <w:rStyle w:val="a9"/>
          <w:rFonts w:ascii="Times New Roman" w:eastAsia="Times New Roman" w:hAnsi="Times New Roman" w:cs="Times New Roman"/>
          <w:color w:val="auto"/>
          <w:szCs w:val="24"/>
          <w:u w:val="none"/>
        </w:rPr>
        <w:t xml:space="preserve"> </w:t>
      </w:r>
      <w:hyperlink r:id="rId6" w:history="1">
        <w:r w:rsidRPr="002370C3">
          <w:rPr>
            <w:rStyle w:val="a9"/>
            <w:rFonts w:ascii="Times New Roman" w:eastAsia="Times New Roman" w:hAnsi="Times New Roman" w:cs="Times New Roman"/>
            <w:color w:val="auto"/>
            <w:szCs w:val="24"/>
            <w:u w:val="none"/>
          </w:rPr>
          <w:t>[1]</w:t>
        </w:r>
      </w:hyperlink>
      <w:r w:rsidRPr="002370C3">
        <w:rPr>
          <w:rStyle w:val="a9"/>
          <w:rFonts w:ascii="Times New Roman" w:eastAsia="Times New Roman" w:hAnsi="Times New Roman" w:cs="Times New Roman"/>
          <w:color w:val="auto"/>
          <w:szCs w:val="24"/>
          <w:u w:val="none"/>
        </w:rPr>
        <w:t>.</w:t>
      </w:r>
      <w:r w:rsidRPr="002370C3">
        <w:rPr>
          <w:rFonts w:ascii="Times New Roman" w:eastAsia="Times New Roman" w:hAnsi="Times New Roman" w:cs="Times New Roman"/>
          <w:szCs w:val="24"/>
        </w:rPr>
        <w:t xml:space="preserve"> Acceptable standardized loadings were set at ≥ 0.3 while also considering the goodness of fit of the model and internal consistency reliability</w:t>
      </w:r>
      <w:r w:rsidRPr="002370C3">
        <w:rPr>
          <w:rStyle w:val="a9"/>
          <w:rFonts w:ascii="Times New Roman" w:eastAsia="Times New Roman" w:hAnsi="Times New Roman" w:cs="Times New Roman"/>
          <w:color w:val="auto"/>
          <w:szCs w:val="24"/>
          <w:u w:val="none"/>
        </w:rPr>
        <w:t xml:space="preserve"> </w:t>
      </w:r>
      <w:hyperlink r:id="rId7" w:history="1">
        <w:r w:rsidRPr="002370C3">
          <w:rPr>
            <w:rStyle w:val="a9"/>
            <w:rFonts w:ascii="Times New Roman" w:eastAsia="Times New Roman" w:hAnsi="Times New Roman" w:cs="Times New Roman"/>
            <w:color w:val="auto"/>
            <w:szCs w:val="24"/>
            <w:u w:val="none"/>
          </w:rPr>
          <w:t>[2]</w:t>
        </w:r>
      </w:hyperlink>
      <w:r w:rsidRPr="002370C3">
        <w:rPr>
          <w:rStyle w:val="a9"/>
          <w:rFonts w:ascii="Times New Roman" w:eastAsia="Times New Roman" w:hAnsi="Times New Roman" w:cs="Times New Roman"/>
          <w:color w:val="auto"/>
          <w:szCs w:val="24"/>
          <w:u w:val="none"/>
        </w:rPr>
        <w:t>.</w:t>
      </w:r>
      <w:r w:rsidRPr="002370C3">
        <w:rPr>
          <w:rFonts w:ascii="Times New Roman" w:eastAsia="Times New Roman" w:hAnsi="Times New Roman" w:cs="Times New Roman"/>
          <w:szCs w:val="24"/>
        </w:rPr>
        <w:t xml:space="preserve"> The distributions of the responses were examined at the item level. Positive floor (&gt;50% of the responses at the lower end of the possible scores) and ceiling effects (&gt;50% of the responses at the upper end of the possible scores) were examined</w:t>
      </w:r>
      <w:r w:rsidRPr="002370C3">
        <w:rPr>
          <w:rStyle w:val="a9"/>
          <w:rFonts w:ascii="Times New Roman" w:eastAsia="Times New Roman" w:hAnsi="Times New Roman" w:cs="Times New Roman"/>
          <w:color w:val="auto"/>
          <w:szCs w:val="24"/>
          <w:u w:val="none"/>
        </w:rPr>
        <w:t xml:space="preserve"> </w:t>
      </w:r>
      <w:hyperlink r:id="rId8" w:history="1">
        <w:r w:rsidRPr="002370C3">
          <w:rPr>
            <w:rStyle w:val="a9"/>
            <w:rFonts w:ascii="Times New Roman" w:eastAsia="Times New Roman" w:hAnsi="Times New Roman" w:cs="Times New Roman"/>
            <w:color w:val="auto"/>
            <w:szCs w:val="24"/>
            <w:u w:val="none"/>
          </w:rPr>
          <w:t>[3]</w:t>
        </w:r>
      </w:hyperlink>
      <w:r w:rsidRPr="002370C3">
        <w:rPr>
          <w:rStyle w:val="a9"/>
          <w:rFonts w:ascii="Times New Roman" w:eastAsia="Times New Roman" w:hAnsi="Times New Roman" w:cs="Times New Roman"/>
          <w:color w:val="auto"/>
          <w:szCs w:val="24"/>
          <w:u w:val="none"/>
        </w:rPr>
        <w:t>.</w:t>
      </w:r>
      <w:r w:rsidRPr="002370C3">
        <w:rPr>
          <w:rFonts w:ascii="Times New Roman" w:eastAsia="Times New Roman" w:hAnsi="Times New Roman" w:cs="Times New Roman"/>
          <w:szCs w:val="24"/>
        </w:rPr>
        <w:t xml:space="preserve"> The reliability of each domain in the three-factor models was assessed by Cronbach's α and McDonald's ω coefficients</w:t>
      </w:r>
      <w:r w:rsidRPr="002370C3">
        <w:rPr>
          <w:rStyle w:val="a9"/>
          <w:rFonts w:ascii="Times New Roman" w:eastAsia="Times New Roman" w:hAnsi="Times New Roman" w:cs="Times New Roman"/>
          <w:color w:val="auto"/>
          <w:szCs w:val="24"/>
          <w:u w:val="none"/>
        </w:rPr>
        <w:t xml:space="preserve"> </w:t>
      </w:r>
      <w:hyperlink r:id="rId9" w:history="1">
        <w:r w:rsidRPr="002370C3">
          <w:rPr>
            <w:rStyle w:val="a9"/>
            <w:rFonts w:ascii="Times New Roman" w:eastAsia="Times New Roman" w:hAnsi="Times New Roman" w:cs="Times New Roman"/>
            <w:color w:val="auto"/>
            <w:szCs w:val="24"/>
            <w:u w:val="none"/>
          </w:rPr>
          <w:t>[4]</w:t>
        </w:r>
      </w:hyperlink>
      <w:r w:rsidRPr="002370C3">
        <w:rPr>
          <w:rStyle w:val="a9"/>
          <w:rFonts w:ascii="Times New Roman" w:eastAsia="Times New Roman" w:hAnsi="Times New Roman" w:cs="Times New Roman"/>
          <w:color w:val="auto"/>
          <w:szCs w:val="24"/>
          <w:u w:val="none"/>
        </w:rPr>
        <w:t>.</w:t>
      </w:r>
      <w:r w:rsidRPr="002370C3">
        <w:rPr>
          <w:rFonts w:ascii="Times New Roman" w:eastAsia="Times New Roman" w:hAnsi="Times New Roman" w:cs="Times New Roman"/>
          <w:szCs w:val="24"/>
        </w:rPr>
        <w:t xml:space="preserve"> In general, coefficients &gt; 0.7 are recommended</w:t>
      </w:r>
      <w:r w:rsidRPr="002370C3">
        <w:rPr>
          <w:rStyle w:val="a9"/>
          <w:rFonts w:ascii="Times New Roman" w:eastAsia="Times New Roman" w:hAnsi="Times New Roman" w:cs="Times New Roman"/>
          <w:color w:val="auto"/>
          <w:szCs w:val="24"/>
          <w:u w:val="none"/>
        </w:rPr>
        <w:t xml:space="preserve"> </w:t>
      </w:r>
      <w:hyperlink r:id="rId10" w:history="1">
        <w:r w:rsidRPr="002370C3">
          <w:rPr>
            <w:rStyle w:val="a9"/>
            <w:rFonts w:ascii="Times New Roman" w:eastAsia="Times New Roman" w:hAnsi="Times New Roman" w:cs="Times New Roman"/>
            <w:color w:val="auto"/>
            <w:szCs w:val="24"/>
            <w:u w:val="none"/>
          </w:rPr>
          <w:t>[4]</w:t>
        </w:r>
      </w:hyperlink>
      <w:r w:rsidRPr="002370C3">
        <w:rPr>
          <w:rStyle w:val="a9"/>
          <w:rFonts w:ascii="Times New Roman" w:eastAsia="Times New Roman" w:hAnsi="Times New Roman" w:cs="Times New Roman"/>
          <w:color w:val="auto"/>
          <w:szCs w:val="24"/>
          <w:u w:val="none"/>
        </w:rPr>
        <w:t>.</w:t>
      </w:r>
    </w:p>
    <w:p w14:paraId="321D1956" w14:textId="5737BD12" w:rsidR="0060255F" w:rsidRPr="00152FCF" w:rsidRDefault="00D12BCA">
      <w:pPr>
        <w:pStyle w:val="Web"/>
        <w:spacing w:before="0" w:beforeAutospacing="0" w:after="0" w:afterAutospacing="0" w:line="480" w:lineRule="auto"/>
        <w:rPr>
          <w:rFonts w:ascii="Times New Roman" w:eastAsiaTheme="minorEastAsia" w:hAnsi="Times New Roman" w:cs="Times New Roman"/>
          <w:szCs w:val="24"/>
          <w:lang w:eastAsia="ja-JP"/>
        </w:rPr>
      </w:pPr>
      <w:r w:rsidRPr="002370C3">
        <w:rPr>
          <w:rFonts w:ascii="Times New Roman" w:eastAsia="Times New Roman" w:hAnsi="Times New Roman" w:cs="Times New Roman"/>
          <w:szCs w:val="24"/>
        </w:rPr>
        <w:t xml:space="preserve">Furthermore, construct validity was examined by testing the correlations between the TFEQ domain scores and the Japanese version of the DEBQ and BMI. </w:t>
      </w:r>
      <w:r w:rsidR="0045245B">
        <w:rPr>
          <w:rFonts w:ascii="Times New Roman" w:eastAsiaTheme="minorEastAsia" w:hAnsi="Times New Roman" w:cs="Times New Roman" w:hint="eastAsia"/>
          <w:szCs w:val="24"/>
          <w:lang w:eastAsia="ja-JP"/>
        </w:rPr>
        <w:t>Spearman</w:t>
      </w:r>
      <w:r w:rsidR="00EA77FE" w:rsidRPr="002370C3">
        <w:rPr>
          <w:rFonts w:ascii="Times New Roman" w:eastAsia="Times New Roman" w:hAnsi="Times New Roman" w:cs="Times New Roman"/>
          <w:szCs w:val="24"/>
        </w:rPr>
        <w:t xml:space="preserve"> </w:t>
      </w:r>
      <w:r w:rsidRPr="002370C3">
        <w:rPr>
          <w:rFonts w:ascii="Times New Roman" w:eastAsia="Times New Roman" w:hAnsi="Times New Roman" w:cs="Times New Roman"/>
          <w:szCs w:val="24"/>
        </w:rPr>
        <w:t>correlation coefficient was calculated to examine c</w:t>
      </w:r>
      <w:r w:rsidRPr="00152FCF">
        <w:rPr>
          <w:rFonts w:ascii="Times New Roman" w:eastAsia="Times New Roman" w:hAnsi="Times New Roman" w:cs="Times New Roman"/>
          <w:szCs w:val="24"/>
        </w:rPr>
        <w:t>orrelations.</w:t>
      </w:r>
    </w:p>
    <w:p w14:paraId="6283CC44" w14:textId="77777777" w:rsidR="00152FCF" w:rsidRPr="00152FCF" w:rsidRDefault="00152FCF">
      <w:pPr>
        <w:pStyle w:val="Web"/>
        <w:spacing w:before="0" w:beforeAutospacing="0" w:after="0" w:afterAutospacing="0" w:line="480" w:lineRule="auto"/>
        <w:rPr>
          <w:rFonts w:ascii="Times New Roman" w:eastAsiaTheme="minorEastAsia" w:hAnsi="Times New Roman" w:cs="Times New Roman"/>
          <w:szCs w:val="24"/>
          <w:lang w:eastAsia="ja-JP"/>
        </w:rPr>
      </w:pPr>
    </w:p>
    <w:p w14:paraId="6F68A037" w14:textId="2E64368D" w:rsidR="002370C3" w:rsidRPr="00152FCF" w:rsidRDefault="002370C3" w:rsidP="002370C3">
      <w:pPr>
        <w:spacing w:after="240" w:line="480" w:lineRule="auto"/>
        <w:rPr>
          <w:rFonts w:ascii="Times New Roman" w:eastAsiaTheme="minorEastAsia" w:hAnsi="Times New Roman" w:cs="Times New Roman"/>
          <w:sz w:val="24"/>
          <w:szCs w:val="24"/>
          <w:lang w:eastAsia="ja-JP"/>
        </w:rPr>
      </w:pPr>
      <w:r w:rsidRPr="00152FCF">
        <w:rPr>
          <w:rFonts w:ascii="Times New Roman" w:eastAsia="Times New Roman" w:hAnsi="Times New Roman" w:cs="Times New Roman"/>
          <w:sz w:val="24"/>
          <w:szCs w:val="24"/>
        </w:rPr>
        <w:t>We hypothesized that the UE domain of the TFEQ-</w:t>
      </w:r>
      <w:r w:rsidR="0019532A">
        <w:rPr>
          <w:rFonts w:ascii="Times New Roman" w:eastAsia="Times New Roman" w:hAnsi="Times New Roman" w:cs="Times New Roman"/>
          <w:sz w:val="24"/>
          <w:szCs w:val="24"/>
        </w:rPr>
        <w:t>R18V2</w:t>
      </w:r>
      <w:r w:rsidRPr="00152FCF">
        <w:rPr>
          <w:rFonts w:ascii="Times New Roman" w:eastAsia="Times New Roman" w:hAnsi="Times New Roman" w:cs="Times New Roman"/>
          <w:sz w:val="24"/>
          <w:szCs w:val="24"/>
        </w:rPr>
        <w:t xml:space="preserve">, which reflects general difficulties in regulating eating, including hunger, would show at least moderate correlations with the “External Eating” and “Emotional Eating” domains of the DEBQ. In contrast, its correlation </w:t>
      </w:r>
      <w:r w:rsidRPr="00152FCF">
        <w:rPr>
          <w:rFonts w:ascii="Times New Roman" w:eastAsia="Times New Roman" w:hAnsi="Times New Roman" w:cs="Times New Roman"/>
          <w:sz w:val="24"/>
          <w:szCs w:val="24"/>
        </w:rPr>
        <w:lastRenderedPageBreak/>
        <w:t>with the “Restrained Eating” domain was expected to be weak or negligible.</w:t>
      </w:r>
      <w:r w:rsidRPr="00152FCF">
        <w:rPr>
          <w:rFonts w:ascii="Times New Roman" w:eastAsia="ＭＳ 明朝" w:hAnsi="Times New Roman" w:cs="Times New Roman"/>
          <w:sz w:val="24"/>
          <w:szCs w:val="24"/>
          <w:lang w:eastAsia="ja-JP"/>
        </w:rPr>
        <w:t xml:space="preserve"> </w:t>
      </w:r>
      <w:r w:rsidRPr="00152FCF">
        <w:rPr>
          <w:rFonts w:ascii="Times New Roman" w:eastAsia="Times New Roman" w:hAnsi="Times New Roman" w:cs="Times New Roman"/>
          <w:sz w:val="24"/>
          <w:szCs w:val="24"/>
        </w:rPr>
        <w:t>The CR domain, which represents conscious restriction of food intake to control weight, was expected to be strongly correlated with the DEBQ “Restrained Eating” domain and weakly or negligibly correlated with the “External Eating” and “Emotional Eating” domains.</w:t>
      </w:r>
      <w:r w:rsidRPr="00152FCF">
        <w:rPr>
          <w:rFonts w:ascii="Times New Roman" w:eastAsiaTheme="minorEastAsia" w:hAnsi="Times New Roman" w:cs="Times New Roman"/>
          <w:sz w:val="24"/>
          <w:szCs w:val="24"/>
          <w:lang w:eastAsia="ja-JP"/>
        </w:rPr>
        <w:t xml:space="preserve"> </w:t>
      </w:r>
      <w:r w:rsidRPr="00152FCF">
        <w:rPr>
          <w:rFonts w:ascii="Times New Roman" w:eastAsia="Times New Roman" w:hAnsi="Times New Roman" w:cs="Times New Roman"/>
          <w:sz w:val="24"/>
          <w:szCs w:val="24"/>
        </w:rPr>
        <w:t>The EE domain, which captures overeating in response to negative emotions, was expected to be strongly correlated with the DEBQ “Emotional Eating” domain and weakly or negligibly correlated with the “External Eating” and “Restrained Eating” domains.</w:t>
      </w:r>
    </w:p>
    <w:p w14:paraId="694EFD2D" w14:textId="77777777" w:rsidR="00152FCF" w:rsidRPr="00152FCF" w:rsidRDefault="00152FCF" w:rsidP="002370C3">
      <w:pPr>
        <w:spacing w:after="240" w:line="480" w:lineRule="auto"/>
        <w:rPr>
          <w:rFonts w:ascii="Times New Roman" w:eastAsiaTheme="minorEastAsia" w:hAnsi="Times New Roman" w:cs="Times New Roman"/>
          <w:sz w:val="24"/>
          <w:szCs w:val="24"/>
          <w:lang w:eastAsia="ja-JP"/>
        </w:rPr>
      </w:pPr>
    </w:p>
    <w:p w14:paraId="321D1957" w14:textId="2153D55A" w:rsidR="0060255F" w:rsidRPr="00152FCF" w:rsidRDefault="002370C3" w:rsidP="002370C3">
      <w:pPr>
        <w:spacing w:after="240" w:line="480" w:lineRule="auto"/>
        <w:rPr>
          <w:rFonts w:ascii="Times New Roman" w:eastAsia="Times New Roman" w:hAnsi="Times New Roman" w:cs="Times New Roman"/>
          <w:sz w:val="24"/>
          <w:szCs w:val="24"/>
        </w:rPr>
      </w:pPr>
      <w:r w:rsidRPr="00152FCF">
        <w:rPr>
          <w:rFonts w:ascii="Times New Roman" w:eastAsia="Times New Roman" w:hAnsi="Times New Roman" w:cs="Times New Roman"/>
          <w:sz w:val="24"/>
          <w:szCs w:val="24"/>
        </w:rPr>
        <w:t>In a previous web-based survey conducted in the original validation study, all three TFEQ domains (UE, CR, and EE) showed weak positive correlations with BMI</w:t>
      </w:r>
      <w:r w:rsidRPr="00152FCF">
        <w:rPr>
          <w:rStyle w:val="a9"/>
          <w:rFonts w:ascii="Times New Roman" w:eastAsia="Times New Roman" w:hAnsi="Times New Roman" w:cs="Times New Roman"/>
          <w:color w:val="auto"/>
          <w:sz w:val="24"/>
          <w:szCs w:val="24"/>
          <w:u w:val="none"/>
        </w:rPr>
        <w:t xml:space="preserve"> </w:t>
      </w:r>
      <w:hyperlink r:id="rId11" w:history="1">
        <w:r w:rsidRPr="00152FCF">
          <w:rPr>
            <w:rStyle w:val="a9"/>
            <w:rFonts w:ascii="Times New Roman" w:eastAsia="Times New Roman" w:hAnsi="Times New Roman" w:cs="Times New Roman"/>
            <w:color w:val="auto"/>
            <w:sz w:val="24"/>
            <w:szCs w:val="24"/>
            <w:u w:val="none"/>
          </w:rPr>
          <w:t>[3]</w:t>
        </w:r>
      </w:hyperlink>
      <w:r w:rsidRPr="00152FCF">
        <w:rPr>
          <w:rFonts w:ascii="Times New Roman" w:eastAsia="Times New Roman" w:hAnsi="Times New Roman" w:cs="Times New Roman"/>
          <w:sz w:val="24"/>
          <w:szCs w:val="24"/>
        </w:rPr>
        <w:t>. Based on this, we expected similar patterns in the present study. The weak positive correlation between CR and BMI may suggest that excessive dietary restraint could paradoxically lead to episodes of overeating.</w:t>
      </w:r>
    </w:p>
    <w:p w14:paraId="321D1958" w14:textId="77777777" w:rsidR="0060255F" w:rsidRPr="00EA77FE" w:rsidRDefault="00D12BCA">
      <w:pPr>
        <w:pStyle w:val="Web"/>
        <w:spacing w:before="0" w:beforeAutospacing="0" w:after="0" w:afterAutospacing="0" w:line="480" w:lineRule="auto"/>
        <w:rPr>
          <w:rFonts w:ascii="Times New Roman" w:eastAsia="Times New Roman" w:hAnsi="Times New Roman" w:cs="Times New Roman"/>
          <w:b/>
        </w:rPr>
      </w:pPr>
      <w:r w:rsidRPr="00EA77FE">
        <w:rPr>
          <w:rFonts w:ascii="Times New Roman" w:eastAsia="Times New Roman" w:hAnsi="Times New Roman" w:cs="Times New Roman"/>
          <w:b/>
        </w:rPr>
        <w:t>References</w:t>
      </w:r>
    </w:p>
    <w:p w14:paraId="321D1959" w14:textId="5F87FB99" w:rsidR="0060255F" w:rsidRPr="00EA77FE" w:rsidRDefault="00D12BCA">
      <w:pPr>
        <w:pStyle w:val="Web"/>
        <w:spacing w:before="240" w:beforeAutospacing="0" w:after="240" w:afterAutospacing="0" w:line="480" w:lineRule="auto"/>
        <w:rPr>
          <w:rFonts w:ascii="Times New Roman" w:eastAsia="Times New Roman" w:hAnsi="Times New Roman" w:cs="Times New Roman"/>
        </w:rPr>
      </w:pPr>
      <w:r w:rsidRPr="00EA77FE">
        <w:rPr>
          <w:rFonts w:ascii="Times New Roman" w:eastAsia="Times New Roman" w:hAnsi="Times New Roman" w:cs="Times New Roman"/>
        </w:rPr>
        <w:t>1.</w:t>
      </w:r>
      <w:r w:rsidRPr="00EA77FE">
        <w:rPr>
          <w:rFonts w:ascii="Times New Roman" w:eastAsia="Times New Roman" w:hAnsi="Times New Roman" w:cs="Times New Roman"/>
        </w:rPr>
        <w:tab/>
      </w:r>
      <w:hyperlink r:id="rId12" w:history="1">
        <w:r w:rsidRPr="00EA77FE">
          <w:rPr>
            <w:rStyle w:val="a9"/>
            <w:rFonts w:ascii="Times New Roman" w:eastAsia="Times New Roman" w:hAnsi="Times New Roman" w:cs="Times New Roman"/>
            <w:color w:val="auto"/>
            <w:u w:val="none"/>
          </w:rPr>
          <w:t>Lin J</w:t>
        </w:r>
      </w:hyperlink>
      <w:hyperlink r:id="rId13" w:history="1">
        <w:r w:rsidRPr="00EA77FE">
          <w:rPr>
            <w:rStyle w:val="a9"/>
            <w:rFonts w:ascii="Times New Roman" w:eastAsia="Times New Roman" w:hAnsi="Times New Roman" w:cs="Times New Roman"/>
            <w:color w:val="auto"/>
            <w:u w:val="none"/>
          </w:rPr>
          <w:t xml:space="preserve">. </w:t>
        </w:r>
      </w:hyperlink>
      <w:hyperlink r:id="rId14" w:history="1">
        <w:r w:rsidRPr="00EA77FE">
          <w:rPr>
            <w:rStyle w:val="a9"/>
            <w:rFonts w:ascii="Times New Roman" w:eastAsia="Times New Roman" w:hAnsi="Times New Roman" w:cs="Times New Roman"/>
            <w:color w:val="auto"/>
            <w:u w:val="none"/>
          </w:rPr>
          <w:t>Confirmatory factor analysis (CFA) in R with lavaan</w:t>
        </w:r>
      </w:hyperlink>
      <w:hyperlink r:id="rId15" w:history="1">
        <w:r w:rsidRPr="00EA77FE">
          <w:rPr>
            <w:rStyle w:val="a9"/>
            <w:rFonts w:ascii="Times New Roman" w:eastAsia="Times New Roman" w:hAnsi="Times New Roman" w:cs="Times New Roman"/>
            <w:color w:val="auto"/>
            <w:u w:val="none"/>
          </w:rPr>
          <w:t xml:space="preserve">; </w:t>
        </w:r>
      </w:hyperlink>
      <w:hyperlink r:id="rId16" w:history="1">
        <w:r w:rsidRPr="00EA77FE">
          <w:rPr>
            <w:rStyle w:val="a9"/>
            <w:rFonts w:ascii="Times New Roman" w:eastAsia="Times New Roman" w:hAnsi="Times New Roman" w:cs="Times New Roman"/>
            <w:color w:val="auto"/>
            <w:u w:val="none"/>
          </w:rPr>
          <w:t>2022</w:t>
        </w:r>
      </w:hyperlink>
      <w:hyperlink r:id="rId17" w:history="1">
        <w:r w:rsidRPr="00EA77FE">
          <w:rPr>
            <w:rStyle w:val="a9"/>
            <w:rFonts w:ascii="Times New Roman" w:eastAsia="Times New Roman" w:hAnsi="Times New Roman" w:cs="Times New Roman"/>
            <w:color w:val="auto"/>
            <w:u w:val="none"/>
          </w:rPr>
          <w:t xml:space="preserve">. </w:t>
        </w:r>
      </w:hyperlink>
      <w:hyperlink r:id="rId18" w:history="1">
        <w:r w:rsidRPr="00EA77FE">
          <w:rPr>
            <w:rStyle w:val="a9"/>
            <w:rFonts w:ascii="Times New Roman" w:eastAsia="Times New Roman" w:hAnsi="Times New Roman" w:cs="Times New Roman"/>
            <w:color w:val="auto"/>
            <w:u w:val="none"/>
          </w:rPr>
          <w:t>UCLA</w:t>
        </w:r>
      </w:hyperlink>
      <w:hyperlink r:id="rId19" w:history="1">
        <w:r w:rsidRPr="00EA77FE">
          <w:rPr>
            <w:rStyle w:val="a9"/>
            <w:rFonts w:ascii="Times New Roman" w:eastAsia="Times New Roman" w:hAnsi="Times New Roman" w:cs="Times New Roman"/>
            <w:color w:val="auto"/>
            <w:u w:val="none"/>
          </w:rPr>
          <w:t xml:space="preserve">. </w:t>
        </w:r>
      </w:hyperlink>
      <w:hyperlink r:id="rId20" w:history="1">
        <w:r w:rsidRPr="00EA77FE">
          <w:rPr>
            <w:rStyle w:val="a9"/>
            <w:rFonts w:ascii="Times New Roman" w:eastAsia="Times New Roman" w:hAnsi="Times New Roman" w:cs="Times New Roman"/>
            <w:color w:val="auto"/>
            <w:u w:val="none"/>
          </w:rPr>
          <w:t>In</w:t>
        </w:r>
      </w:hyperlink>
      <w:hyperlink r:id="rId21" w:history="1">
        <w:r w:rsidRPr="00EA77FE">
          <w:rPr>
            <w:rStyle w:val="a9"/>
            <w:rFonts w:ascii="Times New Roman" w:eastAsia="Times New Roman" w:hAnsi="Times New Roman" w:cs="Times New Roman"/>
            <w:color w:val="auto"/>
            <w:u w:val="none"/>
          </w:rPr>
          <w:t>:</w:t>
        </w:r>
      </w:hyperlink>
      <w:hyperlink r:id="rId22" w:history="1">
        <w:r w:rsidRPr="00EA77FE">
          <w:rPr>
            <w:rStyle w:val="a9"/>
            <w:rFonts w:ascii="Times New Roman" w:eastAsia="Times New Roman" w:hAnsi="Times New Roman" w:cs="Times New Roman"/>
            <w:color w:val="auto"/>
            <w:u w:val="none"/>
          </w:rPr>
          <w:t xml:space="preserve"> </w:t>
        </w:r>
      </w:hyperlink>
      <w:hyperlink r:id="rId23" w:history="1">
        <w:r w:rsidRPr="00EA77FE">
          <w:rPr>
            <w:rStyle w:val="a9"/>
            <w:rFonts w:ascii="Times New Roman" w:eastAsia="Times New Roman" w:hAnsi="Times New Roman" w:cs="Times New Roman"/>
            <w:color w:val="auto"/>
            <w:u w:val="none"/>
          </w:rPr>
          <w:t>Statistical Consulting Group</w:t>
        </w:r>
      </w:hyperlink>
      <w:hyperlink r:id="rId24" w:history="1">
        <w:r w:rsidRPr="00EA77FE">
          <w:rPr>
            <w:rStyle w:val="a9"/>
            <w:rFonts w:ascii="Times New Roman" w:eastAsia="Times New Roman" w:hAnsi="Times New Roman" w:cs="Times New Roman"/>
            <w:color w:val="auto"/>
            <w:u w:val="none"/>
          </w:rPr>
          <w:t xml:space="preserve"> </w:t>
        </w:r>
      </w:hyperlink>
      <w:hyperlink r:id="rId25" w:history="1">
        <w:r w:rsidRPr="00EA77FE">
          <w:rPr>
            <w:rStyle w:val="a9"/>
            <w:rFonts w:ascii="Times New Roman" w:eastAsia="Times New Roman" w:hAnsi="Times New Roman" w:cs="Times New Roman"/>
            <w:color w:val="auto"/>
            <w:u w:val="none"/>
          </w:rPr>
          <w:t>[Internet]</w:t>
        </w:r>
      </w:hyperlink>
      <w:hyperlink r:id="rId26" w:history="1">
        <w:r w:rsidRPr="00EA77FE">
          <w:rPr>
            <w:rStyle w:val="a9"/>
            <w:rFonts w:ascii="Times New Roman" w:eastAsia="Times New Roman" w:hAnsi="Times New Roman" w:cs="Times New Roman"/>
            <w:color w:val="auto"/>
            <w:u w:val="none"/>
          </w:rPr>
          <w:t xml:space="preserve">. </w:t>
        </w:r>
      </w:hyperlink>
      <w:hyperlink r:id="rId27" w:history="1">
        <w:r w:rsidRPr="00EA77FE">
          <w:rPr>
            <w:rStyle w:val="a9"/>
            <w:rFonts w:ascii="Times New Roman" w:eastAsia="Times New Roman" w:hAnsi="Times New Roman" w:cs="Times New Roman"/>
            <w:color w:val="auto"/>
            <w:u w:val="none"/>
          </w:rPr>
          <w:t>https://stats.oarc.ucla.edu/r/seminars/rcfa/</w:t>
        </w:r>
      </w:hyperlink>
    </w:p>
    <w:p w14:paraId="321D195A" w14:textId="7ECBF871" w:rsidR="0060255F" w:rsidRPr="00EA77FE" w:rsidRDefault="00D12BCA">
      <w:pPr>
        <w:pStyle w:val="Web"/>
        <w:spacing w:before="0" w:beforeAutospacing="0" w:after="240" w:afterAutospacing="0" w:line="480" w:lineRule="auto"/>
        <w:rPr>
          <w:rFonts w:ascii="Times New Roman" w:eastAsia="Times New Roman" w:hAnsi="Times New Roman" w:cs="Times New Roman"/>
        </w:rPr>
      </w:pPr>
      <w:r w:rsidRPr="00EA77FE">
        <w:rPr>
          <w:rFonts w:ascii="Times New Roman" w:eastAsia="Times New Roman" w:hAnsi="Times New Roman" w:cs="Times New Roman"/>
        </w:rPr>
        <w:t>2.</w:t>
      </w:r>
      <w:r w:rsidRPr="00EA77FE">
        <w:rPr>
          <w:rFonts w:ascii="Times New Roman" w:eastAsia="Times New Roman" w:hAnsi="Times New Roman" w:cs="Times New Roman"/>
        </w:rPr>
        <w:tab/>
      </w:r>
      <w:r w:rsidRPr="00EA77FE">
        <w:rPr>
          <w:rStyle w:val="a9"/>
          <w:rFonts w:ascii="Times New Roman" w:eastAsia="Times New Roman" w:hAnsi="Times New Roman" w:cs="Times New Roman"/>
          <w:color w:val="auto"/>
          <w:u w:val="none"/>
        </w:rPr>
        <w:t xml:space="preserve">De Coster J, Claypool H. Data analysis in SPSS. </w:t>
      </w:r>
      <w:hyperlink r:id="rId28" w:history="1">
        <w:r w:rsidRPr="00EA77FE">
          <w:rPr>
            <w:rStyle w:val="a9"/>
            <w:rFonts w:ascii="Times New Roman" w:eastAsia="Times New Roman" w:hAnsi="Times New Roman" w:cs="Times New Roman"/>
            <w:color w:val="auto"/>
            <w:u w:val="none"/>
          </w:rPr>
          <w:t>http://stat-help.com/spss.pdf</w:t>
        </w:r>
      </w:hyperlink>
      <w:r w:rsidRPr="00EA77FE">
        <w:rPr>
          <w:rStyle w:val="a9"/>
          <w:rFonts w:ascii="Times New Roman" w:eastAsia="Times New Roman" w:hAnsi="Times New Roman" w:cs="Times New Roman"/>
          <w:color w:val="auto"/>
          <w:u w:val="none"/>
        </w:rPr>
        <w:t xml:space="preserve"> Accessed 10 Apr 2023</w:t>
      </w:r>
    </w:p>
    <w:p w14:paraId="321D195B" w14:textId="7206FB69" w:rsidR="0060255F" w:rsidRPr="00EA77FE" w:rsidRDefault="00D12BCA">
      <w:pPr>
        <w:pStyle w:val="Web"/>
        <w:spacing w:before="0" w:beforeAutospacing="0" w:after="240" w:afterAutospacing="0" w:line="480" w:lineRule="auto"/>
        <w:rPr>
          <w:rFonts w:ascii="Times New Roman" w:eastAsia="Times New Roman" w:hAnsi="Times New Roman" w:cs="Times New Roman"/>
        </w:rPr>
      </w:pPr>
      <w:r w:rsidRPr="00EA77FE">
        <w:rPr>
          <w:rFonts w:ascii="Times New Roman" w:eastAsia="Times New Roman" w:hAnsi="Times New Roman" w:cs="Times New Roman"/>
        </w:rPr>
        <w:t>3.</w:t>
      </w:r>
      <w:r w:rsidRPr="00EA77FE">
        <w:rPr>
          <w:rFonts w:ascii="Times New Roman" w:eastAsia="Times New Roman" w:hAnsi="Times New Roman" w:cs="Times New Roman"/>
        </w:rPr>
        <w:tab/>
      </w:r>
      <w:hyperlink r:id="rId29" w:history="1">
        <w:r w:rsidRPr="00EA77FE">
          <w:rPr>
            <w:rStyle w:val="a9"/>
            <w:rFonts w:ascii="Times New Roman" w:eastAsia="Times New Roman" w:hAnsi="Times New Roman" w:cs="Times New Roman"/>
            <w:color w:val="auto"/>
            <w:u w:val="none"/>
          </w:rPr>
          <w:t>Cappelleri JC, Bushmakin AG, Gerber RA, Leidy NK, Sexton CC, Lowe MR, et al. Psychometric analysis of the Three-Factor Eating Questionnaire-R21: results from a large diverse sample of obese and non-obese participants. Int J Obes (Lond). 2009</w:t>
        </w:r>
        <w:r w:rsidRPr="00EA77FE">
          <w:rPr>
            <w:rStyle w:val="a9"/>
            <w:rFonts w:ascii="Times New Roman" w:eastAsia="Times New Roman" w:hAnsi="Times New Roman" w:cs="Times New Roman"/>
            <w:i/>
            <w:color w:val="auto"/>
            <w:u w:val="none"/>
          </w:rPr>
          <w:t>;</w:t>
        </w:r>
        <w:r w:rsidRPr="00EA77FE">
          <w:rPr>
            <w:rStyle w:val="a9"/>
            <w:rFonts w:ascii="Times New Roman" w:eastAsia="Times New Roman" w:hAnsi="Times New Roman" w:cs="Times New Roman"/>
            <w:color w:val="auto"/>
            <w:u w:val="none"/>
          </w:rPr>
          <w:t>33</w:t>
        </w:r>
        <w:r w:rsidRPr="00EA77FE">
          <w:rPr>
            <w:rStyle w:val="a9"/>
            <w:rFonts w:ascii="Times New Roman" w:eastAsia="Times New Roman" w:hAnsi="Times New Roman" w:cs="Times New Roman"/>
            <w:i/>
            <w:color w:val="auto"/>
            <w:u w:val="none"/>
          </w:rPr>
          <w:t>:</w:t>
        </w:r>
        <w:r w:rsidRPr="00EA77FE">
          <w:rPr>
            <w:rStyle w:val="a9"/>
            <w:rFonts w:ascii="Times New Roman" w:eastAsia="Times New Roman" w:hAnsi="Times New Roman" w:cs="Times New Roman"/>
            <w:color w:val="auto"/>
            <w:u w:val="none"/>
          </w:rPr>
          <w:t xml:space="preserve">611–20. </w:t>
        </w:r>
        <w:hyperlink r:id="rId30" w:history="1">
          <w:r w:rsidRPr="00EA77FE">
            <w:rPr>
              <w:rStyle w:val="a9"/>
              <w:rFonts w:ascii="Times New Roman" w:eastAsia="Times New Roman" w:hAnsi="Times New Roman" w:cs="Times New Roman"/>
              <w:color w:val="auto"/>
              <w:u w:val="none"/>
            </w:rPr>
            <w:t>https://doi.org/10.1038/ijo.2009.74</w:t>
          </w:r>
        </w:hyperlink>
      </w:hyperlink>
    </w:p>
    <w:p w14:paraId="321D195D" w14:textId="661A1F7E" w:rsidR="0060255F" w:rsidRDefault="00D12BCA" w:rsidP="002370C3">
      <w:pPr>
        <w:pStyle w:val="Web"/>
        <w:spacing w:before="0" w:beforeAutospacing="0" w:after="240" w:afterAutospacing="0" w:line="480" w:lineRule="auto"/>
      </w:pPr>
      <w:r w:rsidRPr="00EA77FE">
        <w:rPr>
          <w:rFonts w:ascii="Times New Roman" w:eastAsia="Times New Roman" w:hAnsi="Times New Roman" w:cs="Times New Roman"/>
        </w:rPr>
        <w:lastRenderedPageBreak/>
        <w:t>4.</w:t>
      </w:r>
      <w:r w:rsidRPr="00EA77FE">
        <w:rPr>
          <w:rFonts w:ascii="Times New Roman" w:eastAsia="Times New Roman" w:hAnsi="Times New Roman" w:cs="Times New Roman"/>
        </w:rPr>
        <w:tab/>
      </w:r>
      <w:hyperlink r:id="rId31" w:history="1">
        <w:r w:rsidRPr="00EA77FE">
          <w:rPr>
            <w:rStyle w:val="a9"/>
            <w:rFonts w:ascii="Times New Roman" w:eastAsia="Times New Roman" w:hAnsi="Times New Roman" w:cs="Times New Roman"/>
            <w:color w:val="auto"/>
            <w:u w:val="none"/>
          </w:rPr>
          <w:t>Dunn TJ, Baguley T, Brunsden V. From alpha to omega: a practical solution to the pervasive problem of internal consistency estimation. Br J Psychol. 2014</w:t>
        </w:r>
        <w:r w:rsidRPr="00EA77FE">
          <w:rPr>
            <w:rStyle w:val="a9"/>
            <w:rFonts w:ascii="Times New Roman" w:eastAsia="Times New Roman" w:hAnsi="Times New Roman" w:cs="Times New Roman"/>
            <w:i/>
            <w:color w:val="auto"/>
            <w:u w:val="none"/>
          </w:rPr>
          <w:t>;</w:t>
        </w:r>
        <w:r w:rsidRPr="00EA77FE">
          <w:rPr>
            <w:rStyle w:val="a9"/>
            <w:rFonts w:ascii="Times New Roman" w:eastAsia="Times New Roman" w:hAnsi="Times New Roman" w:cs="Times New Roman"/>
            <w:color w:val="auto"/>
            <w:u w:val="none"/>
          </w:rPr>
          <w:t>105</w:t>
        </w:r>
        <w:r w:rsidRPr="00EA77FE">
          <w:rPr>
            <w:rStyle w:val="a9"/>
            <w:rFonts w:ascii="Times New Roman" w:eastAsia="Times New Roman" w:hAnsi="Times New Roman" w:cs="Times New Roman"/>
            <w:i/>
            <w:color w:val="auto"/>
            <w:u w:val="none"/>
          </w:rPr>
          <w:t>:</w:t>
        </w:r>
        <w:r w:rsidRPr="00EA77FE">
          <w:rPr>
            <w:rStyle w:val="a9"/>
            <w:rFonts w:ascii="Times New Roman" w:eastAsia="Times New Roman" w:hAnsi="Times New Roman" w:cs="Times New Roman"/>
            <w:color w:val="auto"/>
            <w:u w:val="none"/>
          </w:rPr>
          <w:t xml:space="preserve">399–412. </w:t>
        </w:r>
        <w:hyperlink r:id="rId32" w:history="1">
          <w:r w:rsidRPr="00EA77FE">
            <w:rPr>
              <w:rStyle w:val="a9"/>
              <w:rFonts w:ascii="Times New Roman" w:eastAsia="Times New Roman" w:hAnsi="Times New Roman" w:cs="Times New Roman"/>
              <w:color w:val="auto"/>
              <w:u w:val="none"/>
            </w:rPr>
            <w:t>https://doi.org/10.1111/bjop.12046</w:t>
          </w:r>
        </w:hyperlink>
      </w:hyperlink>
    </w:p>
    <w:sectPr w:rsidR="0060255F">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0E3AD" w14:textId="77777777" w:rsidR="00A23F51" w:rsidRDefault="00A23F51" w:rsidP="002370C3">
      <w:r>
        <w:separator/>
      </w:r>
    </w:p>
  </w:endnote>
  <w:endnote w:type="continuationSeparator" w:id="0">
    <w:p w14:paraId="66CF9DF8" w14:textId="77777777" w:rsidR="00A23F51" w:rsidRDefault="00A23F51" w:rsidP="0023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A2591" w14:textId="77777777" w:rsidR="00A23F51" w:rsidRDefault="00A23F51" w:rsidP="002370C3">
      <w:r>
        <w:separator/>
      </w:r>
    </w:p>
  </w:footnote>
  <w:footnote w:type="continuationSeparator" w:id="0">
    <w:p w14:paraId="26264B7A" w14:textId="77777777" w:rsidR="00A23F51" w:rsidRDefault="00A23F51" w:rsidP="002370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55F"/>
    <w:rsid w:val="00045555"/>
    <w:rsid w:val="00130B43"/>
    <w:rsid w:val="00152FCF"/>
    <w:rsid w:val="0019532A"/>
    <w:rsid w:val="002370C3"/>
    <w:rsid w:val="0045245B"/>
    <w:rsid w:val="0060255F"/>
    <w:rsid w:val="00881F99"/>
    <w:rsid w:val="00890064"/>
    <w:rsid w:val="00940830"/>
    <w:rsid w:val="00A23F51"/>
    <w:rsid w:val="00B37BF1"/>
    <w:rsid w:val="00BB74B6"/>
    <w:rsid w:val="00BE0AA6"/>
    <w:rsid w:val="00D12BCA"/>
    <w:rsid w:val="00DE4952"/>
    <w:rsid w:val="00DF0945"/>
    <w:rsid w:val="00DF5487"/>
    <w:rsid w:val="00EA77FE"/>
    <w:rsid w:val="00F733D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1D1952"/>
  <w15:docId w15:val="{CE9727A9-92E4-4BA2-8D08-63D7C9B19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US" w:eastAsia="en-US" w:bidi="bn-IN"/>
      </w:rPr>
    </w:rPrDefault>
    <w:pPrDefault>
      <w:pPr>
        <w:spacing w:after="160" w:line="259" w:lineRule="auto"/>
      </w:pPr>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rFonts w:ascii="游明朝" w:eastAsia="游明朝" w:hAnsi="游明朝" w:cs="游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pPr>
      <w:spacing w:line="305" w:lineRule="auto"/>
    </w:pPr>
    <w:rPr>
      <w:rFonts w:ascii="Calibri" w:eastAsia="Calibri" w:hAnsi="Calibri" w:cs="Calibri"/>
      <w:sz w:val="26"/>
    </w:rPr>
  </w:style>
  <w:style w:type="paragraph" w:styleId="2">
    <w:name w:val="toc 2"/>
    <w:basedOn w:val="a"/>
    <w:pPr>
      <w:spacing w:line="330" w:lineRule="auto"/>
    </w:pPr>
    <w:rPr>
      <w:rFonts w:ascii="Calibri" w:eastAsia="Calibri" w:hAnsi="Calibri" w:cs="Calibri"/>
      <w:sz w:val="24"/>
    </w:rPr>
  </w:style>
  <w:style w:type="paragraph" w:styleId="3">
    <w:name w:val="toc 3"/>
    <w:basedOn w:val="a"/>
    <w:pPr>
      <w:spacing w:line="360" w:lineRule="auto"/>
    </w:pPr>
    <w:rPr>
      <w:rFonts w:ascii="Calibri" w:eastAsia="Calibri" w:hAnsi="Calibri" w:cs="Calibri"/>
      <w:sz w:val="22"/>
    </w:rPr>
  </w:style>
  <w:style w:type="paragraph" w:styleId="4">
    <w:name w:val="toc 4"/>
    <w:basedOn w:val="a"/>
    <w:pPr>
      <w:spacing w:line="330" w:lineRule="exact"/>
    </w:pPr>
    <w:rPr>
      <w:rFonts w:ascii="Calibri" w:eastAsia="Calibri" w:hAnsi="Calibri" w:cs="Calibri"/>
    </w:rPr>
  </w:style>
  <w:style w:type="paragraph" w:styleId="5">
    <w:name w:val="toc 5"/>
    <w:basedOn w:val="a"/>
    <w:pPr>
      <w:spacing w:line="330" w:lineRule="exact"/>
    </w:pPr>
    <w:rPr>
      <w:rFonts w:ascii="Calibri" w:eastAsia="Calibri" w:hAnsi="Calibri" w:cs="Calibri"/>
    </w:rPr>
  </w:style>
  <w:style w:type="paragraph" w:styleId="6">
    <w:name w:val="toc 6"/>
    <w:basedOn w:val="a"/>
    <w:pPr>
      <w:spacing w:line="330" w:lineRule="exact"/>
    </w:pPr>
    <w:rPr>
      <w:rFonts w:ascii="Calibri" w:eastAsia="Calibri" w:hAnsi="Calibri" w:cs="Calibri"/>
    </w:rPr>
  </w:style>
  <w:style w:type="paragraph" w:styleId="7">
    <w:name w:val="toc 7"/>
    <w:basedOn w:val="a"/>
    <w:pPr>
      <w:spacing w:line="330" w:lineRule="exact"/>
    </w:pPr>
    <w:rPr>
      <w:rFonts w:ascii="Calibri" w:eastAsia="Calibri" w:hAnsi="Calibri" w:cs="Calibri"/>
    </w:rPr>
  </w:style>
  <w:style w:type="paragraph" w:styleId="8">
    <w:name w:val="toc 8"/>
    <w:basedOn w:val="a"/>
    <w:pPr>
      <w:spacing w:line="330" w:lineRule="exact"/>
    </w:pPr>
    <w:rPr>
      <w:rFonts w:ascii="Calibri" w:eastAsia="Calibri" w:hAnsi="Calibri" w:cs="Calibri"/>
    </w:rPr>
  </w:style>
  <w:style w:type="paragraph" w:styleId="9">
    <w:name w:val="toc 9"/>
    <w:basedOn w:val="a"/>
    <w:pPr>
      <w:spacing w:line="330" w:lineRule="exact"/>
    </w:pPr>
    <w:rPr>
      <w:rFonts w:ascii="Calibri" w:eastAsia="Calibri" w:hAnsi="Calibri" w:cs="Calibri"/>
    </w:rPr>
  </w:style>
  <w:style w:type="table" w:styleId="a3">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styleId="a4">
    <w:name w:val="annotation reference"/>
    <w:basedOn w:val="a0"/>
    <w:rPr>
      <w:sz w:val="16"/>
    </w:rPr>
  </w:style>
  <w:style w:type="character" w:styleId="a5">
    <w:name w:val="endnote reference"/>
    <w:basedOn w:val="a0"/>
    <w:rPr>
      <w:vertAlign w:val="superscript"/>
    </w:rPr>
  </w:style>
  <w:style w:type="character" w:styleId="a6">
    <w:name w:val="footnote reference"/>
    <w:basedOn w:val="a0"/>
    <w:rPr>
      <w:vertAlign w:val="superscript"/>
    </w:rPr>
  </w:style>
  <w:style w:type="paragraph" w:styleId="a7">
    <w:name w:val="annotation text"/>
    <w:basedOn w:val="a"/>
    <w:link w:val="a8"/>
    <w:pPr>
      <w:jc w:val="left"/>
    </w:pPr>
    <w:rPr>
      <w:rFonts w:ascii="Calibri" w:eastAsia="Calibri" w:hAnsi="Calibri" w:cs="Calibri"/>
      <w:sz w:val="20"/>
    </w:rPr>
  </w:style>
  <w:style w:type="character" w:styleId="a9">
    <w:name w:val="Hyperlink"/>
    <w:basedOn w:val="a0"/>
    <w:rPr>
      <w:color w:val="0000FF"/>
      <w:u w:val="single"/>
    </w:rPr>
  </w:style>
  <w:style w:type="paragraph" w:styleId="Web">
    <w:name w:val="Normal (Web)"/>
    <w:basedOn w:val="a"/>
    <w:qFormat/>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styleId="aa">
    <w:name w:val="Revision"/>
    <w:pPr>
      <w:spacing w:after="0" w:line="240" w:lineRule="auto"/>
    </w:pPr>
    <w:rPr>
      <w:rFonts w:ascii="游明朝" w:eastAsia="游明朝" w:hAnsi="游明朝" w:cs="游明朝"/>
      <w:sz w:val="21"/>
    </w:rPr>
  </w:style>
  <w:style w:type="paragraph" w:styleId="ab">
    <w:name w:val="header"/>
    <w:basedOn w:val="a"/>
    <w:pPr>
      <w:tabs>
        <w:tab w:val="center" w:pos="4513"/>
        <w:tab w:val="right" w:pos="9026"/>
      </w:tabs>
    </w:pPr>
  </w:style>
  <w:style w:type="paragraph" w:styleId="ac">
    <w:name w:val="footer"/>
    <w:basedOn w:val="a"/>
    <w:pPr>
      <w:tabs>
        <w:tab w:val="center" w:pos="4513"/>
        <w:tab w:val="right" w:pos="9026"/>
      </w:tabs>
    </w:pPr>
  </w:style>
  <w:style w:type="character" w:customStyle="1" w:styleId="PageNumbers">
    <w:name w:val="Page Numbers"/>
    <w:basedOn w:val="a0"/>
    <w:rPr>
      <w:shd w:val="clear" w:color="auto" w:fill="FFEDF0"/>
    </w:rPr>
  </w:style>
  <w:style w:type="paragraph" w:customStyle="1" w:styleId="Keywords">
    <w:name w:val="Keywords"/>
    <w:basedOn w:val="a"/>
    <w:pPr>
      <w:spacing w:line="396" w:lineRule="auto"/>
      <w:ind w:left="1000"/>
      <w:jc w:val="left"/>
    </w:pPr>
    <w:rPr>
      <w:rFonts w:ascii="Calibri" w:eastAsia="Calibri" w:hAnsi="Calibri" w:cs="Calibri"/>
      <w:sz w:val="20"/>
    </w:rPr>
  </w:style>
  <w:style w:type="paragraph" w:styleId="ad">
    <w:name w:val="footnote text"/>
    <w:basedOn w:val="a"/>
    <w:rPr>
      <w:rFonts w:ascii="Calibri" w:eastAsia="Calibri" w:hAnsi="Calibri" w:cs="Calibri"/>
    </w:rPr>
  </w:style>
  <w:style w:type="character" w:customStyle="1" w:styleId="NameScientific">
    <w:name w:val="Name Scientific"/>
    <w:basedOn w:val="a0"/>
    <w:rPr>
      <w:shd w:val="clear" w:color="auto" w:fill="91E0FF"/>
    </w:rPr>
  </w:style>
  <w:style w:type="character" w:customStyle="1" w:styleId="Country">
    <w:name w:val="Country"/>
    <w:basedOn w:val="a0"/>
    <w:rPr>
      <w:shd w:val="clear" w:color="auto" w:fill="97C5D1"/>
    </w:rPr>
  </w:style>
  <w:style w:type="character" w:customStyle="1" w:styleId="ArticleTitle">
    <w:name w:val="Article Title"/>
    <w:basedOn w:val="a0"/>
    <w:qFormat/>
    <w:rPr>
      <w:shd w:val="clear" w:color="auto" w:fill="E9F9FF"/>
    </w:rPr>
  </w:style>
  <w:style w:type="paragraph" w:customStyle="1" w:styleId="TableHead">
    <w:name w:val="Table Head"/>
    <w:basedOn w:val="a"/>
    <w:pPr>
      <w:shd w:val="clear" w:color="auto" w:fill="FFEDFA"/>
      <w:jc w:val="left"/>
    </w:pPr>
    <w:rPr>
      <w:rFonts w:ascii="Calibri" w:eastAsia="Calibri" w:hAnsi="Calibri" w:cs="Calibri"/>
      <w:sz w:val="20"/>
      <w:shd w:val="clear" w:color="auto" w:fill="FFEDFA"/>
    </w:rPr>
  </w:style>
  <w:style w:type="paragraph" w:styleId="ae">
    <w:name w:val="Block Text"/>
    <w:basedOn w:val="a"/>
    <w:pPr>
      <w:spacing w:after="160" w:line="360" w:lineRule="auto"/>
      <w:ind w:left="1200"/>
    </w:pPr>
    <w:rPr>
      <w:rFonts w:ascii="Calibri" w:eastAsia="Calibri" w:hAnsi="Calibri" w:cs="Calibri"/>
      <w:sz w:val="22"/>
    </w:rPr>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Region">
    <w:name w:val="Region"/>
    <w:basedOn w:val="a0"/>
    <w:rPr>
      <w:shd w:val="clear" w:color="auto" w:fill="D8E9EE"/>
    </w:rPr>
  </w:style>
  <w:style w:type="character" w:customStyle="1" w:styleId="GivenName">
    <w:name w:val="Given Name"/>
    <w:basedOn w:val="a0"/>
    <w:rPr>
      <w:shd w:val="clear" w:color="auto" w:fill="D0FCE2"/>
    </w:rPr>
  </w:style>
  <w:style w:type="character" w:customStyle="1" w:styleId="DatabaseLink">
    <w:name w:val="Database Link"/>
    <w:basedOn w:val="a0"/>
    <w:rPr>
      <w:shd w:val="clear" w:color="auto" w:fill="AFBEFF"/>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Publisher">
    <w:name w:val="Publisher"/>
    <w:basedOn w:val="a0"/>
    <w:rPr>
      <w:shd w:val="clear" w:color="auto" w:fill="F2DDFF"/>
    </w:rPr>
  </w:style>
  <w:style w:type="paragraph" w:customStyle="1" w:styleId="List7">
    <w:name w:val="List 7"/>
    <w:basedOn w:val="a"/>
    <w:pPr>
      <w:spacing w:line="360" w:lineRule="auto"/>
      <w:ind w:left="1920" w:hanging="400"/>
    </w:pPr>
    <w:rPr>
      <w:rFonts w:ascii="Calibri" w:eastAsia="Calibri" w:hAnsi="Calibri" w:cs="Calibri"/>
      <w:sz w:val="22"/>
    </w:rPr>
  </w:style>
  <w:style w:type="paragraph" w:customStyle="1" w:styleId="ChapterNumber">
    <w:name w:val="Chapter Number"/>
    <w:basedOn w:val="a"/>
    <w:rPr>
      <w:rFonts w:ascii="Calibri" w:eastAsia="Calibri" w:hAnsi="Calibri" w:cs="Calibri"/>
    </w:rPr>
  </w:style>
  <w:style w:type="character" w:customStyle="1" w:styleId="GlossaryTerm">
    <w:name w:val="Glossary Term"/>
    <w:basedOn w:val="a0"/>
    <w:rPr>
      <w:shd w:val="clear" w:color="auto" w:fill="FFCFD7"/>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styleId="30">
    <w:name w:val="List 3"/>
    <w:basedOn w:val="a"/>
    <w:pPr>
      <w:spacing w:line="360" w:lineRule="auto"/>
      <w:ind w:left="1200" w:hanging="400"/>
    </w:pPr>
    <w:rPr>
      <w:rFonts w:ascii="Calibri" w:eastAsia="Calibri" w:hAnsi="Calibri" w:cs="Calibri"/>
      <w:sz w:val="22"/>
    </w:r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paragraph" w:styleId="20">
    <w:name w:val="List 2"/>
    <w:basedOn w:val="a"/>
    <w:pPr>
      <w:spacing w:line="360" w:lineRule="auto"/>
      <w:ind w:left="800" w:hanging="400"/>
    </w:pPr>
    <w:rPr>
      <w:rFonts w:ascii="Calibri" w:eastAsia="Calibri" w:hAnsi="Calibri" w:cs="Calibri"/>
      <w:sz w:val="22"/>
    </w:rPr>
  </w:style>
  <w:style w:type="character" w:customStyle="1" w:styleId="Edition">
    <w:name w:val="Edition"/>
    <w:basedOn w:val="a0"/>
    <w:rPr>
      <w:shd w:val="clear" w:color="auto" w:fill="FFF6A4"/>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shd w:val="clear" w:color="auto" w:fill="F4FFED"/>
    </w:rPr>
  </w:style>
  <w:style w:type="character" w:customStyle="1" w:styleId="City">
    <w:name w:val="City"/>
    <w:basedOn w:val="a0"/>
    <w:rPr>
      <w:shd w:val="clear" w:color="auto" w:fill="D7D7D7"/>
    </w:rPr>
  </w:style>
  <w:style w:type="character" w:customStyle="1" w:styleId="GrantID">
    <w:name w:val="Grant ID"/>
    <w:basedOn w:val="a0"/>
    <w:rPr>
      <w:shd w:val="clear" w:color="auto" w:fill="DDA5FF"/>
    </w:rPr>
  </w:style>
  <w:style w:type="character" w:customStyle="1" w:styleId="Conference">
    <w:name w:val="Conference"/>
    <w:basedOn w:val="a0"/>
    <w:rPr>
      <w:shd w:val="clear" w:color="auto" w:fill="FFAFBC"/>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character" w:customStyle="1" w:styleId="Organization">
    <w:name w:val="Organization"/>
    <w:basedOn w:val="a0"/>
    <w:rPr>
      <w:shd w:val="clear" w:color="auto" w:fill="D1FFB5"/>
    </w:rPr>
  </w:style>
  <w:style w:type="paragraph" w:styleId="af">
    <w:name w:val="caption"/>
    <w:basedOn w:val="a"/>
    <w:pPr>
      <w:shd w:val="clear" w:color="auto" w:fill="FFF5ED"/>
      <w:spacing w:before="240" w:line="349" w:lineRule="auto"/>
    </w:pPr>
    <w:rPr>
      <w:rFonts w:ascii="Calibri" w:eastAsia="Calibri" w:hAnsi="Calibri" w:cs="Calibri"/>
      <w:sz w:val="22"/>
      <w:shd w:val="clear" w:color="auto" w:fill="FFF5ED"/>
    </w:rPr>
  </w:style>
  <w:style w:type="paragraph" w:customStyle="1" w:styleId="TableNote">
    <w:name w:val="Table Note"/>
    <w:basedOn w:val="a"/>
    <w:rPr>
      <w:rFonts w:ascii="Calibri" w:eastAsia="Calibri" w:hAnsi="Calibri" w:cs="Calibri"/>
      <w:sz w:val="18"/>
    </w:rPr>
  </w:style>
  <w:style w:type="character" w:customStyle="1" w:styleId="Heading">
    <w:name w:val="Heading:"/>
    <w:basedOn w:val="a0"/>
    <w:rPr>
      <w:color w:val="5B89C1"/>
    </w:rPr>
  </w:style>
  <w:style w:type="character" w:customStyle="1" w:styleId="Year">
    <w:name w:val="Year"/>
    <w:basedOn w:val="a0"/>
    <w:rPr>
      <w:shd w:val="clear" w:color="auto" w:fill="FFF9C9"/>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character" w:customStyle="1" w:styleId="Location">
    <w:name w:val="Location"/>
    <w:basedOn w:val="a0"/>
    <w:rPr>
      <w:shd w:val="clear" w:color="auto" w:fill="F9EDFF"/>
    </w:rPr>
  </w:style>
  <w:style w:type="character" w:customStyle="1" w:styleId="Source">
    <w:name w:val="Source"/>
    <w:basedOn w:val="a0"/>
    <w:rPr>
      <w:shd w:val="clear" w:color="auto" w:fill="C1EDFF"/>
    </w:rPr>
  </w:style>
  <w:style w:type="paragraph" w:styleId="af0">
    <w:name w:val="endnote text"/>
    <w:basedOn w:val="a"/>
    <w:rPr>
      <w:rFonts w:ascii="Calibri" w:eastAsia="Calibri" w:hAnsi="Calibri" w:cs="Calibri"/>
    </w:rPr>
  </w:style>
  <w:style w:type="paragraph" w:styleId="af1">
    <w:name w:val="List"/>
    <w:basedOn w:val="a"/>
    <w:pPr>
      <w:spacing w:line="360" w:lineRule="auto"/>
      <w:ind w:left="400" w:hanging="400"/>
    </w:pPr>
    <w:rPr>
      <w:rFonts w:ascii="Calibri" w:eastAsia="Calibri" w:hAnsi="Calibri" w:cs="Calibri"/>
      <w:sz w:val="22"/>
    </w:rPr>
  </w:style>
  <w:style w:type="paragraph" w:styleId="40">
    <w:name w:val="List 4"/>
    <w:basedOn w:val="a"/>
    <w:pPr>
      <w:spacing w:line="360" w:lineRule="auto"/>
      <w:ind w:left="1600" w:hanging="400"/>
    </w:pPr>
    <w:rPr>
      <w:rFonts w:ascii="Calibri" w:eastAsia="Calibri" w:hAnsi="Calibri" w:cs="Calibri"/>
      <w:sz w:val="22"/>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paragraph" w:styleId="af2">
    <w:name w:val="Subtitle"/>
    <w:basedOn w:val="a"/>
    <w:qFormat/>
    <w:pPr>
      <w:spacing w:after="160" w:line="208" w:lineRule="auto"/>
      <w:jc w:val="left"/>
    </w:pPr>
    <w:rPr>
      <w:rFonts w:ascii="Calibri" w:eastAsia="Calibri" w:hAnsi="Calibri" w:cs="Calibri"/>
      <w:sz w:val="38"/>
    </w:rPr>
  </w:style>
  <w:style w:type="paragraph" w:customStyle="1" w:styleId="TableList">
    <w:name w:val="Table List"/>
    <w:basedOn w:val="a"/>
    <w:pPr>
      <w:ind w:left="300" w:hanging="300"/>
      <w:jc w:val="left"/>
    </w:pPr>
    <w:rPr>
      <w:rFonts w:ascii="Calibri" w:eastAsia="Calibri" w:hAnsi="Calibri" w:cs="Calibri"/>
      <w:sz w:val="20"/>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shd w:val="clear" w:color="auto" w:fill="FFF5ED"/>
    </w:rPr>
  </w:style>
  <w:style w:type="character" w:customStyle="1" w:styleId="GeneSequence">
    <w:name w:val="Gene Sequence"/>
    <w:basedOn w:val="a0"/>
    <w:rPr>
      <w:shd w:val="clear" w:color="auto" w:fill="FFCDF2"/>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shd w:val="clear" w:color="auto" w:fill="F3F7F9"/>
    </w:rPr>
  </w:style>
  <w:style w:type="paragraph" w:customStyle="1" w:styleId="TableBody">
    <w:name w:val="Table Body"/>
    <w:basedOn w:val="a"/>
    <w:pPr>
      <w:spacing w:after="160" w:line="396" w:lineRule="auto"/>
      <w:jc w:val="left"/>
    </w:pPr>
    <w:rPr>
      <w:rFonts w:ascii="Calibri" w:eastAsia="Calibri" w:hAnsi="Calibri" w:cs="Calibri"/>
      <w:sz w:val="20"/>
    </w:rPr>
  </w:style>
  <w:style w:type="character" w:customStyle="1" w:styleId="Postcode">
    <w:name w:val="Postcode"/>
    <w:basedOn w:val="a0"/>
    <w:rPr>
      <w:shd w:val="clear" w:color="auto" w:fill="BEBEBE"/>
    </w:rPr>
  </w:style>
  <w:style w:type="character" w:customStyle="1" w:styleId="Cross-reference">
    <w:name w:val="Cross-reference"/>
    <w:basedOn w:val="a0"/>
    <w:rPr>
      <w:shd w:val="clear" w:color="auto" w:fill="FFE3C9"/>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character" w:customStyle="1" w:styleId="Miscellaneous">
    <w:name w:val="Miscellaneous"/>
    <w:basedOn w:val="a0"/>
    <w:rPr>
      <w:shd w:val="clear" w:color="auto" w:fill="F0F0F0"/>
    </w:rPr>
  </w:style>
  <w:style w:type="paragraph" w:customStyle="1" w:styleId="TableHeadSpan">
    <w:name w:val="Table Head Span"/>
    <w:basedOn w:val="a"/>
    <w:pPr>
      <w:shd w:val="clear" w:color="auto" w:fill="FFEDFA"/>
      <w:jc w:val="left"/>
    </w:pPr>
    <w:rPr>
      <w:rFonts w:ascii="Calibri" w:eastAsia="Calibri" w:hAnsi="Calibri" w:cs="Calibri"/>
      <w:shd w:val="clear" w:color="auto" w:fill="FFEDFA"/>
    </w:rPr>
  </w:style>
  <w:style w:type="paragraph" w:customStyle="1" w:styleId="Statement">
    <w:name w:val="Statement"/>
    <w:basedOn w:val="a"/>
    <w:pPr>
      <w:ind w:left="900"/>
    </w:pPr>
    <w:rPr>
      <w:rFonts w:ascii="Calibri" w:eastAsia="Calibri" w:hAnsi="Calibri" w:cs="Calibri"/>
      <w:sz w:val="22"/>
    </w:rPr>
  </w:style>
  <w:style w:type="paragraph" w:customStyle="1" w:styleId="Authors">
    <w:name w:val="Authors"/>
    <w:basedOn w:val="a"/>
    <w:pPr>
      <w:spacing w:before="360" w:after="120" w:line="283" w:lineRule="auto"/>
      <w:jc w:val="left"/>
    </w:pPr>
    <w:rPr>
      <w:rFonts w:ascii="Calibri" w:eastAsia="Calibri" w:hAnsi="Calibri" w:cs="Calibri"/>
      <w:sz w:val="28"/>
    </w:rPr>
  </w:style>
  <w:style w:type="character" w:customStyle="1" w:styleId="FamilyName">
    <w:name w:val="Family Name"/>
    <w:basedOn w:val="a0"/>
    <w:rPr>
      <w:shd w:val="clear" w:color="auto" w:fill="88F4BE"/>
    </w:rPr>
  </w:style>
  <w:style w:type="paragraph" w:styleId="50">
    <w:name w:val="List 5"/>
    <w:basedOn w:val="a"/>
    <w:pPr>
      <w:spacing w:line="360" w:lineRule="auto"/>
      <w:ind w:left="1800" w:hanging="400"/>
    </w:pPr>
    <w:rPr>
      <w:rFonts w:ascii="Calibri" w:eastAsia="Calibri" w:hAnsi="Calibri" w:cs="Calibri"/>
      <w:sz w:val="22"/>
    </w:rPr>
  </w:style>
  <w:style w:type="character" w:customStyle="1" w:styleId="IssueNumber">
    <w:name w:val="Issue Number"/>
    <w:basedOn w:val="a0"/>
    <w:rPr>
      <w:shd w:val="clear" w:color="auto" w:fill="CDD5FF"/>
    </w:rPr>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shd w:val="clear" w:color="auto" w:fill="F9EDFF"/>
    </w:rPr>
  </w:style>
  <w:style w:type="character" w:customStyle="1" w:styleId="Label">
    <w:name w:val="Label"/>
    <w:basedOn w:val="a0"/>
    <w:rPr>
      <w:shd w:val="clear" w:color="auto" w:fill="FFC391"/>
      <w:vertAlign w:val="baseline"/>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customStyle="1" w:styleId="AbstractSubheading">
    <w:name w:val="Abstract Subheading"/>
    <w:basedOn w:val="a"/>
    <w:next w:val="a"/>
    <w:pPr>
      <w:keepNext/>
      <w:keepLines/>
      <w:numPr>
        <w:ilvl w:val="8"/>
      </w:numPr>
      <w:ind w:left="1440"/>
      <w:outlineLvl w:val="8"/>
    </w:pPr>
    <w:rPr>
      <w:sz w:val="22"/>
    </w:rPr>
  </w:style>
  <w:style w:type="character" w:customStyle="1" w:styleId="VolumeNumber">
    <w:name w:val="Volume Number"/>
    <w:basedOn w:val="a0"/>
    <w:rPr>
      <w:shd w:val="clear" w:color="auto" w:fill="EDF0FF"/>
    </w:rPr>
  </w:style>
  <w:style w:type="paragraph" w:customStyle="1" w:styleId="List9">
    <w:name w:val="List 9"/>
    <w:basedOn w:val="a"/>
    <w:pPr>
      <w:ind w:left="1200" w:hanging="600"/>
    </w:pPr>
    <w:rPr>
      <w:rFonts w:ascii="Times New Roman" w:eastAsia="Times New Roman" w:hAnsi="Times New Roman" w:cs="Times New Roman"/>
      <w:sz w:val="22"/>
    </w:rPr>
  </w:style>
  <w:style w:type="paragraph" w:customStyle="1" w:styleId="List1">
    <w:name w:val="List 1"/>
    <w:basedOn w:val="a"/>
    <w:pPr>
      <w:ind w:left="1200" w:hanging="600"/>
    </w:pPr>
    <w:rPr>
      <w:rFonts w:ascii="Times New Roman" w:eastAsia="Times New Roman" w:hAnsi="Times New Roman" w:cs="Times New Roman"/>
      <w:sz w:val="22"/>
    </w:rPr>
  </w:style>
  <w:style w:type="paragraph" w:styleId="af3">
    <w:name w:val="annotation subject"/>
    <w:basedOn w:val="a7"/>
    <w:next w:val="a7"/>
    <w:link w:val="af4"/>
    <w:uiPriority w:val="99"/>
    <w:rsid w:val="00D12BCA"/>
    <w:pPr>
      <w:jc w:val="both"/>
    </w:pPr>
    <w:rPr>
      <w:rFonts w:ascii="游明朝" w:eastAsia="游明朝" w:hAnsi="游明朝" w:cs="游明朝"/>
      <w:b/>
      <w:bCs/>
      <w:szCs w:val="25"/>
    </w:rPr>
  </w:style>
  <w:style w:type="character" w:customStyle="1" w:styleId="a8">
    <w:name w:val="コメント文字列 (文字)"/>
    <w:basedOn w:val="a0"/>
    <w:link w:val="a7"/>
    <w:rsid w:val="00D12BCA"/>
    <w:rPr>
      <w:rFonts w:ascii="Calibri" w:eastAsia="Calibri" w:hAnsi="Calibri" w:cs="Calibri"/>
      <w:sz w:val="20"/>
    </w:rPr>
  </w:style>
  <w:style w:type="character" w:customStyle="1" w:styleId="af4">
    <w:name w:val="コメント内容 (文字)"/>
    <w:basedOn w:val="a8"/>
    <w:link w:val="af3"/>
    <w:uiPriority w:val="99"/>
    <w:rsid w:val="00D12BCA"/>
    <w:rPr>
      <w:rFonts w:ascii="游明朝" w:eastAsia="游明朝" w:hAnsi="游明朝" w:cs="游明朝"/>
      <w:b/>
      <w:bCs/>
      <w:sz w:val="20"/>
      <w:szCs w:val="25"/>
    </w:rPr>
  </w:style>
  <w:style w:type="paragraph" w:styleId="af5">
    <w:name w:val="Balloon Text"/>
    <w:basedOn w:val="a"/>
    <w:link w:val="af6"/>
    <w:uiPriority w:val="99"/>
    <w:rsid w:val="00890064"/>
    <w:rPr>
      <w:rFonts w:ascii="Segoe UI" w:hAnsi="Segoe UI" w:cs="Segoe UI"/>
      <w:sz w:val="18"/>
      <w:szCs w:val="22"/>
    </w:rPr>
  </w:style>
  <w:style w:type="character" w:customStyle="1" w:styleId="af6">
    <w:name w:val="吹き出し (文字)"/>
    <w:basedOn w:val="a0"/>
    <w:link w:val="af5"/>
    <w:uiPriority w:val="99"/>
    <w:rsid w:val="00890064"/>
    <w:rPr>
      <w:rFonts w:ascii="Segoe UI" w:eastAsia="游明朝" w:hAnsi="Segoe UI" w:cs="Segoe U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erpile.com/c/yiLwwt/WYRSU" TargetMode="External"/><Relationship Id="rId13" Type="http://schemas.openxmlformats.org/officeDocument/2006/relationships/hyperlink" Target="http://paperpile.com/b/yiLwwt/YpRis" TargetMode="External"/><Relationship Id="rId18" Type="http://schemas.openxmlformats.org/officeDocument/2006/relationships/hyperlink" Target="http://paperpile.com/b/yiLwwt/YpRis" TargetMode="External"/><Relationship Id="rId26" Type="http://schemas.openxmlformats.org/officeDocument/2006/relationships/hyperlink" Target="http://paperpile.com/b/yiLwwt/YpRis" TargetMode="External"/><Relationship Id="rId3" Type="http://schemas.openxmlformats.org/officeDocument/2006/relationships/webSettings" Target="webSettings.xml"/><Relationship Id="rId21" Type="http://schemas.openxmlformats.org/officeDocument/2006/relationships/hyperlink" Target="http://paperpile.com/b/yiLwwt/YpRis" TargetMode="External"/><Relationship Id="rId34" Type="http://schemas.openxmlformats.org/officeDocument/2006/relationships/theme" Target="theme/theme1.xml"/><Relationship Id="rId7" Type="http://schemas.openxmlformats.org/officeDocument/2006/relationships/hyperlink" Target="https://paperpile.com/c/yiLwwt/5Qc8A" TargetMode="External"/><Relationship Id="rId12" Type="http://schemas.openxmlformats.org/officeDocument/2006/relationships/hyperlink" Target="http://paperpile.com/b/yiLwwt/YpRis" TargetMode="External"/><Relationship Id="rId17" Type="http://schemas.openxmlformats.org/officeDocument/2006/relationships/hyperlink" Target="http://paperpile.com/b/yiLwwt/YpRis" TargetMode="External"/><Relationship Id="rId25" Type="http://schemas.openxmlformats.org/officeDocument/2006/relationships/hyperlink" Target="http://paperpile.com/b/yiLwwt/YpRis"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paperpile.com/b/yiLwwt/YpRis" TargetMode="External"/><Relationship Id="rId20" Type="http://schemas.openxmlformats.org/officeDocument/2006/relationships/hyperlink" Target="http://paperpile.com/b/yiLwwt/YpRis" TargetMode="External"/><Relationship Id="rId29" Type="http://schemas.openxmlformats.org/officeDocument/2006/relationships/hyperlink" Target="http://paperpile.com/b/yiLwwt/WYRSU" TargetMode="External"/><Relationship Id="rId1" Type="http://schemas.openxmlformats.org/officeDocument/2006/relationships/styles" Target="styles.xml"/><Relationship Id="rId6" Type="http://schemas.openxmlformats.org/officeDocument/2006/relationships/hyperlink" Target="https://paperpile.com/c/yiLwwt/YpRis" TargetMode="External"/><Relationship Id="rId11" Type="http://schemas.openxmlformats.org/officeDocument/2006/relationships/hyperlink" Target="https://paperpile.com/c/yiLwwt/WYRSU" TargetMode="External"/><Relationship Id="rId24" Type="http://schemas.openxmlformats.org/officeDocument/2006/relationships/hyperlink" Target="http://paperpile.com/b/yiLwwt/YpRis" TargetMode="External"/><Relationship Id="rId32" Type="http://schemas.openxmlformats.org/officeDocument/2006/relationships/hyperlink" Target="https://doi.org/10.1111/bjop.12046" TargetMode="External"/><Relationship Id="rId5" Type="http://schemas.openxmlformats.org/officeDocument/2006/relationships/endnotes" Target="endnotes.xml"/><Relationship Id="rId15" Type="http://schemas.openxmlformats.org/officeDocument/2006/relationships/hyperlink" Target="http://paperpile.com/b/yiLwwt/YpRis" TargetMode="External"/><Relationship Id="rId23" Type="http://schemas.openxmlformats.org/officeDocument/2006/relationships/hyperlink" Target="http://paperpile.com/b/yiLwwt/YpRis" TargetMode="External"/><Relationship Id="rId28" Type="http://schemas.openxmlformats.org/officeDocument/2006/relationships/hyperlink" Target="http://stat-help.com/spss.pdf" TargetMode="External"/><Relationship Id="rId10" Type="http://schemas.openxmlformats.org/officeDocument/2006/relationships/hyperlink" Target="https://paperpile.com/c/yiLwwt/CYRR7" TargetMode="External"/><Relationship Id="rId19" Type="http://schemas.openxmlformats.org/officeDocument/2006/relationships/hyperlink" Target="http://paperpile.com/b/yiLwwt/YpRis" TargetMode="External"/><Relationship Id="rId31" Type="http://schemas.openxmlformats.org/officeDocument/2006/relationships/hyperlink" Target="http://paperpile.com/b/yiLwwt/CYRR7" TargetMode="External"/><Relationship Id="rId4" Type="http://schemas.openxmlformats.org/officeDocument/2006/relationships/footnotes" Target="footnotes.xml"/><Relationship Id="rId9" Type="http://schemas.openxmlformats.org/officeDocument/2006/relationships/hyperlink" Target="https://paperpile.com/c/yiLwwt/CYRR7" TargetMode="External"/><Relationship Id="rId14" Type="http://schemas.openxmlformats.org/officeDocument/2006/relationships/hyperlink" Target="http://paperpile.com/b/yiLwwt/YpRis" TargetMode="External"/><Relationship Id="rId22" Type="http://schemas.openxmlformats.org/officeDocument/2006/relationships/hyperlink" Target="http://paperpile.com/b/yiLwwt/YpRis" TargetMode="External"/><Relationship Id="rId27" Type="http://schemas.openxmlformats.org/officeDocument/2006/relationships/hyperlink" Target="https://stats.oarc.ucla.edu/r/seminars/rcfa/" TargetMode="External"/><Relationship Id="rId30" Type="http://schemas.openxmlformats.org/officeDocument/2006/relationships/hyperlink" Target="https://doi.org/10.1038/ijo.200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757</Words>
  <Characters>4316</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kurita</dc:creator>
  <cp:lastModifiedBy>宜明 栗田</cp:lastModifiedBy>
  <cp:revision>7</cp:revision>
  <dcterms:created xsi:type="dcterms:W3CDTF">2025-07-07T03:56:00Z</dcterms:created>
  <dcterms:modified xsi:type="dcterms:W3CDTF">2025-07-13T08:36:00Z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numerical</vt:lpwstr>
  </property>
  <property fmtid="{D5CDD505-2E9C-101B-9397-08002B2CF9AE}" pid="14" name="Subject">
    <vt:lpwstr/>
  </property>
  <property fmtid="{D5CDD505-2E9C-101B-9397-08002B2CF9AE}" pid="15" name="Merops word count">
    <vt:lpwstr>369</vt:lpwstr>
  </property>
  <property fmtid="{D5CDD505-2E9C-101B-9397-08002B2CF9AE}" pid="16" name="Merops references count">
    <vt:lpwstr>4</vt:lpwstr>
  </property>
  <property fmtid="{D5CDD505-2E9C-101B-9397-08002B2CF9AE}" pid="17" name="Merops PubMed links count">
    <vt:lpwstr>0</vt:lpwstr>
  </property>
  <property fmtid="{D5CDD505-2E9C-101B-9397-08002B2CF9AE}" pid="18" name="Merops DOI links count">
    <vt:lpwstr>2</vt:lpwstr>
  </property>
  <property fmtid="{D5CDD505-2E9C-101B-9397-08002B2CF9AE}" pid="19" name="Merops tables count">
    <vt:lpwstr>0</vt:lpwstr>
  </property>
  <property fmtid="{D5CDD505-2E9C-101B-9397-08002B2CF9AE}" pid="20" name="Merops figures count">
    <vt:lpwstr>1</vt:lpwstr>
  </property>
  <property fmtid="{D5CDD505-2E9C-101B-9397-08002B2CF9AE}" pid="21" name="Merops graphics count">
    <vt:lpwstr>0</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merops/preset-v1/springer-vancouver-brackets</vt:lpwstr>
  </property>
  <property fmtid="{D5CDD505-2E9C-101B-9397-08002B2CF9AE}" pid="26" name="Merops Standard Set modified">
    <vt:lpwstr/>
  </property>
  <property fmtid="{D5CDD505-2E9C-101B-9397-08002B2CF9AE}" pid="27" name="Merops client version">
    <vt:lpwstr/>
  </property>
  <property fmtid="{D5CDD505-2E9C-101B-9397-08002B2CF9AE}" pid="28" name="Merops input file path">
    <vt:lpwstr>1d40ea32-1525-45c5-a4f8-12d89b5c302f.docx</vt:lpwstr>
  </property>
  <property fmtid="{D5CDD505-2E9C-101B-9397-08002B2CF9AE}" pid="29" name="Merops -Original extension">
    <vt:lpwstr>docx</vt:lpwstr>
  </property>
  <property fmtid="{D5CDD505-2E9C-101B-9397-08002B2CF9AE}" pid="30" name="Merops server path">
    <vt:lpwstr/>
  </property>
  <property fmtid="{D5CDD505-2E9C-101B-9397-08002B2CF9AE}" pid="31" name="Merops item path">
    <vt:lpwstr>MG-Session/On-20250219/I:20b38372-0875-4da4-a406-8a9ca60e74fe</vt:lpwstr>
  </property>
  <property fmtid="{D5CDD505-2E9C-101B-9397-08002B2CF9AE}" pid="32" name="Merops processed date">
    <vt:lpwstr>2025/02/19 08:32:25 AM</vt:lpwstr>
  </property>
  <property fmtid="{D5CDD505-2E9C-101B-9397-08002B2CF9AE}" pid="33" name="Merops WorldCat links count">
    <vt:lpwstr>0</vt:lpwstr>
  </property>
  <property fmtid="{D5CDD505-2E9C-101B-9397-08002B2CF9AE}" pid="34" name="Merops Scopus links count">
    <vt:lpwstr>0</vt:lpwstr>
  </property>
  <property fmtid="{D5CDD505-2E9C-101B-9397-08002B2CF9AE}" pid="35" name="Merops comment count">
    <vt:lpwstr>0</vt:lpwstr>
  </property>
  <property fmtid="{D5CDD505-2E9C-101B-9397-08002B2CF9AE}" pid="36" name="Merops change count">
    <vt:lpwstr>5</vt:lpwstr>
  </property>
</Properties>
</file>