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B6743" w14:textId="6010D63B" w:rsidR="00A36427" w:rsidRPr="00B61AE1" w:rsidRDefault="00000000">
      <w:pPr>
        <w:pStyle w:val="1"/>
        <w:spacing w:line="480" w:lineRule="auto"/>
        <w:rPr>
          <w:rFonts w:eastAsiaTheme="minorEastAsia"/>
          <w:b w:val="0"/>
          <w:color w:val="000000"/>
          <w:lang w:eastAsia="ja-JP"/>
        </w:rPr>
      </w:pPr>
      <w:r>
        <w:t xml:space="preserve">Additional File </w:t>
      </w:r>
      <w:r w:rsidR="00503BE7">
        <w:rPr>
          <w:rFonts w:eastAsiaTheme="minorEastAsia" w:hint="eastAsia"/>
          <w:lang w:eastAsia="ja-JP"/>
        </w:rPr>
        <w:t>7</w:t>
      </w:r>
      <w:r>
        <w:t>. Confirmatory factor analysis for TFEQ-</w:t>
      </w:r>
      <w:r w:rsidR="00BF01FC">
        <w:t>R</w:t>
      </w:r>
      <w:r w:rsidR="00BF01FC">
        <w:rPr>
          <w:rFonts w:eastAsiaTheme="minorEastAsia" w:hint="eastAsia"/>
          <w:lang w:eastAsia="ja-JP"/>
        </w:rPr>
        <w:t>18V2</w:t>
      </w:r>
    </w:p>
    <w:p w14:paraId="67E55D43" w14:textId="77777777" w:rsidR="00A36427" w:rsidRDefault="00000000">
      <w:pPr>
        <w:widowControl/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Dark grey squares indicate the items. Dark grey circles indicate domains. Digits overlaid on the one-way arrows indicate standardized loadings. The digits overlaid on the two-way arrows indicate the correlations.</w:t>
      </w:r>
    </w:p>
    <w:p w14:paraId="6537D111" w14:textId="1B34CA9C" w:rsidR="00A36427" w:rsidRDefault="00BF01FC" w:rsidP="00B61AE1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BF01FC">
        <w:rPr>
          <w:noProof/>
        </w:rPr>
        <w:drawing>
          <wp:inline distT="0" distB="0" distL="0" distR="0" wp14:anchorId="53486D0E" wp14:editId="22A24A6C">
            <wp:extent cx="8071560" cy="4497840"/>
            <wp:effectExtent l="0" t="0" r="5715" b="0"/>
            <wp:docPr id="149436849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1560" cy="4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6427">
      <w:pgSz w:w="16838" w:h="11906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C035" w14:textId="77777777" w:rsidR="00902A69" w:rsidRDefault="00902A69" w:rsidP="00503BE7">
      <w:r>
        <w:separator/>
      </w:r>
    </w:p>
  </w:endnote>
  <w:endnote w:type="continuationSeparator" w:id="0">
    <w:p w14:paraId="486E82CB" w14:textId="77777777" w:rsidR="00902A69" w:rsidRDefault="00902A69" w:rsidP="0050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6634F" w14:textId="77777777" w:rsidR="00902A69" w:rsidRDefault="00902A69" w:rsidP="00503BE7">
      <w:r>
        <w:separator/>
      </w:r>
    </w:p>
  </w:footnote>
  <w:footnote w:type="continuationSeparator" w:id="0">
    <w:p w14:paraId="33A97452" w14:textId="77777777" w:rsidR="00902A69" w:rsidRDefault="00902A69" w:rsidP="00503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427"/>
    <w:rsid w:val="00130B43"/>
    <w:rsid w:val="00195D85"/>
    <w:rsid w:val="00351F2B"/>
    <w:rsid w:val="00503BE7"/>
    <w:rsid w:val="00902A69"/>
    <w:rsid w:val="00943AE6"/>
    <w:rsid w:val="0098411E"/>
    <w:rsid w:val="00A36427"/>
    <w:rsid w:val="00B61AE1"/>
    <w:rsid w:val="00B900EE"/>
    <w:rsid w:val="00BF01FC"/>
    <w:rsid w:val="00DB49A1"/>
    <w:rsid w:val="00DF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ECBDC"/>
  <w15:docId w15:val="{CE9727A9-92E4-4BA2-8D08-63D7C9B1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游明朝" w:eastAsia="游明朝" w:hAnsi="游明朝" w:cs="游明朝"/>
      <w:sz w:val="21"/>
    </w:rPr>
  </w:style>
  <w:style w:type="paragraph" w:styleId="1">
    <w:name w:val="heading 1"/>
    <w:basedOn w:val="a"/>
    <w:qFormat/>
    <w:pPr>
      <w:keepNext/>
      <w:keepLines/>
      <w:outlineLvl w:val="0"/>
    </w:pPr>
    <w:rPr>
      <w:rFonts w:ascii="Times New Roman" w:eastAsia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annotation text"/>
    <w:basedOn w:val="a"/>
    <w:link w:val="a8"/>
    <w:pPr>
      <w:jc w:val="left"/>
    </w:pPr>
    <w:rPr>
      <w:rFonts w:ascii="Calibri" w:eastAsia="Calibri" w:hAnsi="Calibri" w:cs="Calibri"/>
      <w:sz w:val="20"/>
    </w:rPr>
  </w:style>
  <w:style w:type="paragraph" w:styleId="a9">
    <w:name w:val="Revision"/>
    <w:pPr>
      <w:spacing w:after="0" w:line="240" w:lineRule="auto"/>
    </w:pPr>
    <w:rPr>
      <w:rFonts w:ascii="游明朝" w:eastAsia="游明朝" w:hAnsi="游明朝" w:cs="游明朝"/>
      <w:sz w:val="21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styleId="aa">
    <w:name w:val="footnote text"/>
    <w:basedOn w:val="a"/>
    <w:rPr>
      <w:rFonts w:ascii="Calibri" w:eastAsia="Calibri" w:hAnsi="Calibri" w:cs="Calibri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styleId="ab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GrantID">
    <w:name w:val="Grant ID"/>
    <w:basedOn w:val="a0"/>
    <w:rPr>
      <w:shd w:val="clear" w:color="auto" w:fill="DDA5FF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character" w:styleId="ac">
    <w:name w:val="Hyperlink"/>
    <w:basedOn w:val="a0"/>
    <w:rPr>
      <w:color w:val="0563C1"/>
    </w:rPr>
  </w:style>
  <w:style w:type="paragraph" w:styleId="ad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Location">
    <w:name w:val="Location"/>
    <w:basedOn w:val="a0"/>
    <w:rPr>
      <w:shd w:val="clear" w:color="auto" w:fill="F9EDFF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styleId="ae">
    <w:name w:val="endnote text"/>
    <w:basedOn w:val="a"/>
    <w:rPr>
      <w:rFonts w:ascii="Calibri" w:eastAsia="Calibri" w:hAnsi="Calibri" w:cs="Calibri"/>
    </w:rPr>
  </w:style>
  <w:style w:type="paragraph" w:styleId="af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styleId="af0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1">
    <w:name w:val="annotation subject"/>
    <w:basedOn w:val="a7"/>
    <w:next w:val="a7"/>
    <w:link w:val="af2"/>
    <w:uiPriority w:val="99"/>
    <w:rsid w:val="00351F2B"/>
    <w:pPr>
      <w:jc w:val="both"/>
    </w:pPr>
    <w:rPr>
      <w:rFonts w:ascii="游明朝" w:eastAsia="游明朝" w:hAnsi="游明朝" w:cs="游明朝"/>
      <w:b/>
      <w:bCs/>
      <w:szCs w:val="25"/>
    </w:rPr>
  </w:style>
  <w:style w:type="character" w:customStyle="1" w:styleId="a8">
    <w:name w:val="コメント文字列 (文字)"/>
    <w:basedOn w:val="a0"/>
    <w:link w:val="a7"/>
    <w:rsid w:val="00351F2B"/>
    <w:rPr>
      <w:rFonts w:ascii="Calibri" w:eastAsia="Calibri" w:hAnsi="Calibri" w:cs="Calibri"/>
      <w:sz w:val="20"/>
    </w:rPr>
  </w:style>
  <w:style w:type="character" w:customStyle="1" w:styleId="af2">
    <w:name w:val="コメント内容 (文字)"/>
    <w:basedOn w:val="a8"/>
    <w:link w:val="af1"/>
    <w:uiPriority w:val="99"/>
    <w:rsid w:val="00351F2B"/>
    <w:rPr>
      <w:rFonts w:ascii="游明朝" w:eastAsia="游明朝" w:hAnsi="游明朝" w:cs="游明朝"/>
      <w:b/>
      <w:bCs/>
      <w:sz w:val="20"/>
      <w:szCs w:val="25"/>
    </w:rPr>
  </w:style>
  <w:style w:type="paragraph" w:styleId="af3">
    <w:name w:val="header"/>
    <w:basedOn w:val="a"/>
    <w:link w:val="af4"/>
    <w:uiPriority w:val="99"/>
    <w:rsid w:val="00503BE7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503BE7"/>
    <w:rPr>
      <w:rFonts w:ascii="游明朝" w:eastAsia="游明朝" w:hAnsi="游明朝" w:cs="游明朝"/>
      <w:sz w:val="21"/>
    </w:rPr>
  </w:style>
  <w:style w:type="paragraph" w:styleId="af5">
    <w:name w:val="footer"/>
    <w:basedOn w:val="a"/>
    <w:link w:val="af6"/>
    <w:uiPriority w:val="99"/>
    <w:rsid w:val="00503BE7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503BE7"/>
    <w:rPr>
      <w:rFonts w:ascii="游明朝" w:eastAsia="游明朝" w:hAnsi="游明朝" w:cs="游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宜明 栗田</cp:lastModifiedBy>
  <cp:revision>7</cp:revision>
  <dcterms:created xsi:type="dcterms:W3CDTF">2025-02-20T10:31:00Z</dcterms:created>
  <dcterms:modified xsi:type="dcterms:W3CDTF">2025-07-13T08:40:00Z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0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1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1</vt:lpwstr>
  </property>
  <property fmtid="{D5CDD505-2E9C-101B-9397-08002B2CF9AE}" pid="15" name="Merops input file path">
    <vt:lpwstr>bcf85bde-2930-4c93-b3e5-d4981e0ec6b0.docx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MG-Session/On-20250219/I:9c0f1d62-65c5-4d4b-a9de-035a56835a4d</vt:lpwstr>
  </property>
  <property fmtid="{D5CDD505-2E9C-101B-9397-08002B2CF9AE}" pid="18" name="Merops processed date">
    <vt:lpwstr>2025/02/19 08:32:20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merops/preset-v1/springer-vancouver-brackets</vt:lpwstr>
  </property>
  <property fmtid="{D5CDD505-2E9C-101B-9397-08002B2CF9AE}" pid="24" name="Merops Standard Set modified">
    <vt:lpwstr/>
  </property>
  <property fmtid="{D5CDD505-2E9C-101B-9397-08002B2CF9AE}" pid="25" name="Merops tables count">
    <vt:lpwstr>0</vt:lpwstr>
  </property>
  <property fmtid="{D5CDD505-2E9C-101B-9397-08002B2CF9AE}" pid="26" name="Merops word count">
    <vt:lpwstr>38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/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