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CB6E21" w14:textId="734FDA1F" w:rsidR="004A1678" w:rsidRDefault="004A1678" w:rsidP="004A1678">
      <w:pPr>
        <w:jc w:val="center"/>
        <w:rPr>
          <w:rFonts w:ascii="Times New Roman" w:hAnsi="Times New Roman" w:cs="Times New Roman"/>
          <w:b/>
        </w:rPr>
      </w:pPr>
      <w:bookmarkStart w:id="0" w:name="_GoBack"/>
      <w:bookmarkEnd w:id="0"/>
      <w:r w:rsidRPr="00CB1BE3">
        <w:rPr>
          <w:rFonts w:ascii="Times New Roman" w:hAnsi="Times New Roman" w:cs="Times New Roman"/>
          <w:b/>
        </w:rPr>
        <w:t xml:space="preserve">Supplemental </w:t>
      </w:r>
      <w:r>
        <w:rPr>
          <w:rFonts w:ascii="Times New Roman" w:hAnsi="Times New Roman" w:cs="Times New Roman"/>
          <w:b/>
        </w:rPr>
        <w:t>figures and analysis for “</w:t>
      </w:r>
      <w:r w:rsidRPr="004A1678">
        <w:rPr>
          <w:rFonts w:ascii="Times New Roman" w:hAnsi="Times New Roman" w:cs="Times New Roman"/>
          <w:b/>
        </w:rPr>
        <w:t>Does spending on refugees make a difference? A cross-sectional study of the association between refugee program spending and health outcomes in 70 sites in 17 countries</w:t>
      </w:r>
      <w:r>
        <w:rPr>
          <w:rFonts w:ascii="Times New Roman" w:hAnsi="Times New Roman" w:cs="Times New Roman"/>
          <w:b/>
        </w:rPr>
        <w:t>”</w:t>
      </w:r>
    </w:p>
    <w:p w14:paraId="278EA53F" w14:textId="77777777" w:rsidR="004A1678" w:rsidRDefault="004A1678">
      <w:pPr>
        <w:rPr>
          <w:rFonts w:ascii="Times New Roman" w:hAnsi="Times New Roman" w:cs="Times New Roman"/>
          <w:b/>
        </w:rPr>
      </w:pPr>
    </w:p>
    <w:p w14:paraId="26661DD5" w14:textId="77777777" w:rsidR="004A1678" w:rsidRPr="00CB1BE3" w:rsidRDefault="004A1678">
      <w:pPr>
        <w:rPr>
          <w:rFonts w:ascii="Times New Roman" w:hAnsi="Times New Roman" w:cs="Times New Roman"/>
          <w:b/>
        </w:rPr>
      </w:pPr>
    </w:p>
    <w:p w14:paraId="4838B98A" w14:textId="4332B554" w:rsidR="004A1678" w:rsidRPr="004A1678" w:rsidRDefault="004A1678" w:rsidP="009A389C">
      <w:pPr>
        <w:spacing w:after="240" w:line="480" w:lineRule="auto"/>
        <w:rPr>
          <w:rFonts w:ascii="Times New Roman" w:hAnsi="Times New Roman" w:cs="Times New Roman"/>
          <w:b/>
        </w:rPr>
      </w:pPr>
      <w:r>
        <w:rPr>
          <w:rFonts w:ascii="Times New Roman" w:hAnsi="Times New Roman" w:cs="Times New Roman"/>
          <w:b/>
        </w:rPr>
        <w:t>Supplemental scatter plots</w:t>
      </w:r>
    </w:p>
    <w:p w14:paraId="7F0AB255" w14:textId="084A7517" w:rsidR="004A1678" w:rsidRPr="00CB1BE3" w:rsidRDefault="004A1678" w:rsidP="009A389C">
      <w:pPr>
        <w:spacing w:after="240" w:line="480" w:lineRule="auto"/>
        <w:rPr>
          <w:rFonts w:ascii="Times New Roman" w:hAnsi="Times New Roman" w:cs="Times New Roman"/>
        </w:rPr>
      </w:pPr>
      <w:r>
        <w:rPr>
          <w:rFonts w:ascii="Times New Roman" w:hAnsi="Times New Roman" w:cs="Times New Roman"/>
        </w:rPr>
        <w:tab/>
        <w:t>The basic relationship analyzed in this paper is the level of mortality in refugee sites associated with various levels of per capita spending for refugee programs. S</w:t>
      </w:r>
      <w:r w:rsidRPr="00CB1BE3">
        <w:rPr>
          <w:rFonts w:ascii="Times New Roman" w:hAnsi="Times New Roman" w:cs="Times New Roman"/>
        </w:rPr>
        <w:t xml:space="preserve">catter plots </w:t>
      </w:r>
      <w:r>
        <w:rPr>
          <w:rFonts w:ascii="Times New Roman" w:hAnsi="Times New Roman" w:cs="Times New Roman"/>
        </w:rPr>
        <w:t>depicting these relationships are provided below. In each plot, the y-axis depicts the ratio of mortality observed in the refugee site to the mortality rate</w:t>
      </w:r>
      <w:r w:rsidRPr="00CB1BE3">
        <w:rPr>
          <w:rFonts w:ascii="Times New Roman" w:hAnsi="Times New Roman" w:cs="Times New Roman"/>
        </w:rPr>
        <w:t xml:space="preserve"> </w:t>
      </w:r>
      <w:r>
        <w:rPr>
          <w:rFonts w:ascii="Times New Roman" w:hAnsi="Times New Roman" w:cs="Times New Roman"/>
        </w:rPr>
        <w:t xml:space="preserve">of the country of asylum. Per capita spending by UNHCR in PPP-adjusted 2011 US$ is depicted on the x-axis. Multiple plots are shown for various budget categories sub-divided by the </w:t>
      </w:r>
      <w:r w:rsidR="009A389C">
        <w:rPr>
          <w:rFonts w:ascii="Times New Roman" w:hAnsi="Times New Roman" w:cs="Times New Roman"/>
        </w:rPr>
        <w:t>objectives</w:t>
      </w:r>
      <w:r>
        <w:rPr>
          <w:rFonts w:ascii="Times New Roman" w:hAnsi="Times New Roman" w:cs="Times New Roman"/>
        </w:rPr>
        <w:t xml:space="preserve"> used by UNHCR </w:t>
      </w:r>
      <w:r w:rsidR="009A389C">
        <w:rPr>
          <w:rFonts w:ascii="Times New Roman" w:hAnsi="Times New Roman" w:cs="Times New Roman"/>
        </w:rPr>
        <w:t>in its results framework</w:t>
      </w:r>
      <w:r>
        <w:rPr>
          <w:rFonts w:ascii="Times New Roman" w:hAnsi="Times New Roman" w:cs="Times New Roman"/>
        </w:rPr>
        <w:t xml:space="preserve"> (see </w:t>
      </w:r>
      <w:r w:rsidRPr="004A1678">
        <w:rPr>
          <w:rFonts w:ascii="Times New Roman" w:hAnsi="Times New Roman" w:cs="Times New Roman"/>
          <w:b/>
        </w:rPr>
        <w:t>Table 1</w:t>
      </w:r>
      <w:r>
        <w:rPr>
          <w:rFonts w:ascii="Times New Roman" w:hAnsi="Times New Roman" w:cs="Times New Roman"/>
        </w:rPr>
        <w:t xml:space="preserve"> in main paper). Within the analysis for each budget category, two plots are depicted, one using crude mortality rates in the refugee to country of asylum mortality ratio, and the second using under-5 child mortality.</w:t>
      </w:r>
    </w:p>
    <w:p w14:paraId="4DABED5B" w14:textId="77777777" w:rsidR="004A1678" w:rsidRDefault="004A1678">
      <w:pPr>
        <w:rPr>
          <w:rFonts w:ascii="Times New Roman" w:hAnsi="Times New Roman" w:cs="Times New Roman"/>
        </w:rPr>
      </w:pPr>
    </w:p>
    <w:p w14:paraId="72816FC0" w14:textId="6C24C99B" w:rsidR="004A1678" w:rsidRDefault="004A1678" w:rsidP="004A1678">
      <w:pPr>
        <w:outlineLvl w:val="0"/>
        <w:rPr>
          <w:rFonts w:ascii="Times New Roman" w:hAnsi="Times New Roman" w:cs="Times New Roman"/>
          <w:b/>
          <w:i/>
        </w:rPr>
      </w:pPr>
      <w:r>
        <w:rPr>
          <w:rFonts w:ascii="Times New Roman" w:hAnsi="Times New Roman" w:cs="Times New Roman"/>
        </w:rPr>
        <w:br w:type="column"/>
      </w:r>
      <w:r>
        <w:rPr>
          <w:rFonts w:ascii="Times New Roman" w:hAnsi="Times New Roman" w:cs="Times New Roman"/>
          <w:b/>
          <w:i/>
        </w:rPr>
        <w:lastRenderedPageBreak/>
        <w:t>Figures 1a and 1b: Mortality ratio vs total spending per capita</w:t>
      </w:r>
    </w:p>
    <w:p w14:paraId="0E2C247E" w14:textId="77777777" w:rsidR="004A1678" w:rsidRPr="004A1678" w:rsidRDefault="004A1678">
      <w:pPr>
        <w:rPr>
          <w:rFonts w:ascii="Times New Roman" w:hAnsi="Times New Roman" w:cs="Times New Roman"/>
          <w:b/>
          <w:i/>
        </w:rPr>
      </w:pPr>
    </w:p>
    <w:p w14:paraId="26308A5C"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724DD442" wp14:editId="2DC818DF">
            <wp:extent cx="4509135" cy="3202940"/>
            <wp:effectExtent l="0" t="0" r="12065" b="228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F38A9C3" w14:textId="77777777" w:rsidR="00B87AAC" w:rsidRDefault="00B87AAC">
      <w:pPr>
        <w:rPr>
          <w:rFonts w:ascii="Times New Roman" w:hAnsi="Times New Roman" w:cs="Times New Roman"/>
        </w:rPr>
      </w:pPr>
    </w:p>
    <w:p w14:paraId="1224AC17" w14:textId="77777777" w:rsidR="004A1678" w:rsidRPr="00CB1BE3" w:rsidRDefault="004A1678">
      <w:pPr>
        <w:rPr>
          <w:rFonts w:ascii="Times New Roman" w:hAnsi="Times New Roman" w:cs="Times New Roman"/>
        </w:rPr>
      </w:pPr>
    </w:p>
    <w:p w14:paraId="2BD57C7A"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36411C76" wp14:editId="6969402E">
            <wp:extent cx="4509135" cy="3228340"/>
            <wp:effectExtent l="0" t="0" r="12065" b="228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1B7DD5F" w14:textId="77777777" w:rsidR="00B87AAC" w:rsidRDefault="00B87AAC">
      <w:pPr>
        <w:rPr>
          <w:rFonts w:ascii="Times New Roman" w:hAnsi="Times New Roman" w:cs="Times New Roman"/>
        </w:rPr>
      </w:pPr>
    </w:p>
    <w:p w14:paraId="23EAB41E" w14:textId="77777777" w:rsidR="004A1678" w:rsidRDefault="004A1678">
      <w:pPr>
        <w:rPr>
          <w:rFonts w:ascii="Times New Roman" w:hAnsi="Times New Roman" w:cs="Times New Roman"/>
        </w:rPr>
      </w:pPr>
    </w:p>
    <w:p w14:paraId="7E0C9A7E" w14:textId="77777777" w:rsidR="004A1678" w:rsidRDefault="004A1678">
      <w:pPr>
        <w:rPr>
          <w:rFonts w:ascii="Times New Roman" w:hAnsi="Times New Roman" w:cs="Times New Roman"/>
        </w:rPr>
      </w:pPr>
    </w:p>
    <w:p w14:paraId="448FCB6F" w14:textId="77777777" w:rsidR="004A1678" w:rsidRDefault="004A1678">
      <w:pPr>
        <w:rPr>
          <w:rFonts w:ascii="Times New Roman" w:hAnsi="Times New Roman" w:cs="Times New Roman"/>
        </w:rPr>
      </w:pPr>
    </w:p>
    <w:p w14:paraId="5B7C3E4F" w14:textId="77777777" w:rsidR="004A1678" w:rsidRDefault="004A1678">
      <w:pPr>
        <w:rPr>
          <w:rFonts w:ascii="Times New Roman" w:hAnsi="Times New Roman" w:cs="Times New Roman"/>
        </w:rPr>
      </w:pPr>
    </w:p>
    <w:p w14:paraId="486F467F" w14:textId="77777777" w:rsidR="004A1678" w:rsidRDefault="004A1678">
      <w:pPr>
        <w:rPr>
          <w:rFonts w:ascii="Times New Roman" w:hAnsi="Times New Roman" w:cs="Times New Roman"/>
        </w:rPr>
      </w:pPr>
    </w:p>
    <w:p w14:paraId="0C2A4CC7" w14:textId="5F1B428C" w:rsidR="004A1678" w:rsidRDefault="004A1678" w:rsidP="004A1678">
      <w:pPr>
        <w:outlineLvl w:val="0"/>
        <w:rPr>
          <w:rFonts w:ascii="Times New Roman" w:hAnsi="Times New Roman" w:cs="Times New Roman"/>
          <w:b/>
          <w:i/>
        </w:rPr>
      </w:pPr>
      <w:r>
        <w:rPr>
          <w:rFonts w:ascii="Times New Roman" w:hAnsi="Times New Roman" w:cs="Times New Roman"/>
          <w:b/>
          <w:i/>
        </w:rPr>
        <w:t>Figures 2a and 2b: Mortality ratio vs spending per capita on favorable protection environment</w:t>
      </w:r>
    </w:p>
    <w:p w14:paraId="73F65BEF" w14:textId="77777777" w:rsidR="004A1678" w:rsidRPr="00CB1BE3" w:rsidRDefault="004A1678">
      <w:pPr>
        <w:rPr>
          <w:rFonts w:ascii="Times New Roman" w:hAnsi="Times New Roman" w:cs="Times New Roman"/>
        </w:rPr>
      </w:pPr>
    </w:p>
    <w:p w14:paraId="55B4431A"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0CC16F5A" wp14:editId="7258781C">
            <wp:extent cx="4509135" cy="3202940"/>
            <wp:effectExtent l="0" t="0" r="12065" b="2286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F7F221F" w14:textId="77777777" w:rsidR="00B87AAC" w:rsidRDefault="00B87AAC">
      <w:pPr>
        <w:rPr>
          <w:rFonts w:ascii="Times New Roman" w:hAnsi="Times New Roman" w:cs="Times New Roman"/>
        </w:rPr>
      </w:pPr>
    </w:p>
    <w:p w14:paraId="786125BB" w14:textId="77777777" w:rsidR="004A1678" w:rsidRPr="00CB1BE3" w:rsidRDefault="004A1678">
      <w:pPr>
        <w:rPr>
          <w:rFonts w:ascii="Times New Roman" w:hAnsi="Times New Roman" w:cs="Times New Roman"/>
        </w:rPr>
      </w:pPr>
    </w:p>
    <w:p w14:paraId="4B4CEBC2"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7A33C488" wp14:editId="2C283940">
            <wp:extent cx="4509135" cy="3228340"/>
            <wp:effectExtent l="0" t="0" r="12065" b="2286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0FD4BEA" w14:textId="77777777" w:rsidR="00B87AAC" w:rsidRPr="00CB1BE3" w:rsidRDefault="00B87AAC">
      <w:pPr>
        <w:rPr>
          <w:rFonts w:ascii="Times New Roman" w:hAnsi="Times New Roman" w:cs="Times New Roman"/>
        </w:rPr>
      </w:pPr>
    </w:p>
    <w:p w14:paraId="7056330F" w14:textId="77777777" w:rsidR="00B87AAC" w:rsidRPr="00CB1BE3" w:rsidRDefault="00B87AAC">
      <w:pPr>
        <w:rPr>
          <w:rFonts w:ascii="Times New Roman" w:hAnsi="Times New Roman" w:cs="Times New Roman"/>
        </w:rPr>
      </w:pPr>
    </w:p>
    <w:p w14:paraId="35F1CB99" w14:textId="77777777" w:rsidR="00B87AAC" w:rsidRPr="00CB1BE3" w:rsidRDefault="00B87AAC">
      <w:pPr>
        <w:rPr>
          <w:rFonts w:ascii="Times New Roman" w:hAnsi="Times New Roman" w:cs="Times New Roman"/>
        </w:rPr>
      </w:pPr>
    </w:p>
    <w:p w14:paraId="181C7DE2" w14:textId="77777777" w:rsidR="00B87AAC" w:rsidRDefault="00B87AAC">
      <w:pPr>
        <w:rPr>
          <w:rFonts w:ascii="Times New Roman" w:hAnsi="Times New Roman" w:cs="Times New Roman"/>
        </w:rPr>
      </w:pPr>
    </w:p>
    <w:p w14:paraId="41F16168" w14:textId="77777777" w:rsidR="004A1678" w:rsidRDefault="004A1678">
      <w:pPr>
        <w:rPr>
          <w:rFonts w:ascii="Times New Roman" w:hAnsi="Times New Roman" w:cs="Times New Roman"/>
        </w:rPr>
      </w:pPr>
    </w:p>
    <w:p w14:paraId="6432B0F7" w14:textId="77777777" w:rsidR="004A1678" w:rsidRDefault="004A1678">
      <w:pPr>
        <w:rPr>
          <w:rFonts w:ascii="Times New Roman" w:hAnsi="Times New Roman" w:cs="Times New Roman"/>
        </w:rPr>
      </w:pPr>
    </w:p>
    <w:p w14:paraId="07BBD9F0" w14:textId="07270DE6" w:rsidR="004A1678" w:rsidRPr="004A1678" w:rsidRDefault="004A1678">
      <w:pPr>
        <w:rPr>
          <w:rFonts w:ascii="Times New Roman" w:hAnsi="Times New Roman" w:cs="Times New Roman"/>
          <w:b/>
          <w:i/>
        </w:rPr>
      </w:pPr>
      <w:r>
        <w:rPr>
          <w:rFonts w:ascii="Times New Roman" w:hAnsi="Times New Roman" w:cs="Times New Roman"/>
          <w:b/>
          <w:i/>
        </w:rPr>
        <w:t>Figures 3a and 3b: Mortality ratio vs spending per capita on fair protection processes and documentation</w:t>
      </w:r>
    </w:p>
    <w:p w14:paraId="4CA4765F" w14:textId="77777777" w:rsidR="004A1678" w:rsidRPr="00CB1BE3" w:rsidRDefault="004A1678">
      <w:pPr>
        <w:rPr>
          <w:rFonts w:ascii="Times New Roman" w:hAnsi="Times New Roman" w:cs="Times New Roman"/>
        </w:rPr>
      </w:pPr>
    </w:p>
    <w:p w14:paraId="1815FDA7"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5239C573" wp14:editId="4580F179">
            <wp:extent cx="4509135" cy="3202940"/>
            <wp:effectExtent l="0" t="0" r="12065" b="2286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EB0AC23" w14:textId="77777777" w:rsidR="00B87AAC" w:rsidRDefault="00B87AAC">
      <w:pPr>
        <w:rPr>
          <w:rFonts w:ascii="Times New Roman" w:hAnsi="Times New Roman" w:cs="Times New Roman"/>
        </w:rPr>
      </w:pPr>
    </w:p>
    <w:p w14:paraId="1832F769" w14:textId="77777777" w:rsidR="004A1678" w:rsidRPr="00CB1BE3" w:rsidRDefault="004A1678">
      <w:pPr>
        <w:rPr>
          <w:rFonts w:ascii="Times New Roman" w:hAnsi="Times New Roman" w:cs="Times New Roman"/>
        </w:rPr>
      </w:pPr>
    </w:p>
    <w:p w14:paraId="7AC88497"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20414770" wp14:editId="15340A6F">
            <wp:extent cx="4509135" cy="3228340"/>
            <wp:effectExtent l="0" t="0" r="12065" b="2286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99398CD" w14:textId="77777777" w:rsidR="00B87AAC" w:rsidRPr="00CB1BE3" w:rsidRDefault="00B87AAC">
      <w:pPr>
        <w:rPr>
          <w:rFonts w:ascii="Times New Roman" w:hAnsi="Times New Roman" w:cs="Times New Roman"/>
        </w:rPr>
      </w:pPr>
    </w:p>
    <w:p w14:paraId="2E59EBBB" w14:textId="77777777" w:rsidR="00B87AAC" w:rsidRPr="00CB1BE3" w:rsidRDefault="00B87AAC">
      <w:pPr>
        <w:rPr>
          <w:rFonts w:ascii="Times New Roman" w:hAnsi="Times New Roman" w:cs="Times New Roman"/>
        </w:rPr>
      </w:pPr>
    </w:p>
    <w:p w14:paraId="4AB53721" w14:textId="77777777" w:rsidR="00B87AAC" w:rsidRDefault="00B87AAC">
      <w:pPr>
        <w:rPr>
          <w:rFonts w:ascii="Times New Roman" w:hAnsi="Times New Roman" w:cs="Times New Roman"/>
        </w:rPr>
      </w:pPr>
    </w:p>
    <w:p w14:paraId="02CA18CB" w14:textId="77777777" w:rsidR="004A1678" w:rsidRDefault="004A1678">
      <w:pPr>
        <w:rPr>
          <w:rFonts w:ascii="Times New Roman" w:hAnsi="Times New Roman" w:cs="Times New Roman"/>
        </w:rPr>
      </w:pPr>
    </w:p>
    <w:p w14:paraId="1E25D67A" w14:textId="77777777" w:rsidR="004A1678" w:rsidRDefault="004A1678">
      <w:pPr>
        <w:rPr>
          <w:rFonts w:ascii="Times New Roman" w:hAnsi="Times New Roman" w:cs="Times New Roman"/>
        </w:rPr>
      </w:pPr>
    </w:p>
    <w:p w14:paraId="2510D0CB" w14:textId="22DD212C" w:rsidR="00B87AAC" w:rsidRPr="004A1678" w:rsidRDefault="004A1678">
      <w:pPr>
        <w:rPr>
          <w:rFonts w:ascii="Times New Roman" w:hAnsi="Times New Roman" w:cs="Times New Roman"/>
          <w:b/>
          <w:i/>
        </w:rPr>
      </w:pPr>
      <w:r>
        <w:rPr>
          <w:rFonts w:ascii="Times New Roman" w:hAnsi="Times New Roman" w:cs="Times New Roman"/>
          <w:b/>
          <w:i/>
        </w:rPr>
        <w:t>Figures 4a and 4b: Mortality ratio vs spending per capita on security from violence and exploitation</w:t>
      </w:r>
    </w:p>
    <w:p w14:paraId="1126D37E" w14:textId="77777777" w:rsidR="00B87AAC" w:rsidRPr="00CB1BE3" w:rsidRDefault="00B87AAC">
      <w:pPr>
        <w:rPr>
          <w:rFonts w:ascii="Times New Roman" w:hAnsi="Times New Roman" w:cs="Times New Roman"/>
        </w:rPr>
      </w:pPr>
    </w:p>
    <w:p w14:paraId="198C30CA"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570D17B1" wp14:editId="67192CBB">
            <wp:extent cx="4509135" cy="3202940"/>
            <wp:effectExtent l="0" t="0" r="12065" b="2286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23868B6" w14:textId="77777777" w:rsidR="00B87AAC" w:rsidRDefault="00B87AAC">
      <w:pPr>
        <w:rPr>
          <w:rFonts w:ascii="Times New Roman" w:hAnsi="Times New Roman" w:cs="Times New Roman"/>
        </w:rPr>
      </w:pPr>
    </w:p>
    <w:p w14:paraId="764A3E40" w14:textId="77777777" w:rsidR="004A1678" w:rsidRPr="00CB1BE3" w:rsidRDefault="004A1678">
      <w:pPr>
        <w:rPr>
          <w:rFonts w:ascii="Times New Roman" w:hAnsi="Times New Roman" w:cs="Times New Roman"/>
        </w:rPr>
      </w:pPr>
    </w:p>
    <w:p w14:paraId="3915D1DA"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7C6C4B0D" wp14:editId="1921BE9F">
            <wp:extent cx="4509135" cy="3228340"/>
            <wp:effectExtent l="0" t="0" r="12065" b="2286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52079D4" w14:textId="77777777" w:rsidR="00B87AAC" w:rsidRPr="00CB1BE3" w:rsidRDefault="00B87AAC">
      <w:pPr>
        <w:rPr>
          <w:rFonts w:ascii="Times New Roman" w:hAnsi="Times New Roman" w:cs="Times New Roman"/>
        </w:rPr>
      </w:pPr>
    </w:p>
    <w:p w14:paraId="19EE877E" w14:textId="77777777" w:rsidR="00B87AAC" w:rsidRPr="00CB1BE3" w:rsidRDefault="00B87AAC">
      <w:pPr>
        <w:rPr>
          <w:rFonts w:ascii="Times New Roman" w:hAnsi="Times New Roman" w:cs="Times New Roman"/>
        </w:rPr>
      </w:pPr>
    </w:p>
    <w:p w14:paraId="6ED0BF91" w14:textId="77777777" w:rsidR="00B87AAC" w:rsidRPr="00CB1BE3" w:rsidRDefault="00B87AAC">
      <w:pPr>
        <w:rPr>
          <w:rFonts w:ascii="Times New Roman" w:hAnsi="Times New Roman" w:cs="Times New Roman"/>
        </w:rPr>
      </w:pPr>
    </w:p>
    <w:p w14:paraId="595212DD" w14:textId="77777777" w:rsidR="00B87AAC" w:rsidRPr="00CB1BE3" w:rsidRDefault="00B87AAC">
      <w:pPr>
        <w:rPr>
          <w:rFonts w:ascii="Times New Roman" w:hAnsi="Times New Roman" w:cs="Times New Roman"/>
        </w:rPr>
      </w:pPr>
    </w:p>
    <w:p w14:paraId="3CAA856C" w14:textId="77777777" w:rsidR="00B87AAC" w:rsidRDefault="00B87AAC">
      <w:pPr>
        <w:rPr>
          <w:rFonts w:ascii="Times New Roman" w:hAnsi="Times New Roman" w:cs="Times New Roman"/>
        </w:rPr>
      </w:pPr>
    </w:p>
    <w:p w14:paraId="154AD11C" w14:textId="1160B2D9" w:rsidR="004A1678" w:rsidRPr="004A1678" w:rsidRDefault="004A1678">
      <w:pPr>
        <w:rPr>
          <w:rFonts w:ascii="Times New Roman" w:hAnsi="Times New Roman" w:cs="Times New Roman"/>
          <w:b/>
          <w:i/>
        </w:rPr>
      </w:pPr>
      <w:r>
        <w:rPr>
          <w:rFonts w:ascii="Times New Roman" w:hAnsi="Times New Roman" w:cs="Times New Roman"/>
          <w:b/>
          <w:i/>
        </w:rPr>
        <w:t>Figures 5a and 5b: Mortality ratio vs spending per capita on community participation and self-management</w:t>
      </w:r>
    </w:p>
    <w:p w14:paraId="7244D0C6" w14:textId="77777777" w:rsidR="004A1678" w:rsidRPr="00CB1BE3" w:rsidRDefault="004A1678">
      <w:pPr>
        <w:rPr>
          <w:rFonts w:ascii="Times New Roman" w:hAnsi="Times New Roman" w:cs="Times New Roman"/>
        </w:rPr>
      </w:pPr>
    </w:p>
    <w:p w14:paraId="74CD519B"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3D722AFE" wp14:editId="0B74DAE3">
            <wp:extent cx="4509135" cy="3202940"/>
            <wp:effectExtent l="0" t="0" r="12065" b="2286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3C08B31" w14:textId="77777777" w:rsidR="00B87AAC" w:rsidRDefault="00B87AAC">
      <w:pPr>
        <w:rPr>
          <w:rFonts w:ascii="Times New Roman" w:hAnsi="Times New Roman" w:cs="Times New Roman"/>
        </w:rPr>
      </w:pPr>
    </w:p>
    <w:p w14:paraId="0C17160E" w14:textId="77777777" w:rsidR="004A1678" w:rsidRPr="00CB1BE3" w:rsidRDefault="004A1678">
      <w:pPr>
        <w:rPr>
          <w:rFonts w:ascii="Times New Roman" w:hAnsi="Times New Roman" w:cs="Times New Roman"/>
        </w:rPr>
      </w:pPr>
    </w:p>
    <w:p w14:paraId="0CA88F3A"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6578EE2B" wp14:editId="6E64FE43">
            <wp:extent cx="4509135" cy="3228340"/>
            <wp:effectExtent l="0" t="0" r="12065" b="2286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98B4EEE" w14:textId="77777777" w:rsidR="00B87AAC" w:rsidRPr="00CB1BE3" w:rsidRDefault="00B87AAC">
      <w:pPr>
        <w:rPr>
          <w:rFonts w:ascii="Times New Roman" w:hAnsi="Times New Roman" w:cs="Times New Roman"/>
        </w:rPr>
      </w:pPr>
    </w:p>
    <w:p w14:paraId="305FD668" w14:textId="77777777" w:rsidR="00B87AAC" w:rsidRPr="00CB1BE3" w:rsidRDefault="00B87AAC">
      <w:pPr>
        <w:rPr>
          <w:rFonts w:ascii="Times New Roman" w:hAnsi="Times New Roman" w:cs="Times New Roman"/>
        </w:rPr>
      </w:pPr>
    </w:p>
    <w:p w14:paraId="67B1145E" w14:textId="77777777" w:rsidR="00B87AAC" w:rsidRPr="00CB1BE3" w:rsidRDefault="00B87AAC">
      <w:pPr>
        <w:rPr>
          <w:rFonts w:ascii="Times New Roman" w:hAnsi="Times New Roman" w:cs="Times New Roman"/>
        </w:rPr>
      </w:pPr>
    </w:p>
    <w:p w14:paraId="0F674A05" w14:textId="77777777" w:rsidR="00B87AAC" w:rsidRDefault="00B87AAC">
      <w:pPr>
        <w:rPr>
          <w:rFonts w:ascii="Times New Roman" w:hAnsi="Times New Roman" w:cs="Times New Roman"/>
        </w:rPr>
      </w:pPr>
    </w:p>
    <w:p w14:paraId="6CB5CCCF" w14:textId="77777777" w:rsidR="004A1678" w:rsidRDefault="004A1678">
      <w:pPr>
        <w:rPr>
          <w:rFonts w:ascii="Times New Roman" w:hAnsi="Times New Roman" w:cs="Times New Roman"/>
        </w:rPr>
      </w:pPr>
    </w:p>
    <w:p w14:paraId="157F041C" w14:textId="068DA97D" w:rsidR="004A1678" w:rsidRPr="004A1678" w:rsidRDefault="004A1678" w:rsidP="004A1678">
      <w:pPr>
        <w:outlineLvl w:val="0"/>
        <w:rPr>
          <w:rFonts w:ascii="Times New Roman" w:hAnsi="Times New Roman" w:cs="Times New Roman"/>
          <w:b/>
          <w:i/>
        </w:rPr>
      </w:pPr>
      <w:r>
        <w:rPr>
          <w:rFonts w:ascii="Times New Roman" w:hAnsi="Times New Roman" w:cs="Times New Roman"/>
          <w:b/>
          <w:i/>
        </w:rPr>
        <w:t>Figures 6a and 6b: Mortality ratio vs spending per capita on durable solutions</w:t>
      </w:r>
    </w:p>
    <w:p w14:paraId="088F5C90" w14:textId="77777777" w:rsidR="00B87AAC" w:rsidRPr="00CB1BE3" w:rsidRDefault="00B87AAC">
      <w:pPr>
        <w:rPr>
          <w:rFonts w:ascii="Times New Roman" w:hAnsi="Times New Roman" w:cs="Times New Roman"/>
        </w:rPr>
      </w:pPr>
    </w:p>
    <w:p w14:paraId="7EDEC35F"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54F6F183" wp14:editId="27EA985B">
            <wp:extent cx="4509135" cy="3202940"/>
            <wp:effectExtent l="0" t="0" r="12065" b="2286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2FA0328" w14:textId="77777777" w:rsidR="00B87AAC" w:rsidRDefault="00B87AAC">
      <w:pPr>
        <w:rPr>
          <w:rFonts w:ascii="Times New Roman" w:hAnsi="Times New Roman" w:cs="Times New Roman"/>
        </w:rPr>
      </w:pPr>
    </w:p>
    <w:p w14:paraId="1627C1F9" w14:textId="77777777" w:rsidR="004A1678" w:rsidRPr="00CB1BE3" w:rsidRDefault="004A1678">
      <w:pPr>
        <w:rPr>
          <w:rFonts w:ascii="Times New Roman" w:hAnsi="Times New Roman" w:cs="Times New Roman"/>
        </w:rPr>
      </w:pPr>
    </w:p>
    <w:p w14:paraId="0C57E1E3"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1CFC35A3" wp14:editId="7C6AA3A1">
            <wp:extent cx="4509135" cy="3228340"/>
            <wp:effectExtent l="0" t="0" r="12065" b="2286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2817877" w14:textId="77777777" w:rsidR="00B87AAC" w:rsidRPr="00CB1BE3" w:rsidRDefault="00B87AAC">
      <w:pPr>
        <w:rPr>
          <w:rFonts w:ascii="Times New Roman" w:hAnsi="Times New Roman" w:cs="Times New Roman"/>
        </w:rPr>
      </w:pPr>
    </w:p>
    <w:p w14:paraId="5BF72D25" w14:textId="77777777" w:rsidR="00B87AAC" w:rsidRPr="00CB1BE3" w:rsidRDefault="00B87AAC">
      <w:pPr>
        <w:rPr>
          <w:rFonts w:ascii="Times New Roman" w:hAnsi="Times New Roman" w:cs="Times New Roman"/>
        </w:rPr>
      </w:pPr>
    </w:p>
    <w:p w14:paraId="348BBBF5" w14:textId="77777777" w:rsidR="00B87AAC" w:rsidRDefault="00B87AAC">
      <w:pPr>
        <w:rPr>
          <w:rFonts w:ascii="Times New Roman" w:hAnsi="Times New Roman" w:cs="Times New Roman"/>
        </w:rPr>
      </w:pPr>
    </w:p>
    <w:p w14:paraId="4B514C55" w14:textId="77777777" w:rsidR="004A1678" w:rsidRDefault="004A1678">
      <w:pPr>
        <w:rPr>
          <w:rFonts w:ascii="Times New Roman" w:hAnsi="Times New Roman" w:cs="Times New Roman"/>
        </w:rPr>
      </w:pPr>
    </w:p>
    <w:p w14:paraId="08EA3E69" w14:textId="77777777" w:rsidR="004A1678" w:rsidRDefault="004A1678">
      <w:pPr>
        <w:rPr>
          <w:rFonts w:ascii="Times New Roman" w:hAnsi="Times New Roman" w:cs="Times New Roman"/>
        </w:rPr>
      </w:pPr>
    </w:p>
    <w:p w14:paraId="1D68FA58" w14:textId="77777777" w:rsidR="004A1678" w:rsidRDefault="004A1678">
      <w:pPr>
        <w:rPr>
          <w:rFonts w:ascii="Times New Roman" w:hAnsi="Times New Roman" w:cs="Times New Roman"/>
        </w:rPr>
      </w:pPr>
    </w:p>
    <w:p w14:paraId="6FB685D6" w14:textId="715423FD" w:rsidR="00B87AAC" w:rsidRPr="004A1678" w:rsidRDefault="004A1678" w:rsidP="004A1678">
      <w:pPr>
        <w:outlineLvl w:val="0"/>
        <w:rPr>
          <w:rFonts w:ascii="Times New Roman" w:hAnsi="Times New Roman" w:cs="Times New Roman"/>
          <w:b/>
          <w:i/>
        </w:rPr>
      </w:pPr>
      <w:r>
        <w:rPr>
          <w:rFonts w:ascii="Times New Roman" w:hAnsi="Times New Roman" w:cs="Times New Roman"/>
          <w:b/>
          <w:i/>
        </w:rPr>
        <w:t>Figures 7a and 7b: Mortality ratio vs spending per capita on external relations</w:t>
      </w:r>
    </w:p>
    <w:p w14:paraId="483948CB" w14:textId="77777777" w:rsidR="00B87AAC" w:rsidRPr="00CB1BE3" w:rsidRDefault="00B87AAC">
      <w:pPr>
        <w:rPr>
          <w:rFonts w:ascii="Times New Roman" w:hAnsi="Times New Roman" w:cs="Times New Roman"/>
        </w:rPr>
      </w:pPr>
    </w:p>
    <w:p w14:paraId="58AA7CDF"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7A7955BF" wp14:editId="2034FF9C">
            <wp:extent cx="4509135" cy="3202940"/>
            <wp:effectExtent l="0" t="0" r="12065" b="2286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F854AC9" w14:textId="77777777" w:rsidR="00B87AAC" w:rsidRDefault="00B87AAC">
      <w:pPr>
        <w:rPr>
          <w:rFonts w:ascii="Times New Roman" w:hAnsi="Times New Roman" w:cs="Times New Roman"/>
        </w:rPr>
      </w:pPr>
    </w:p>
    <w:p w14:paraId="2019A167" w14:textId="77777777" w:rsidR="004A1678" w:rsidRPr="00CB1BE3" w:rsidRDefault="004A1678">
      <w:pPr>
        <w:rPr>
          <w:rFonts w:ascii="Times New Roman" w:hAnsi="Times New Roman" w:cs="Times New Roman"/>
        </w:rPr>
      </w:pPr>
    </w:p>
    <w:p w14:paraId="5792B757"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4CC48AEA" wp14:editId="63723F7B">
            <wp:extent cx="4509135" cy="3228340"/>
            <wp:effectExtent l="0" t="0" r="12065" b="2286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29078E5" w14:textId="77777777" w:rsidR="00B87AAC" w:rsidRPr="00CB1BE3" w:rsidRDefault="00B87AAC">
      <w:pPr>
        <w:rPr>
          <w:rFonts w:ascii="Times New Roman" w:hAnsi="Times New Roman" w:cs="Times New Roman"/>
        </w:rPr>
      </w:pPr>
    </w:p>
    <w:p w14:paraId="6B7ABF6E" w14:textId="77777777" w:rsidR="00B87AAC" w:rsidRPr="00CB1BE3" w:rsidRDefault="00B87AAC">
      <w:pPr>
        <w:rPr>
          <w:rFonts w:ascii="Times New Roman" w:hAnsi="Times New Roman" w:cs="Times New Roman"/>
        </w:rPr>
      </w:pPr>
    </w:p>
    <w:p w14:paraId="5F0EE1C9" w14:textId="77777777" w:rsidR="00B87AAC" w:rsidRPr="00CB1BE3" w:rsidRDefault="00B87AAC">
      <w:pPr>
        <w:rPr>
          <w:rFonts w:ascii="Times New Roman" w:hAnsi="Times New Roman" w:cs="Times New Roman"/>
        </w:rPr>
      </w:pPr>
    </w:p>
    <w:p w14:paraId="58F8BB8D" w14:textId="77777777" w:rsidR="00B87AAC" w:rsidRPr="00CB1BE3" w:rsidRDefault="00B87AAC">
      <w:pPr>
        <w:rPr>
          <w:rFonts w:ascii="Times New Roman" w:hAnsi="Times New Roman" w:cs="Times New Roman"/>
        </w:rPr>
      </w:pPr>
    </w:p>
    <w:p w14:paraId="594000C4" w14:textId="77777777" w:rsidR="00B87AAC" w:rsidRDefault="00B87AAC">
      <w:pPr>
        <w:rPr>
          <w:rFonts w:ascii="Times New Roman" w:hAnsi="Times New Roman" w:cs="Times New Roman"/>
        </w:rPr>
      </w:pPr>
    </w:p>
    <w:p w14:paraId="3274B622" w14:textId="77777777" w:rsidR="004A1678" w:rsidRDefault="004A1678">
      <w:pPr>
        <w:rPr>
          <w:rFonts w:ascii="Times New Roman" w:hAnsi="Times New Roman" w:cs="Times New Roman"/>
        </w:rPr>
      </w:pPr>
    </w:p>
    <w:p w14:paraId="2C8BB937" w14:textId="3F5E1C4A" w:rsidR="004A1678" w:rsidRPr="004A1678" w:rsidRDefault="004A1678" w:rsidP="004A1678">
      <w:pPr>
        <w:outlineLvl w:val="0"/>
        <w:rPr>
          <w:rFonts w:ascii="Times New Roman" w:hAnsi="Times New Roman" w:cs="Times New Roman"/>
          <w:b/>
          <w:i/>
        </w:rPr>
      </w:pPr>
      <w:r>
        <w:rPr>
          <w:rFonts w:ascii="Times New Roman" w:hAnsi="Times New Roman" w:cs="Times New Roman"/>
          <w:b/>
          <w:i/>
        </w:rPr>
        <w:t>Figures 8a and 8b: Mortality ratio vs spending per capita on logistics and operations support</w:t>
      </w:r>
    </w:p>
    <w:p w14:paraId="427C1057" w14:textId="77777777" w:rsidR="004A1678" w:rsidRPr="00CB1BE3" w:rsidRDefault="004A1678">
      <w:pPr>
        <w:rPr>
          <w:rFonts w:ascii="Times New Roman" w:hAnsi="Times New Roman" w:cs="Times New Roman"/>
        </w:rPr>
      </w:pPr>
    </w:p>
    <w:p w14:paraId="076A324D"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709D3A51" wp14:editId="7FBA0113">
            <wp:extent cx="4509135" cy="3202940"/>
            <wp:effectExtent l="0" t="0" r="12065" b="2286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018784F" w14:textId="77777777" w:rsidR="00B87AAC" w:rsidRDefault="00B87AAC">
      <w:pPr>
        <w:rPr>
          <w:rFonts w:ascii="Times New Roman" w:hAnsi="Times New Roman" w:cs="Times New Roman"/>
        </w:rPr>
      </w:pPr>
    </w:p>
    <w:p w14:paraId="3DAD0A66" w14:textId="77777777" w:rsidR="004A1678" w:rsidRPr="00CB1BE3" w:rsidRDefault="004A1678">
      <w:pPr>
        <w:rPr>
          <w:rFonts w:ascii="Times New Roman" w:hAnsi="Times New Roman" w:cs="Times New Roman"/>
        </w:rPr>
      </w:pPr>
    </w:p>
    <w:p w14:paraId="15CC3B5B" w14:textId="77777777" w:rsidR="00B87AAC" w:rsidRPr="00CB1BE3" w:rsidRDefault="00B87AAC">
      <w:pPr>
        <w:rPr>
          <w:rFonts w:ascii="Times New Roman" w:hAnsi="Times New Roman" w:cs="Times New Roman"/>
        </w:rPr>
      </w:pPr>
      <w:r w:rsidRPr="00CB1BE3">
        <w:rPr>
          <w:rFonts w:ascii="Times New Roman" w:hAnsi="Times New Roman" w:cs="Times New Roman"/>
          <w:noProof/>
        </w:rPr>
        <w:drawing>
          <wp:inline distT="0" distB="0" distL="0" distR="0" wp14:anchorId="732A99C1" wp14:editId="6943E9CC">
            <wp:extent cx="4509135" cy="3228340"/>
            <wp:effectExtent l="0" t="0" r="12065" b="2286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70DBE91" w14:textId="77777777" w:rsidR="00B87AAC" w:rsidRPr="00CB1BE3" w:rsidRDefault="00B87AAC">
      <w:pPr>
        <w:rPr>
          <w:rFonts w:ascii="Times New Roman" w:hAnsi="Times New Roman" w:cs="Times New Roman"/>
        </w:rPr>
      </w:pPr>
    </w:p>
    <w:p w14:paraId="45549678" w14:textId="77777777" w:rsidR="00B87AAC" w:rsidRPr="00CB1BE3" w:rsidRDefault="00B87AAC">
      <w:pPr>
        <w:rPr>
          <w:rFonts w:ascii="Times New Roman" w:hAnsi="Times New Roman" w:cs="Times New Roman"/>
        </w:rPr>
      </w:pPr>
    </w:p>
    <w:p w14:paraId="591D529B" w14:textId="77777777" w:rsidR="00B87AAC" w:rsidRPr="00CB1BE3" w:rsidRDefault="00B87AAC">
      <w:pPr>
        <w:rPr>
          <w:rFonts w:ascii="Times New Roman" w:hAnsi="Times New Roman" w:cs="Times New Roman"/>
        </w:rPr>
      </w:pPr>
    </w:p>
    <w:p w14:paraId="7F18E1EF" w14:textId="77777777" w:rsidR="004A1678" w:rsidRDefault="004A1678" w:rsidP="004A1678">
      <w:pPr>
        <w:rPr>
          <w:rFonts w:ascii="Times New Roman" w:hAnsi="Times New Roman" w:cs="Times New Roman"/>
          <w:b/>
          <w:i/>
        </w:rPr>
      </w:pPr>
    </w:p>
    <w:p w14:paraId="78A0967E" w14:textId="77777777" w:rsidR="004A1678" w:rsidRDefault="004A1678" w:rsidP="004A1678">
      <w:pPr>
        <w:rPr>
          <w:rFonts w:ascii="Times New Roman" w:hAnsi="Times New Roman" w:cs="Times New Roman"/>
          <w:b/>
          <w:i/>
        </w:rPr>
      </w:pPr>
    </w:p>
    <w:p w14:paraId="3CBAEAA5" w14:textId="77777777" w:rsidR="004A1678" w:rsidRDefault="004A1678" w:rsidP="004A1678">
      <w:pPr>
        <w:rPr>
          <w:rFonts w:ascii="Times New Roman" w:hAnsi="Times New Roman" w:cs="Times New Roman"/>
          <w:b/>
          <w:i/>
        </w:rPr>
      </w:pPr>
    </w:p>
    <w:p w14:paraId="54F6FC6B" w14:textId="1D27F81E" w:rsidR="00B87AAC" w:rsidRPr="004A1678" w:rsidRDefault="004A1678" w:rsidP="004A1678">
      <w:pPr>
        <w:outlineLvl w:val="0"/>
        <w:rPr>
          <w:rFonts w:ascii="Times New Roman" w:hAnsi="Times New Roman" w:cs="Times New Roman"/>
          <w:b/>
          <w:i/>
        </w:rPr>
      </w:pPr>
      <w:r>
        <w:rPr>
          <w:rFonts w:ascii="Times New Roman" w:hAnsi="Times New Roman" w:cs="Times New Roman"/>
          <w:b/>
          <w:i/>
        </w:rPr>
        <w:t>Figures 9a and 9b: Mortality ratio vs spending per capita on basic needs and essential services</w:t>
      </w:r>
    </w:p>
    <w:p w14:paraId="223E753B" w14:textId="77777777" w:rsidR="00B87AAC" w:rsidRPr="00CB1BE3" w:rsidRDefault="00B87AAC">
      <w:pPr>
        <w:rPr>
          <w:rFonts w:ascii="Times New Roman" w:hAnsi="Times New Roman" w:cs="Times New Roman"/>
        </w:rPr>
      </w:pPr>
    </w:p>
    <w:p w14:paraId="5B4D9F9B" w14:textId="77777777" w:rsidR="003412DE" w:rsidRPr="00CB1BE3" w:rsidRDefault="003412DE">
      <w:pPr>
        <w:rPr>
          <w:rFonts w:ascii="Times New Roman" w:hAnsi="Times New Roman" w:cs="Times New Roman"/>
        </w:rPr>
      </w:pPr>
      <w:r w:rsidRPr="00CB1BE3">
        <w:rPr>
          <w:rFonts w:ascii="Times New Roman" w:hAnsi="Times New Roman" w:cs="Times New Roman"/>
          <w:noProof/>
        </w:rPr>
        <w:drawing>
          <wp:inline distT="0" distB="0" distL="0" distR="0" wp14:anchorId="6047A3F8" wp14:editId="3E1A2033">
            <wp:extent cx="4509135" cy="3202940"/>
            <wp:effectExtent l="0" t="0" r="12065" b="2286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16C3F1F" w14:textId="77777777" w:rsidR="003412DE" w:rsidRDefault="003412DE">
      <w:pPr>
        <w:rPr>
          <w:rFonts w:ascii="Times New Roman" w:hAnsi="Times New Roman" w:cs="Times New Roman"/>
        </w:rPr>
      </w:pPr>
    </w:p>
    <w:p w14:paraId="06904073" w14:textId="77777777" w:rsidR="004A1678" w:rsidRPr="00CB1BE3" w:rsidRDefault="004A1678">
      <w:pPr>
        <w:rPr>
          <w:rFonts w:ascii="Times New Roman" w:hAnsi="Times New Roman" w:cs="Times New Roman"/>
        </w:rPr>
      </w:pPr>
    </w:p>
    <w:p w14:paraId="51242289" w14:textId="4BF0D6C6" w:rsidR="00B87AAC" w:rsidRPr="00CB1BE3" w:rsidRDefault="003412DE">
      <w:pPr>
        <w:rPr>
          <w:rFonts w:ascii="Times New Roman" w:hAnsi="Times New Roman" w:cs="Times New Roman"/>
        </w:rPr>
      </w:pPr>
      <w:r w:rsidRPr="00CB1BE3">
        <w:rPr>
          <w:rFonts w:ascii="Times New Roman" w:hAnsi="Times New Roman" w:cs="Times New Roman"/>
          <w:noProof/>
        </w:rPr>
        <w:drawing>
          <wp:inline distT="0" distB="0" distL="0" distR="0" wp14:anchorId="04ADEE9C" wp14:editId="5704E480">
            <wp:extent cx="4509135" cy="3228340"/>
            <wp:effectExtent l="0" t="0" r="12065" b="2286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0BE7641" w14:textId="77777777" w:rsidR="003412DE" w:rsidRPr="00CB1BE3" w:rsidRDefault="003412DE">
      <w:pPr>
        <w:rPr>
          <w:rFonts w:ascii="Times New Roman" w:hAnsi="Times New Roman" w:cs="Times New Roman"/>
        </w:rPr>
      </w:pPr>
    </w:p>
    <w:p w14:paraId="05CB8E55" w14:textId="77777777" w:rsidR="003412DE" w:rsidRPr="00CB1BE3" w:rsidRDefault="003412DE">
      <w:pPr>
        <w:rPr>
          <w:rFonts w:ascii="Times New Roman" w:hAnsi="Times New Roman" w:cs="Times New Roman"/>
        </w:rPr>
      </w:pPr>
    </w:p>
    <w:p w14:paraId="6D2009E0" w14:textId="77777777" w:rsidR="003412DE" w:rsidRPr="00CB1BE3" w:rsidRDefault="003412DE">
      <w:pPr>
        <w:rPr>
          <w:rFonts w:ascii="Times New Roman" w:hAnsi="Times New Roman" w:cs="Times New Roman"/>
        </w:rPr>
      </w:pPr>
    </w:p>
    <w:p w14:paraId="0127BCA8" w14:textId="77777777" w:rsidR="003412DE" w:rsidRPr="00CB1BE3" w:rsidRDefault="003412DE">
      <w:pPr>
        <w:rPr>
          <w:rFonts w:ascii="Times New Roman" w:hAnsi="Times New Roman" w:cs="Times New Roman"/>
        </w:rPr>
      </w:pPr>
    </w:p>
    <w:p w14:paraId="6C7D2A42" w14:textId="77777777" w:rsidR="003412DE" w:rsidRDefault="003412DE">
      <w:pPr>
        <w:rPr>
          <w:rFonts w:ascii="Times New Roman" w:hAnsi="Times New Roman" w:cs="Times New Roman"/>
        </w:rPr>
      </w:pPr>
    </w:p>
    <w:p w14:paraId="69C8A0CB" w14:textId="77777777" w:rsidR="004A1678" w:rsidRDefault="004A1678">
      <w:pPr>
        <w:rPr>
          <w:rFonts w:ascii="Times New Roman" w:hAnsi="Times New Roman" w:cs="Times New Roman"/>
        </w:rPr>
      </w:pPr>
    </w:p>
    <w:p w14:paraId="5A23FE6E" w14:textId="7B8EE71B" w:rsidR="004A1678" w:rsidRPr="004A1678" w:rsidRDefault="004A1678" w:rsidP="004A1678">
      <w:pPr>
        <w:spacing w:line="480" w:lineRule="auto"/>
        <w:rPr>
          <w:rFonts w:ascii="Times New Roman" w:hAnsi="Times New Roman" w:cs="Times New Roman"/>
        </w:rPr>
      </w:pPr>
      <w:r>
        <w:rPr>
          <w:rFonts w:ascii="Times New Roman" w:hAnsi="Times New Roman" w:cs="Times New Roman"/>
        </w:rPr>
        <w:tab/>
        <w:t xml:space="preserve">For Figures 10 to 15, the spending on the x-axis refers to spending budgeted for specific goals within the Basic Needs and Essential Services rights group. For a more complete description of these budget sub-categories within Basic Needs, see </w:t>
      </w:r>
      <w:r>
        <w:rPr>
          <w:rFonts w:ascii="Times New Roman" w:hAnsi="Times New Roman" w:cs="Times New Roman"/>
          <w:b/>
        </w:rPr>
        <w:t>Table 1</w:t>
      </w:r>
      <w:r>
        <w:rPr>
          <w:rFonts w:ascii="Times New Roman" w:hAnsi="Times New Roman" w:cs="Times New Roman"/>
        </w:rPr>
        <w:t xml:space="preserve"> in the main paper.</w:t>
      </w:r>
    </w:p>
    <w:p w14:paraId="31E4AE63" w14:textId="77777777" w:rsidR="004A1678" w:rsidRPr="004A1678" w:rsidRDefault="004A1678">
      <w:pPr>
        <w:rPr>
          <w:rFonts w:ascii="Times New Roman" w:hAnsi="Times New Roman" w:cs="Times New Roman"/>
        </w:rPr>
      </w:pPr>
    </w:p>
    <w:p w14:paraId="50CD7851" w14:textId="08FE335B" w:rsidR="004A1678" w:rsidRPr="004A1678" w:rsidRDefault="004A1678" w:rsidP="004A1678">
      <w:pPr>
        <w:outlineLvl w:val="0"/>
        <w:rPr>
          <w:rFonts w:ascii="Times New Roman" w:hAnsi="Times New Roman" w:cs="Times New Roman"/>
          <w:b/>
          <w:i/>
        </w:rPr>
      </w:pPr>
      <w:r>
        <w:rPr>
          <w:rFonts w:ascii="Times New Roman" w:hAnsi="Times New Roman" w:cs="Times New Roman"/>
          <w:b/>
          <w:i/>
        </w:rPr>
        <w:t>Figures 10a and 10b: Mortality ratio vs spending per capita on water and sanitation</w:t>
      </w:r>
    </w:p>
    <w:p w14:paraId="758D9CD4" w14:textId="77777777" w:rsidR="004A1678" w:rsidRPr="00CB1BE3" w:rsidRDefault="004A1678">
      <w:pPr>
        <w:rPr>
          <w:rFonts w:ascii="Times New Roman" w:hAnsi="Times New Roman" w:cs="Times New Roman"/>
        </w:rPr>
      </w:pPr>
    </w:p>
    <w:p w14:paraId="132D960B" w14:textId="77777777" w:rsidR="00A92E8E" w:rsidRPr="00CB1BE3" w:rsidRDefault="00A92E8E">
      <w:pPr>
        <w:rPr>
          <w:rFonts w:ascii="Times New Roman" w:hAnsi="Times New Roman" w:cs="Times New Roman"/>
        </w:rPr>
      </w:pPr>
      <w:r w:rsidRPr="00CB1BE3">
        <w:rPr>
          <w:rFonts w:ascii="Times New Roman" w:hAnsi="Times New Roman" w:cs="Times New Roman"/>
          <w:noProof/>
        </w:rPr>
        <w:drawing>
          <wp:inline distT="0" distB="0" distL="0" distR="0" wp14:anchorId="3306E3B9" wp14:editId="56EE4A4D">
            <wp:extent cx="4509135" cy="3202940"/>
            <wp:effectExtent l="0" t="0" r="12065" b="2286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D692918" w14:textId="77777777" w:rsidR="004A1678" w:rsidRPr="00CB1BE3" w:rsidRDefault="004A1678">
      <w:pPr>
        <w:rPr>
          <w:rFonts w:ascii="Times New Roman" w:hAnsi="Times New Roman" w:cs="Times New Roman"/>
        </w:rPr>
      </w:pPr>
    </w:p>
    <w:p w14:paraId="18CB0CC8" w14:textId="56E1D05A" w:rsidR="003412DE" w:rsidRPr="00CB1BE3" w:rsidRDefault="00A92E8E">
      <w:pPr>
        <w:rPr>
          <w:rFonts w:ascii="Times New Roman" w:hAnsi="Times New Roman" w:cs="Times New Roman"/>
        </w:rPr>
      </w:pPr>
      <w:r w:rsidRPr="00CB1BE3">
        <w:rPr>
          <w:rFonts w:ascii="Times New Roman" w:hAnsi="Times New Roman" w:cs="Times New Roman"/>
          <w:noProof/>
        </w:rPr>
        <w:drawing>
          <wp:inline distT="0" distB="0" distL="0" distR="0" wp14:anchorId="026F1698" wp14:editId="5F2487E4">
            <wp:extent cx="4509135" cy="3228340"/>
            <wp:effectExtent l="0" t="0" r="12065" b="2286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D03A396" w14:textId="54F2FDC4" w:rsidR="004A1678" w:rsidRPr="004A1678" w:rsidRDefault="004A1678" w:rsidP="004A1678">
      <w:pPr>
        <w:outlineLvl w:val="0"/>
        <w:rPr>
          <w:rFonts w:ascii="Times New Roman" w:hAnsi="Times New Roman" w:cs="Times New Roman"/>
          <w:b/>
          <w:i/>
        </w:rPr>
      </w:pPr>
      <w:r>
        <w:rPr>
          <w:rFonts w:ascii="Times New Roman" w:hAnsi="Times New Roman" w:cs="Times New Roman"/>
          <w:b/>
          <w:i/>
        </w:rPr>
        <w:t>Figures 11a and 11b: Mortality ratio vs spending per capita on education</w:t>
      </w:r>
    </w:p>
    <w:p w14:paraId="4FA78A22" w14:textId="77777777" w:rsidR="004A1678" w:rsidRPr="00CB1BE3" w:rsidRDefault="004A1678">
      <w:pPr>
        <w:rPr>
          <w:rFonts w:ascii="Times New Roman" w:hAnsi="Times New Roman" w:cs="Times New Roman"/>
        </w:rPr>
      </w:pPr>
    </w:p>
    <w:p w14:paraId="09AF965C" w14:textId="77777777" w:rsidR="00A92E8E" w:rsidRPr="00CB1BE3" w:rsidRDefault="00A92E8E">
      <w:pPr>
        <w:rPr>
          <w:rFonts w:ascii="Times New Roman" w:hAnsi="Times New Roman" w:cs="Times New Roman"/>
        </w:rPr>
      </w:pPr>
      <w:r w:rsidRPr="00CB1BE3">
        <w:rPr>
          <w:rFonts w:ascii="Times New Roman" w:hAnsi="Times New Roman" w:cs="Times New Roman"/>
          <w:noProof/>
        </w:rPr>
        <w:drawing>
          <wp:inline distT="0" distB="0" distL="0" distR="0" wp14:anchorId="45991455" wp14:editId="3FC9B7DD">
            <wp:extent cx="4509135" cy="3202940"/>
            <wp:effectExtent l="0" t="0" r="12065" b="2286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8979DD1" w14:textId="77777777" w:rsidR="00A92E8E" w:rsidRDefault="00A92E8E">
      <w:pPr>
        <w:rPr>
          <w:rFonts w:ascii="Times New Roman" w:hAnsi="Times New Roman" w:cs="Times New Roman"/>
        </w:rPr>
      </w:pPr>
    </w:p>
    <w:p w14:paraId="3444F836" w14:textId="77777777" w:rsidR="004A1678" w:rsidRPr="00CB1BE3" w:rsidRDefault="004A1678">
      <w:pPr>
        <w:rPr>
          <w:rFonts w:ascii="Times New Roman" w:hAnsi="Times New Roman" w:cs="Times New Roman"/>
        </w:rPr>
      </w:pPr>
    </w:p>
    <w:p w14:paraId="71F055E9" w14:textId="3027F966" w:rsidR="00A92E8E" w:rsidRPr="00CB1BE3" w:rsidRDefault="00A92E8E">
      <w:pPr>
        <w:rPr>
          <w:rFonts w:ascii="Times New Roman" w:hAnsi="Times New Roman" w:cs="Times New Roman"/>
        </w:rPr>
      </w:pPr>
      <w:r w:rsidRPr="00CB1BE3">
        <w:rPr>
          <w:rFonts w:ascii="Times New Roman" w:hAnsi="Times New Roman" w:cs="Times New Roman"/>
          <w:noProof/>
        </w:rPr>
        <w:drawing>
          <wp:inline distT="0" distB="0" distL="0" distR="0" wp14:anchorId="5672C215" wp14:editId="22EB4EC2">
            <wp:extent cx="4509135" cy="3228340"/>
            <wp:effectExtent l="0" t="0" r="12065" b="2286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B8E13A6" w14:textId="77777777" w:rsidR="00A92E8E" w:rsidRPr="00CB1BE3" w:rsidRDefault="00A92E8E">
      <w:pPr>
        <w:rPr>
          <w:rFonts w:ascii="Times New Roman" w:hAnsi="Times New Roman" w:cs="Times New Roman"/>
        </w:rPr>
      </w:pPr>
    </w:p>
    <w:p w14:paraId="5F74659E" w14:textId="77777777" w:rsidR="00A92E8E" w:rsidRPr="00CB1BE3" w:rsidRDefault="00A92E8E">
      <w:pPr>
        <w:rPr>
          <w:rFonts w:ascii="Times New Roman" w:hAnsi="Times New Roman" w:cs="Times New Roman"/>
        </w:rPr>
      </w:pPr>
    </w:p>
    <w:p w14:paraId="0F6B39D0" w14:textId="77777777" w:rsidR="00A92E8E" w:rsidRPr="00CB1BE3" w:rsidRDefault="00A92E8E">
      <w:pPr>
        <w:rPr>
          <w:rFonts w:ascii="Times New Roman" w:hAnsi="Times New Roman" w:cs="Times New Roman"/>
        </w:rPr>
      </w:pPr>
    </w:p>
    <w:p w14:paraId="1F95AB1E" w14:textId="77777777" w:rsidR="00A92E8E" w:rsidRPr="00CB1BE3" w:rsidRDefault="00A92E8E">
      <w:pPr>
        <w:rPr>
          <w:rFonts w:ascii="Times New Roman" w:hAnsi="Times New Roman" w:cs="Times New Roman"/>
        </w:rPr>
      </w:pPr>
    </w:p>
    <w:p w14:paraId="4BD26D79" w14:textId="77777777" w:rsidR="00A92E8E" w:rsidRDefault="00A92E8E">
      <w:pPr>
        <w:rPr>
          <w:rFonts w:ascii="Times New Roman" w:hAnsi="Times New Roman" w:cs="Times New Roman"/>
        </w:rPr>
      </w:pPr>
    </w:p>
    <w:p w14:paraId="1AA9DCA8" w14:textId="77777777" w:rsidR="004A1678" w:rsidRDefault="004A1678">
      <w:pPr>
        <w:rPr>
          <w:rFonts w:ascii="Times New Roman" w:hAnsi="Times New Roman" w:cs="Times New Roman"/>
        </w:rPr>
      </w:pPr>
    </w:p>
    <w:p w14:paraId="0182DCEC" w14:textId="55D5561C" w:rsidR="004A1678" w:rsidRDefault="004A1678">
      <w:pPr>
        <w:rPr>
          <w:rFonts w:ascii="Times New Roman" w:hAnsi="Times New Roman" w:cs="Times New Roman"/>
        </w:rPr>
      </w:pPr>
      <w:r>
        <w:rPr>
          <w:rFonts w:ascii="Times New Roman" w:hAnsi="Times New Roman" w:cs="Times New Roman"/>
          <w:b/>
          <w:i/>
        </w:rPr>
        <w:t>Figures 12a and 12b: Mortality ratio vs spending per capita on shelter and infrastructure</w:t>
      </w:r>
    </w:p>
    <w:p w14:paraId="1461EC94" w14:textId="77777777" w:rsidR="004A1678" w:rsidRPr="00CB1BE3" w:rsidRDefault="004A1678">
      <w:pPr>
        <w:rPr>
          <w:rFonts w:ascii="Times New Roman" w:hAnsi="Times New Roman" w:cs="Times New Roman"/>
        </w:rPr>
      </w:pPr>
    </w:p>
    <w:p w14:paraId="47DC623C" w14:textId="77777777" w:rsidR="00A92E8E" w:rsidRPr="00CB1BE3" w:rsidRDefault="00A92E8E">
      <w:pPr>
        <w:rPr>
          <w:rFonts w:ascii="Times New Roman" w:hAnsi="Times New Roman" w:cs="Times New Roman"/>
        </w:rPr>
      </w:pPr>
      <w:r w:rsidRPr="00CB1BE3">
        <w:rPr>
          <w:rFonts w:ascii="Times New Roman" w:hAnsi="Times New Roman" w:cs="Times New Roman"/>
          <w:noProof/>
        </w:rPr>
        <w:drawing>
          <wp:inline distT="0" distB="0" distL="0" distR="0" wp14:anchorId="162BC234" wp14:editId="3C28E0BF">
            <wp:extent cx="4509135" cy="3202940"/>
            <wp:effectExtent l="0" t="0" r="12065" b="2286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E58AC46" w14:textId="77777777" w:rsidR="00A92E8E" w:rsidRDefault="00A92E8E">
      <w:pPr>
        <w:rPr>
          <w:rFonts w:ascii="Times New Roman" w:hAnsi="Times New Roman" w:cs="Times New Roman"/>
        </w:rPr>
      </w:pPr>
    </w:p>
    <w:p w14:paraId="1862A1BB" w14:textId="77777777" w:rsidR="004A1678" w:rsidRPr="00CB1BE3" w:rsidRDefault="004A1678">
      <w:pPr>
        <w:rPr>
          <w:rFonts w:ascii="Times New Roman" w:hAnsi="Times New Roman" w:cs="Times New Roman"/>
        </w:rPr>
      </w:pPr>
    </w:p>
    <w:p w14:paraId="62BE910C" w14:textId="6CB17169" w:rsidR="00A92E8E" w:rsidRPr="00CB1BE3" w:rsidRDefault="00A92E8E">
      <w:pPr>
        <w:rPr>
          <w:rFonts w:ascii="Times New Roman" w:hAnsi="Times New Roman" w:cs="Times New Roman"/>
        </w:rPr>
      </w:pPr>
      <w:r w:rsidRPr="00CB1BE3">
        <w:rPr>
          <w:rFonts w:ascii="Times New Roman" w:hAnsi="Times New Roman" w:cs="Times New Roman"/>
          <w:noProof/>
        </w:rPr>
        <w:drawing>
          <wp:inline distT="0" distB="0" distL="0" distR="0" wp14:anchorId="749BD45D" wp14:editId="74A490C6">
            <wp:extent cx="4509135" cy="3228340"/>
            <wp:effectExtent l="0" t="0" r="12065" b="2286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AD5DF42" w14:textId="77777777" w:rsidR="00A92E8E" w:rsidRPr="00CB1BE3" w:rsidRDefault="00A92E8E">
      <w:pPr>
        <w:rPr>
          <w:rFonts w:ascii="Times New Roman" w:hAnsi="Times New Roman" w:cs="Times New Roman"/>
        </w:rPr>
      </w:pPr>
    </w:p>
    <w:p w14:paraId="7BD97845" w14:textId="77777777" w:rsidR="00A92E8E" w:rsidRPr="00CB1BE3" w:rsidRDefault="00A92E8E">
      <w:pPr>
        <w:rPr>
          <w:rFonts w:ascii="Times New Roman" w:hAnsi="Times New Roman" w:cs="Times New Roman"/>
        </w:rPr>
      </w:pPr>
    </w:p>
    <w:p w14:paraId="60E7E048" w14:textId="77777777" w:rsidR="00A92E8E" w:rsidRPr="00CB1BE3" w:rsidRDefault="00A92E8E">
      <w:pPr>
        <w:rPr>
          <w:rFonts w:ascii="Times New Roman" w:hAnsi="Times New Roman" w:cs="Times New Roman"/>
        </w:rPr>
      </w:pPr>
    </w:p>
    <w:p w14:paraId="3A9415AE" w14:textId="77777777" w:rsidR="00A92E8E" w:rsidRPr="00CB1BE3" w:rsidRDefault="00A92E8E">
      <w:pPr>
        <w:rPr>
          <w:rFonts w:ascii="Times New Roman" w:hAnsi="Times New Roman" w:cs="Times New Roman"/>
        </w:rPr>
      </w:pPr>
    </w:p>
    <w:p w14:paraId="5E1080C9" w14:textId="77777777" w:rsidR="00A92E8E" w:rsidRDefault="00A92E8E">
      <w:pPr>
        <w:rPr>
          <w:rFonts w:ascii="Times New Roman" w:hAnsi="Times New Roman" w:cs="Times New Roman"/>
        </w:rPr>
      </w:pPr>
    </w:p>
    <w:p w14:paraId="1AE34433" w14:textId="77777777" w:rsidR="004A1678" w:rsidRDefault="004A1678">
      <w:pPr>
        <w:rPr>
          <w:rFonts w:ascii="Times New Roman" w:hAnsi="Times New Roman" w:cs="Times New Roman"/>
        </w:rPr>
      </w:pPr>
    </w:p>
    <w:p w14:paraId="1BBC1406" w14:textId="782063AB" w:rsidR="004A1678" w:rsidRDefault="004A1678">
      <w:pPr>
        <w:rPr>
          <w:rFonts w:ascii="Times New Roman" w:hAnsi="Times New Roman" w:cs="Times New Roman"/>
        </w:rPr>
      </w:pPr>
      <w:r>
        <w:rPr>
          <w:rFonts w:ascii="Times New Roman" w:hAnsi="Times New Roman" w:cs="Times New Roman"/>
          <w:b/>
          <w:i/>
        </w:rPr>
        <w:t>Figures 13a and 13b: Mortality ratio vs spending per capita on non-food items</w:t>
      </w:r>
    </w:p>
    <w:p w14:paraId="1958E633" w14:textId="77777777" w:rsidR="004A1678" w:rsidRPr="00CB1BE3" w:rsidRDefault="004A1678">
      <w:pPr>
        <w:rPr>
          <w:rFonts w:ascii="Times New Roman" w:hAnsi="Times New Roman" w:cs="Times New Roman"/>
        </w:rPr>
      </w:pPr>
    </w:p>
    <w:p w14:paraId="41571059" w14:textId="77777777" w:rsidR="00E24C6C" w:rsidRPr="00CB1BE3" w:rsidRDefault="00E24C6C">
      <w:pPr>
        <w:rPr>
          <w:rFonts w:ascii="Times New Roman" w:hAnsi="Times New Roman" w:cs="Times New Roman"/>
        </w:rPr>
      </w:pPr>
      <w:r w:rsidRPr="00CB1BE3">
        <w:rPr>
          <w:rFonts w:ascii="Times New Roman" w:hAnsi="Times New Roman" w:cs="Times New Roman"/>
          <w:noProof/>
        </w:rPr>
        <w:drawing>
          <wp:inline distT="0" distB="0" distL="0" distR="0" wp14:anchorId="3EFB56EF" wp14:editId="007445A7">
            <wp:extent cx="4509135" cy="3202940"/>
            <wp:effectExtent l="0" t="0" r="12065" b="2286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ACE4A8F" w14:textId="77777777" w:rsidR="00E24C6C" w:rsidRDefault="00E24C6C">
      <w:pPr>
        <w:rPr>
          <w:rFonts w:ascii="Times New Roman" w:hAnsi="Times New Roman" w:cs="Times New Roman"/>
        </w:rPr>
      </w:pPr>
    </w:p>
    <w:p w14:paraId="08883990" w14:textId="77777777" w:rsidR="004A1678" w:rsidRPr="00CB1BE3" w:rsidRDefault="004A1678">
      <w:pPr>
        <w:rPr>
          <w:rFonts w:ascii="Times New Roman" w:hAnsi="Times New Roman" w:cs="Times New Roman"/>
        </w:rPr>
      </w:pPr>
    </w:p>
    <w:p w14:paraId="3A299149" w14:textId="441AFFA6" w:rsidR="00A92E8E" w:rsidRPr="00CB1BE3" w:rsidRDefault="00E24C6C">
      <w:pPr>
        <w:rPr>
          <w:rFonts w:ascii="Times New Roman" w:hAnsi="Times New Roman" w:cs="Times New Roman"/>
        </w:rPr>
      </w:pPr>
      <w:r w:rsidRPr="00CB1BE3">
        <w:rPr>
          <w:rFonts w:ascii="Times New Roman" w:hAnsi="Times New Roman" w:cs="Times New Roman"/>
          <w:noProof/>
        </w:rPr>
        <w:drawing>
          <wp:inline distT="0" distB="0" distL="0" distR="0" wp14:anchorId="60DBF3D1" wp14:editId="2AA99D31">
            <wp:extent cx="4509135" cy="3228340"/>
            <wp:effectExtent l="0" t="0" r="12065" b="2286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70F4630" w14:textId="77777777" w:rsidR="00E24C6C" w:rsidRPr="00CB1BE3" w:rsidRDefault="00E24C6C">
      <w:pPr>
        <w:rPr>
          <w:rFonts w:ascii="Times New Roman" w:hAnsi="Times New Roman" w:cs="Times New Roman"/>
        </w:rPr>
      </w:pPr>
    </w:p>
    <w:p w14:paraId="60046B0A" w14:textId="77777777" w:rsidR="00E24C6C" w:rsidRPr="00CB1BE3" w:rsidRDefault="00E24C6C">
      <w:pPr>
        <w:rPr>
          <w:rFonts w:ascii="Times New Roman" w:hAnsi="Times New Roman" w:cs="Times New Roman"/>
        </w:rPr>
      </w:pPr>
    </w:p>
    <w:p w14:paraId="248B430A" w14:textId="77777777" w:rsidR="00E24C6C" w:rsidRPr="00CB1BE3" w:rsidRDefault="00E24C6C">
      <w:pPr>
        <w:rPr>
          <w:rFonts w:ascii="Times New Roman" w:hAnsi="Times New Roman" w:cs="Times New Roman"/>
        </w:rPr>
      </w:pPr>
    </w:p>
    <w:p w14:paraId="0D979966" w14:textId="77777777" w:rsidR="00E24C6C" w:rsidRPr="00CB1BE3" w:rsidRDefault="00E24C6C">
      <w:pPr>
        <w:rPr>
          <w:rFonts w:ascii="Times New Roman" w:hAnsi="Times New Roman" w:cs="Times New Roman"/>
        </w:rPr>
      </w:pPr>
    </w:p>
    <w:p w14:paraId="0BE48B77" w14:textId="77777777" w:rsidR="00E24C6C" w:rsidRDefault="00E24C6C">
      <w:pPr>
        <w:rPr>
          <w:rFonts w:ascii="Times New Roman" w:hAnsi="Times New Roman" w:cs="Times New Roman"/>
        </w:rPr>
      </w:pPr>
    </w:p>
    <w:p w14:paraId="6D14F585" w14:textId="77777777" w:rsidR="004A1678" w:rsidRDefault="004A1678">
      <w:pPr>
        <w:rPr>
          <w:rFonts w:ascii="Times New Roman" w:hAnsi="Times New Roman" w:cs="Times New Roman"/>
        </w:rPr>
      </w:pPr>
    </w:p>
    <w:p w14:paraId="581BCF99" w14:textId="029E7795" w:rsidR="004A1678" w:rsidRDefault="004A1678">
      <w:pPr>
        <w:rPr>
          <w:rFonts w:ascii="Times New Roman" w:hAnsi="Times New Roman" w:cs="Times New Roman"/>
        </w:rPr>
      </w:pPr>
      <w:r>
        <w:rPr>
          <w:rFonts w:ascii="Times New Roman" w:hAnsi="Times New Roman" w:cs="Times New Roman"/>
          <w:b/>
          <w:i/>
        </w:rPr>
        <w:t>Figures 14a and 14b: Mortality ratio vs spending per capita on food security and nutrition</w:t>
      </w:r>
    </w:p>
    <w:p w14:paraId="3DF80A28" w14:textId="77777777" w:rsidR="004A1678" w:rsidRPr="00CB1BE3" w:rsidRDefault="004A1678">
      <w:pPr>
        <w:rPr>
          <w:rFonts w:ascii="Times New Roman" w:hAnsi="Times New Roman" w:cs="Times New Roman"/>
        </w:rPr>
      </w:pPr>
    </w:p>
    <w:p w14:paraId="31F8CCE7" w14:textId="77777777" w:rsidR="00E24C6C" w:rsidRPr="00CB1BE3" w:rsidRDefault="00E24C6C">
      <w:pPr>
        <w:rPr>
          <w:rFonts w:ascii="Times New Roman" w:hAnsi="Times New Roman" w:cs="Times New Roman"/>
        </w:rPr>
      </w:pPr>
      <w:r w:rsidRPr="00CB1BE3">
        <w:rPr>
          <w:rFonts w:ascii="Times New Roman" w:hAnsi="Times New Roman" w:cs="Times New Roman"/>
          <w:noProof/>
        </w:rPr>
        <w:drawing>
          <wp:inline distT="0" distB="0" distL="0" distR="0" wp14:anchorId="0F264FF0" wp14:editId="34A98D03">
            <wp:extent cx="4509135" cy="3202940"/>
            <wp:effectExtent l="0" t="0" r="12065" b="2286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4A79AEE" w14:textId="77777777" w:rsidR="00E24C6C" w:rsidRDefault="00E24C6C">
      <w:pPr>
        <w:rPr>
          <w:rFonts w:ascii="Times New Roman" w:hAnsi="Times New Roman" w:cs="Times New Roman"/>
        </w:rPr>
      </w:pPr>
    </w:p>
    <w:p w14:paraId="145E4E5F" w14:textId="77777777" w:rsidR="004A1678" w:rsidRPr="00CB1BE3" w:rsidRDefault="004A1678">
      <w:pPr>
        <w:rPr>
          <w:rFonts w:ascii="Times New Roman" w:hAnsi="Times New Roman" w:cs="Times New Roman"/>
        </w:rPr>
      </w:pPr>
    </w:p>
    <w:p w14:paraId="59C70A8D" w14:textId="30D98A9E" w:rsidR="00E24C6C" w:rsidRPr="00CB1BE3" w:rsidRDefault="00E24C6C">
      <w:pPr>
        <w:rPr>
          <w:rFonts w:ascii="Times New Roman" w:hAnsi="Times New Roman" w:cs="Times New Roman"/>
        </w:rPr>
      </w:pPr>
      <w:r w:rsidRPr="00CB1BE3">
        <w:rPr>
          <w:rFonts w:ascii="Times New Roman" w:hAnsi="Times New Roman" w:cs="Times New Roman"/>
          <w:noProof/>
        </w:rPr>
        <w:drawing>
          <wp:inline distT="0" distB="0" distL="0" distR="0" wp14:anchorId="56821162" wp14:editId="2E9D1792">
            <wp:extent cx="4509135" cy="3228340"/>
            <wp:effectExtent l="0" t="0" r="12065" b="2286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CEF5388" w14:textId="77777777" w:rsidR="00E24C6C" w:rsidRPr="00CB1BE3" w:rsidRDefault="00E24C6C">
      <w:pPr>
        <w:rPr>
          <w:rFonts w:ascii="Times New Roman" w:hAnsi="Times New Roman" w:cs="Times New Roman"/>
        </w:rPr>
      </w:pPr>
    </w:p>
    <w:p w14:paraId="6D068358" w14:textId="77777777" w:rsidR="00E24C6C" w:rsidRPr="00CB1BE3" w:rsidRDefault="00E24C6C">
      <w:pPr>
        <w:rPr>
          <w:rFonts w:ascii="Times New Roman" w:hAnsi="Times New Roman" w:cs="Times New Roman"/>
        </w:rPr>
      </w:pPr>
    </w:p>
    <w:p w14:paraId="2DE9C1B4" w14:textId="77777777" w:rsidR="00E24C6C" w:rsidRPr="00CB1BE3" w:rsidRDefault="00E24C6C">
      <w:pPr>
        <w:rPr>
          <w:rFonts w:ascii="Times New Roman" w:hAnsi="Times New Roman" w:cs="Times New Roman"/>
        </w:rPr>
      </w:pPr>
    </w:p>
    <w:p w14:paraId="7BB8DE3E" w14:textId="77777777" w:rsidR="00E24C6C" w:rsidRPr="00CB1BE3" w:rsidRDefault="00E24C6C">
      <w:pPr>
        <w:rPr>
          <w:rFonts w:ascii="Times New Roman" w:hAnsi="Times New Roman" w:cs="Times New Roman"/>
        </w:rPr>
      </w:pPr>
    </w:p>
    <w:p w14:paraId="7E32F824" w14:textId="77777777" w:rsidR="00E24C6C" w:rsidRDefault="00E24C6C">
      <w:pPr>
        <w:rPr>
          <w:rFonts w:ascii="Times New Roman" w:hAnsi="Times New Roman" w:cs="Times New Roman"/>
        </w:rPr>
      </w:pPr>
    </w:p>
    <w:p w14:paraId="4320D72E" w14:textId="77777777" w:rsidR="004A1678" w:rsidRDefault="004A1678">
      <w:pPr>
        <w:rPr>
          <w:rFonts w:ascii="Times New Roman" w:hAnsi="Times New Roman" w:cs="Times New Roman"/>
        </w:rPr>
      </w:pPr>
    </w:p>
    <w:p w14:paraId="5DEBE670" w14:textId="125CF354" w:rsidR="004A1678" w:rsidRDefault="004A1678">
      <w:pPr>
        <w:rPr>
          <w:rFonts w:ascii="Times New Roman" w:hAnsi="Times New Roman" w:cs="Times New Roman"/>
        </w:rPr>
      </w:pPr>
      <w:r>
        <w:rPr>
          <w:rFonts w:ascii="Times New Roman" w:hAnsi="Times New Roman" w:cs="Times New Roman"/>
          <w:b/>
          <w:i/>
        </w:rPr>
        <w:t>Figures 15a and 15b: Mortality ratio vs spending per capita on healthcare services</w:t>
      </w:r>
    </w:p>
    <w:p w14:paraId="3DF431A7" w14:textId="77777777" w:rsidR="004A1678" w:rsidRPr="00CB1BE3" w:rsidRDefault="004A1678">
      <w:pPr>
        <w:rPr>
          <w:rFonts w:ascii="Times New Roman" w:hAnsi="Times New Roman" w:cs="Times New Roman"/>
        </w:rPr>
      </w:pPr>
    </w:p>
    <w:p w14:paraId="29BD68C3" w14:textId="77777777" w:rsidR="00E24C6C" w:rsidRPr="00CB1BE3" w:rsidRDefault="00E24C6C">
      <w:pPr>
        <w:rPr>
          <w:rFonts w:ascii="Times New Roman" w:hAnsi="Times New Roman" w:cs="Times New Roman"/>
        </w:rPr>
      </w:pPr>
      <w:r w:rsidRPr="00CB1BE3">
        <w:rPr>
          <w:rFonts w:ascii="Times New Roman" w:hAnsi="Times New Roman" w:cs="Times New Roman"/>
          <w:noProof/>
        </w:rPr>
        <w:drawing>
          <wp:inline distT="0" distB="0" distL="0" distR="0" wp14:anchorId="44B65C33" wp14:editId="49167284">
            <wp:extent cx="4509135" cy="3202940"/>
            <wp:effectExtent l="0" t="0" r="12065" b="2286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7E2A1B0" w14:textId="77777777" w:rsidR="00E24C6C" w:rsidRDefault="00E24C6C">
      <w:pPr>
        <w:rPr>
          <w:rFonts w:ascii="Times New Roman" w:hAnsi="Times New Roman" w:cs="Times New Roman"/>
        </w:rPr>
      </w:pPr>
    </w:p>
    <w:p w14:paraId="2DB583D1" w14:textId="77777777" w:rsidR="004A1678" w:rsidRPr="00CB1BE3" w:rsidRDefault="004A1678">
      <w:pPr>
        <w:rPr>
          <w:rFonts w:ascii="Times New Roman" w:hAnsi="Times New Roman" w:cs="Times New Roman"/>
        </w:rPr>
      </w:pPr>
    </w:p>
    <w:p w14:paraId="04667498" w14:textId="6268C1E0" w:rsidR="00E24C6C" w:rsidRPr="00CB1BE3" w:rsidRDefault="00E24C6C">
      <w:pPr>
        <w:rPr>
          <w:rFonts w:ascii="Times New Roman" w:hAnsi="Times New Roman" w:cs="Times New Roman"/>
        </w:rPr>
      </w:pPr>
      <w:r w:rsidRPr="00CB1BE3">
        <w:rPr>
          <w:rFonts w:ascii="Times New Roman" w:hAnsi="Times New Roman" w:cs="Times New Roman"/>
          <w:noProof/>
        </w:rPr>
        <w:drawing>
          <wp:inline distT="0" distB="0" distL="0" distR="0" wp14:anchorId="3591875D" wp14:editId="47EF7971">
            <wp:extent cx="4509135" cy="3228340"/>
            <wp:effectExtent l="0" t="0" r="12065" b="2286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C61CBAE" w14:textId="77777777" w:rsidR="00E24C6C" w:rsidRPr="00CB1BE3" w:rsidRDefault="00E24C6C">
      <w:pPr>
        <w:rPr>
          <w:rFonts w:ascii="Times New Roman" w:hAnsi="Times New Roman" w:cs="Times New Roman"/>
        </w:rPr>
      </w:pPr>
    </w:p>
    <w:p w14:paraId="0895BA02" w14:textId="77777777" w:rsidR="00E24C6C" w:rsidRPr="00CB1BE3" w:rsidRDefault="00E24C6C">
      <w:pPr>
        <w:rPr>
          <w:rFonts w:ascii="Times New Roman" w:hAnsi="Times New Roman" w:cs="Times New Roman"/>
        </w:rPr>
      </w:pPr>
    </w:p>
    <w:p w14:paraId="730D8A55" w14:textId="77777777" w:rsidR="00E24C6C" w:rsidRPr="00CB1BE3" w:rsidRDefault="00E24C6C">
      <w:pPr>
        <w:rPr>
          <w:rFonts w:ascii="Times New Roman" w:hAnsi="Times New Roman" w:cs="Times New Roman"/>
        </w:rPr>
      </w:pPr>
    </w:p>
    <w:p w14:paraId="6980D424" w14:textId="77777777" w:rsidR="00E24C6C" w:rsidRPr="00CB1BE3" w:rsidRDefault="00E24C6C">
      <w:pPr>
        <w:rPr>
          <w:rFonts w:ascii="Times New Roman" w:hAnsi="Times New Roman" w:cs="Times New Roman"/>
        </w:rPr>
      </w:pPr>
    </w:p>
    <w:p w14:paraId="0E574D43" w14:textId="77777777" w:rsidR="00E24C6C" w:rsidRPr="00CB1BE3" w:rsidRDefault="00E24C6C">
      <w:pPr>
        <w:rPr>
          <w:rFonts w:ascii="Times New Roman" w:hAnsi="Times New Roman" w:cs="Times New Roman"/>
        </w:rPr>
      </w:pPr>
    </w:p>
    <w:p w14:paraId="0B633B53" w14:textId="77777777" w:rsidR="004A1678" w:rsidRDefault="004A1678" w:rsidP="004A1678">
      <w:pPr>
        <w:outlineLvl w:val="0"/>
        <w:rPr>
          <w:rFonts w:ascii="Times New Roman" w:hAnsi="Times New Roman" w:cs="Times New Roman"/>
          <w:b/>
        </w:rPr>
      </w:pPr>
    </w:p>
    <w:p w14:paraId="1E34194C" w14:textId="77777777" w:rsidR="009A389C" w:rsidRDefault="004A1678" w:rsidP="009A389C">
      <w:pPr>
        <w:spacing w:after="240" w:line="480" w:lineRule="auto"/>
        <w:outlineLvl w:val="0"/>
        <w:rPr>
          <w:rFonts w:ascii="Times New Roman" w:hAnsi="Times New Roman" w:cs="Times New Roman"/>
          <w:b/>
        </w:rPr>
      </w:pPr>
      <w:r>
        <w:rPr>
          <w:rFonts w:ascii="Times New Roman" w:hAnsi="Times New Roman" w:cs="Times New Roman"/>
          <w:b/>
        </w:rPr>
        <w:t>Secondary analysis using seemingly unrelated regression</w:t>
      </w:r>
    </w:p>
    <w:p w14:paraId="54A9528B" w14:textId="5B6EAFF7" w:rsidR="009A389C" w:rsidRPr="009A389C" w:rsidRDefault="009A389C" w:rsidP="009A389C">
      <w:pPr>
        <w:spacing w:after="240" w:line="480" w:lineRule="auto"/>
        <w:outlineLvl w:val="0"/>
        <w:rPr>
          <w:rFonts w:ascii="Times New Roman" w:hAnsi="Times New Roman" w:cs="Times New Roman"/>
          <w:b/>
        </w:rPr>
      </w:pPr>
      <w:r>
        <w:rPr>
          <w:rFonts w:ascii="Times New Roman" w:hAnsi="Times New Roman" w:cs="Times New Roman"/>
        </w:rPr>
        <w:tab/>
        <w:t xml:space="preserve">A secondary analysis was carried out on the spending and mortality data using seemingly unrelated regression </w:t>
      </w:r>
      <w:r w:rsidR="004A1678" w:rsidRPr="00CB1BE3">
        <w:rPr>
          <w:rFonts w:ascii="Times New Roman" w:hAnsi="Times New Roman" w:cs="Times New Roman"/>
        </w:rPr>
        <w:t xml:space="preserve">to estimate a system of equations simultaneously with each equation corresponding to one budget category. </w:t>
      </w:r>
      <w:r>
        <w:rPr>
          <w:rFonts w:ascii="Times New Roman" w:hAnsi="Times New Roman" w:cs="Times New Roman"/>
        </w:rPr>
        <w:t xml:space="preserve">This was performed using the budget categories corresponding to the eight major UNHCR objective groups represented in the </w:t>
      </w:r>
      <w:r>
        <w:rPr>
          <w:rFonts w:ascii="Times New Roman" w:hAnsi="Times New Roman" w:cs="Times New Roman"/>
          <w:i/>
        </w:rPr>
        <w:t>Focus</w:t>
      </w:r>
      <w:r>
        <w:rPr>
          <w:rFonts w:ascii="Times New Roman" w:hAnsi="Times New Roman" w:cs="Times New Roman"/>
        </w:rPr>
        <w:t xml:space="preserve"> data. A ninth objective group, for “headquarters and regional support,” was not included because no spending was allocated to this budget category in the included PPGs. The STATA commands and raw output from this analysis and reproduced below.</w:t>
      </w:r>
    </w:p>
    <w:p w14:paraId="523D8104" w14:textId="6ABAA572" w:rsidR="004A1678" w:rsidRDefault="009A389C" w:rsidP="009A389C">
      <w:pPr>
        <w:spacing w:after="240" w:line="480" w:lineRule="auto"/>
        <w:rPr>
          <w:rFonts w:ascii="Times New Roman" w:hAnsi="Times New Roman" w:cs="Times New Roman"/>
        </w:rPr>
      </w:pPr>
      <w:r>
        <w:rPr>
          <w:rFonts w:ascii="Times New Roman" w:hAnsi="Times New Roman" w:cs="Times New Roman"/>
        </w:rPr>
        <w:tab/>
      </w:r>
      <w:r w:rsidR="004A1678" w:rsidRPr="00CB1BE3">
        <w:rPr>
          <w:rFonts w:ascii="Times New Roman" w:hAnsi="Times New Roman" w:cs="Times New Roman"/>
        </w:rPr>
        <w:t xml:space="preserve">The results using seemingly unrelated regression </w:t>
      </w:r>
      <w:r>
        <w:rPr>
          <w:rFonts w:ascii="Times New Roman" w:hAnsi="Times New Roman" w:cs="Times New Roman"/>
        </w:rPr>
        <w:t>are</w:t>
      </w:r>
      <w:r w:rsidR="004A1678" w:rsidRPr="00CB1BE3">
        <w:rPr>
          <w:rFonts w:ascii="Times New Roman" w:hAnsi="Times New Roman" w:cs="Times New Roman"/>
        </w:rPr>
        <w:t xml:space="preserve"> similar </w:t>
      </w:r>
      <w:r>
        <w:rPr>
          <w:rFonts w:ascii="Times New Roman" w:hAnsi="Times New Roman" w:cs="Times New Roman"/>
        </w:rPr>
        <w:t xml:space="preserve">to the results in the main paper using OLS regression, </w:t>
      </w:r>
      <w:r w:rsidR="004A1678" w:rsidRPr="00CB1BE3">
        <w:rPr>
          <w:rFonts w:ascii="Times New Roman" w:hAnsi="Times New Roman" w:cs="Times New Roman"/>
        </w:rPr>
        <w:t xml:space="preserve">though not identical.  With CMR as the outcome variable, spending for </w:t>
      </w:r>
      <w:r>
        <w:rPr>
          <w:rFonts w:ascii="Times New Roman" w:hAnsi="Times New Roman" w:cs="Times New Roman"/>
        </w:rPr>
        <w:t>“</w:t>
      </w:r>
      <w:r w:rsidR="004A1678" w:rsidRPr="00CB1BE3">
        <w:rPr>
          <w:rFonts w:ascii="Times New Roman" w:hAnsi="Times New Roman" w:cs="Times New Roman"/>
        </w:rPr>
        <w:t>fair protection processes and documentation</w:t>
      </w:r>
      <w:r>
        <w:rPr>
          <w:rFonts w:ascii="Times New Roman" w:hAnsi="Times New Roman" w:cs="Times New Roman"/>
        </w:rPr>
        <w:t>”</w:t>
      </w:r>
      <w:r w:rsidR="004A1678" w:rsidRPr="00CB1BE3">
        <w:rPr>
          <w:rFonts w:ascii="Times New Roman" w:hAnsi="Times New Roman" w:cs="Times New Roman"/>
        </w:rPr>
        <w:t xml:space="preserve"> and for </w:t>
      </w:r>
      <w:r>
        <w:rPr>
          <w:rFonts w:ascii="Times New Roman" w:hAnsi="Times New Roman" w:cs="Times New Roman"/>
        </w:rPr>
        <w:t>“</w:t>
      </w:r>
      <w:r w:rsidR="004A1678" w:rsidRPr="00CB1BE3">
        <w:rPr>
          <w:rFonts w:ascii="Times New Roman" w:hAnsi="Times New Roman" w:cs="Times New Roman"/>
        </w:rPr>
        <w:t>logistics and operational support</w:t>
      </w:r>
      <w:r>
        <w:rPr>
          <w:rFonts w:ascii="Times New Roman" w:hAnsi="Times New Roman" w:cs="Times New Roman"/>
        </w:rPr>
        <w:t>”</w:t>
      </w:r>
      <w:r w:rsidR="004A1678" w:rsidRPr="00CB1BE3">
        <w:rPr>
          <w:rFonts w:ascii="Times New Roman" w:hAnsi="Times New Roman" w:cs="Times New Roman"/>
        </w:rPr>
        <w:t xml:space="preserve"> show statistically significant associations with </w:t>
      </w:r>
      <w:r>
        <w:rPr>
          <w:rFonts w:ascii="Times New Roman" w:hAnsi="Times New Roman" w:cs="Times New Roman"/>
        </w:rPr>
        <w:t>mortality</w:t>
      </w:r>
      <w:r w:rsidR="004A1678" w:rsidRPr="00CB1BE3">
        <w:rPr>
          <w:rFonts w:ascii="Times New Roman" w:hAnsi="Times New Roman" w:cs="Times New Roman"/>
        </w:rPr>
        <w:t xml:space="preserve"> at the </w:t>
      </w:r>
      <w:r w:rsidRPr="009A389C">
        <w:rPr>
          <w:rFonts w:ascii="Symbol" w:hAnsi="Symbol" w:cs="Times New Roman"/>
        </w:rPr>
        <w:t></w:t>
      </w:r>
      <w:r w:rsidR="004A1678" w:rsidRPr="00CB1BE3">
        <w:rPr>
          <w:rFonts w:ascii="Times New Roman" w:hAnsi="Times New Roman" w:cs="Times New Roman"/>
        </w:rPr>
        <w:t xml:space="preserve"> = 0.05 level, but spending for </w:t>
      </w:r>
      <w:r>
        <w:rPr>
          <w:rFonts w:ascii="Times New Roman" w:hAnsi="Times New Roman" w:cs="Times New Roman"/>
        </w:rPr>
        <w:t>“</w:t>
      </w:r>
      <w:r w:rsidR="004A1678" w:rsidRPr="00CB1BE3">
        <w:rPr>
          <w:rFonts w:ascii="Times New Roman" w:hAnsi="Times New Roman" w:cs="Times New Roman"/>
        </w:rPr>
        <w:t>external relations</w:t>
      </w:r>
      <w:r>
        <w:rPr>
          <w:rFonts w:ascii="Times New Roman" w:hAnsi="Times New Roman" w:cs="Times New Roman"/>
        </w:rPr>
        <w:t>”</w:t>
      </w:r>
      <w:r w:rsidR="004A1678" w:rsidRPr="00CB1BE3">
        <w:rPr>
          <w:rFonts w:ascii="Times New Roman" w:hAnsi="Times New Roman" w:cs="Times New Roman"/>
        </w:rPr>
        <w:t xml:space="preserve"> no longer shows a significant association with </w:t>
      </w:r>
      <w:r>
        <w:rPr>
          <w:rFonts w:ascii="Times New Roman" w:hAnsi="Times New Roman" w:cs="Times New Roman"/>
        </w:rPr>
        <w:t>mortality</w:t>
      </w:r>
      <w:r w:rsidR="004A1678" w:rsidRPr="00CB1BE3">
        <w:rPr>
          <w:rFonts w:ascii="Times New Roman" w:hAnsi="Times New Roman" w:cs="Times New Roman"/>
        </w:rPr>
        <w:t xml:space="preserve">.  Using U5MR as the outcome variable, spending on </w:t>
      </w:r>
      <w:r>
        <w:rPr>
          <w:rFonts w:ascii="Times New Roman" w:hAnsi="Times New Roman" w:cs="Times New Roman"/>
        </w:rPr>
        <w:t>“</w:t>
      </w:r>
      <w:r w:rsidR="004A1678" w:rsidRPr="00CB1BE3">
        <w:rPr>
          <w:rFonts w:ascii="Times New Roman" w:hAnsi="Times New Roman" w:cs="Times New Roman"/>
        </w:rPr>
        <w:t>fair protection processes and documentation</w:t>
      </w:r>
      <w:r>
        <w:rPr>
          <w:rFonts w:ascii="Times New Roman" w:hAnsi="Times New Roman" w:cs="Times New Roman"/>
        </w:rPr>
        <w:t>”</w:t>
      </w:r>
      <w:r w:rsidR="004A1678" w:rsidRPr="00CB1BE3">
        <w:rPr>
          <w:rFonts w:ascii="Times New Roman" w:hAnsi="Times New Roman" w:cs="Times New Roman"/>
        </w:rPr>
        <w:t xml:space="preserve"> is a significant predictor of </w:t>
      </w:r>
      <w:r>
        <w:rPr>
          <w:rFonts w:ascii="Times New Roman" w:hAnsi="Times New Roman" w:cs="Times New Roman"/>
        </w:rPr>
        <w:t>child mortality</w:t>
      </w:r>
      <w:r w:rsidR="004A1678" w:rsidRPr="00CB1BE3">
        <w:rPr>
          <w:rFonts w:ascii="Times New Roman" w:hAnsi="Times New Roman" w:cs="Times New Roman"/>
        </w:rPr>
        <w:t xml:space="preserve">, but spending for </w:t>
      </w:r>
      <w:r>
        <w:rPr>
          <w:rFonts w:ascii="Times New Roman" w:hAnsi="Times New Roman" w:cs="Times New Roman"/>
        </w:rPr>
        <w:t>“</w:t>
      </w:r>
      <w:r w:rsidR="004A1678" w:rsidRPr="00CB1BE3">
        <w:rPr>
          <w:rFonts w:ascii="Times New Roman" w:hAnsi="Times New Roman" w:cs="Times New Roman"/>
        </w:rPr>
        <w:t>favorable protection environment</w:t>
      </w:r>
      <w:r>
        <w:rPr>
          <w:rFonts w:ascii="Times New Roman" w:hAnsi="Times New Roman" w:cs="Times New Roman"/>
        </w:rPr>
        <w:t>”</w:t>
      </w:r>
      <w:r w:rsidR="004A1678" w:rsidRPr="00CB1BE3">
        <w:rPr>
          <w:rFonts w:ascii="Times New Roman" w:hAnsi="Times New Roman" w:cs="Times New Roman"/>
        </w:rPr>
        <w:t xml:space="preserve"> and </w:t>
      </w:r>
      <w:r>
        <w:rPr>
          <w:rFonts w:ascii="Times New Roman" w:hAnsi="Times New Roman" w:cs="Times New Roman"/>
        </w:rPr>
        <w:t>“</w:t>
      </w:r>
      <w:r w:rsidR="004A1678" w:rsidRPr="00CB1BE3">
        <w:rPr>
          <w:rFonts w:ascii="Times New Roman" w:hAnsi="Times New Roman" w:cs="Times New Roman"/>
        </w:rPr>
        <w:t>basic needs and essential services</w:t>
      </w:r>
      <w:r>
        <w:rPr>
          <w:rFonts w:ascii="Times New Roman" w:hAnsi="Times New Roman" w:cs="Times New Roman"/>
        </w:rPr>
        <w:t>” no longer show</w:t>
      </w:r>
      <w:r w:rsidR="004A1678" w:rsidRPr="00CB1BE3">
        <w:rPr>
          <w:rFonts w:ascii="Times New Roman" w:hAnsi="Times New Roman" w:cs="Times New Roman"/>
        </w:rPr>
        <w:t xml:space="preserve"> a significant association with U5MR.  Thus, we see that findings </w:t>
      </w:r>
      <w:r>
        <w:rPr>
          <w:rFonts w:ascii="Times New Roman" w:hAnsi="Times New Roman" w:cs="Times New Roman"/>
        </w:rPr>
        <w:t xml:space="preserve">which were </w:t>
      </w:r>
      <w:r w:rsidR="004A1678" w:rsidRPr="00CB1BE3">
        <w:rPr>
          <w:rFonts w:ascii="Times New Roman" w:hAnsi="Times New Roman" w:cs="Times New Roman"/>
        </w:rPr>
        <w:t xml:space="preserve">significant at the 1% level of significance for the series of separate </w:t>
      </w:r>
      <w:r>
        <w:rPr>
          <w:rFonts w:ascii="Times New Roman" w:hAnsi="Times New Roman" w:cs="Times New Roman"/>
        </w:rPr>
        <w:t xml:space="preserve">OLS </w:t>
      </w:r>
      <w:r w:rsidR="004A1678" w:rsidRPr="00CB1BE3">
        <w:rPr>
          <w:rFonts w:ascii="Times New Roman" w:hAnsi="Times New Roman" w:cs="Times New Roman"/>
        </w:rPr>
        <w:t xml:space="preserve">regressions are </w:t>
      </w:r>
      <w:r>
        <w:rPr>
          <w:rFonts w:ascii="Times New Roman" w:hAnsi="Times New Roman" w:cs="Times New Roman"/>
        </w:rPr>
        <w:t>also</w:t>
      </w:r>
      <w:r w:rsidR="004A1678" w:rsidRPr="00CB1BE3">
        <w:rPr>
          <w:rFonts w:ascii="Times New Roman" w:hAnsi="Times New Roman" w:cs="Times New Roman"/>
        </w:rPr>
        <w:t xml:space="preserve"> significant with seemingly unrelated regression</w:t>
      </w:r>
      <w:r>
        <w:rPr>
          <w:rFonts w:ascii="Times New Roman" w:hAnsi="Times New Roman" w:cs="Times New Roman"/>
        </w:rPr>
        <w:t>. C</w:t>
      </w:r>
      <w:r w:rsidR="004A1678" w:rsidRPr="00CB1BE3">
        <w:rPr>
          <w:rFonts w:ascii="Times New Roman" w:hAnsi="Times New Roman" w:cs="Times New Roman"/>
        </w:rPr>
        <w:t xml:space="preserve">orrelations </w:t>
      </w:r>
      <w:r>
        <w:rPr>
          <w:rFonts w:ascii="Times New Roman" w:hAnsi="Times New Roman" w:cs="Times New Roman"/>
        </w:rPr>
        <w:t>with significance between the 1% and 5</w:t>
      </w:r>
      <w:r w:rsidR="004A1678" w:rsidRPr="00CB1BE3">
        <w:rPr>
          <w:rFonts w:ascii="Times New Roman" w:hAnsi="Times New Roman" w:cs="Times New Roman"/>
        </w:rPr>
        <w:t>% level</w:t>
      </w:r>
      <w:r>
        <w:rPr>
          <w:rFonts w:ascii="Times New Roman" w:hAnsi="Times New Roman" w:cs="Times New Roman"/>
        </w:rPr>
        <w:t xml:space="preserve"> </w:t>
      </w:r>
      <w:r w:rsidR="004A1678" w:rsidRPr="00CB1BE3">
        <w:rPr>
          <w:rFonts w:ascii="Times New Roman" w:hAnsi="Times New Roman" w:cs="Times New Roman"/>
        </w:rPr>
        <w:t xml:space="preserve">for the series of </w:t>
      </w:r>
      <w:r>
        <w:rPr>
          <w:rFonts w:ascii="Times New Roman" w:hAnsi="Times New Roman" w:cs="Times New Roman"/>
        </w:rPr>
        <w:t>OLS</w:t>
      </w:r>
      <w:r w:rsidR="004A1678" w:rsidRPr="00CB1BE3">
        <w:rPr>
          <w:rFonts w:ascii="Times New Roman" w:hAnsi="Times New Roman" w:cs="Times New Roman"/>
        </w:rPr>
        <w:t xml:space="preserve"> regressions</w:t>
      </w:r>
      <w:r>
        <w:rPr>
          <w:rFonts w:ascii="Times New Roman" w:hAnsi="Times New Roman" w:cs="Times New Roman"/>
        </w:rPr>
        <w:t>, however,</w:t>
      </w:r>
      <w:r w:rsidR="004A1678" w:rsidRPr="00CB1BE3">
        <w:rPr>
          <w:rFonts w:ascii="Times New Roman" w:hAnsi="Times New Roman" w:cs="Times New Roman"/>
        </w:rPr>
        <w:t xml:space="preserve"> are no</w:t>
      </w:r>
      <w:r>
        <w:rPr>
          <w:rFonts w:ascii="Times New Roman" w:hAnsi="Times New Roman" w:cs="Times New Roman"/>
        </w:rPr>
        <w:t xml:space="preserve">t statistically </w:t>
      </w:r>
      <w:r w:rsidR="004A1678" w:rsidRPr="00CB1BE3">
        <w:rPr>
          <w:rFonts w:ascii="Times New Roman" w:hAnsi="Times New Roman" w:cs="Times New Roman"/>
        </w:rPr>
        <w:t>significant when seemingly unrelated regression is used.</w:t>
      </w:r>
    </w:p>
    <w:p w14:paraId="7E63278B" w14:textId="77777777" w:rsidR="009A389C" w:rsidRDefault="009A389C">
      <w:pPr>
        <w:rPr>
          <w:rFonts w:ascii="Times New Roman" w:hAnsi="Times New Roman" w:cs="Times New Roman"/>
          <w:b/>
        </w:rPr>
      </w:pPr>
    </w:p>
    <w:p w14:paraId="3CF10684" w14:textId="77777777" w:rsidR="009A389C" w:rsidRDefault="009A389C">
      <w:pPr>
        <w:rPr>
          <w:rFonts w:ascii="Times New Roman" w:hAnsi="Times New Roman" w:cs="Times New Roman"/>
          <w:b/>
        </w:rPr>
      </w:pPr>
    </w:p>
    <w:p w14:paraId="0593DC16" w14:textId="77777777" w:rsidR="009A389C" w:rsidRDefault="009A389C">
      <w:pPr>
        <w:rPr>
          <w:rFonts w:ascii="Times New Roman" w:hAnsi="Times New Roman" w:cs="Times New Roman"/>
          <w:b/>
        </w:rPr>
      </w:pPr>
    </w:p>
    <w:p w14:paraId="146EDB36" w14:textId="77777777" w:rsidR="009A389C" w:rsidRDefault="009A389C">
      <w:pPr>
        <w:rPr>
          <w:rFonts w:ascii="Times New Roman" w:hAnsi="Times New Roman" w:cs="Times New Roman"/>
          <w:b/>
        </w:rPr>
      </w:pPr>
    </w:p>
    <w:p w14:paraId="4342D32F" w14:textId="0686D9EE" w:rsidR="004A1678" w:rsidRDefault="009A389C">
      <w:pPr>
        <w:rPr>
          <w:rFonts w:ascii="Times New Roman" w:hAnsi="Times New Roman" w:cs="Times New Roman"/>
          <w:b/>
        </w:rPr>
      </w:pPr>
      <w:r>
        <w:rPr>
          <w:rFonts w:ascii="Times New Roman" w:hAnsi="Times New Roman" w:cs="Times New Roman"/>
          <w:b/>
        </w:rPr>
        <w:t>STATA commands and raw output</w:t>
      </w:r>
    </w:p>
    <w:p w14:paraId="75AC83BE" w14:textId="77777777" w:rsidR="004A1678" w:rsidRPr="00CB1BE3" w:rsidRDefault="004A1678">
      <w:pPr>
        <w:rPr>
          <w:rFonts w:ascii="Times New Roman" w:hAnsi="Times New Roman" w:cs="Times New Roman"/>
          <w:b/>
        </w:rPr>
      </w:pPr>
    </w:p>
    <w:p w14:paraId="62BA751B" w14:textId="7BDC6853" w:rsidR="00AC05ED" w:rsidRDefault="00AC05ED">
      <w:pPr>
        <w:rPr>
          <w:rFonts w:ascii="Times New Roman" w:hAnsi="Times New Roman" w:cs="Times New Roman"/>
          <w:b/>
          <w:i/>
        </w:rPr>
      </w:pPr>
      <w:r w:rsidRPr="009A389C">
        <w:rPr>
          <w:rFonts w:ascii="Times New Roman" w:hAnsi="Times New Roman" w:cs="Times New Roman"/>
          <w:b/>
          <w:i/>
        </w:rPr>
        <w:t>Using CMR as outcome variable, and eight budget categories as independent variables in system of eight regression equations</w:t>
      </w:r>
    </w:p>
    <w:p w14:paraId="4C8598F1" w14:textId="77777777" w:rsidR="009A389C" w:rsidRPr="009A389C" w:rsidRDefault="009A389C">
      <w:pPr>
        <w:rPr>
          <w:rFonts w:ascii="Times New Roman" w:hAnsi="Times New Roman" w:cs="Times New Roman"/>
          <w:b/>
          <w:i/>
        </w:rPr>
      </w:pPr>
    </w:p>
    <w:p w14:paraId="52525AFC" w14:textId="1F322B79"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sureg (ln_cmrratio ln_favprot_pc_ppp ) (ln_cmrratio ln_fairprot_pc_ppp ) (ln_cmrratio ln_security_pc_ppp ) (ln_cmrratio ln_community_pc_ppp ) (ln_cmrratio ln_durable_pc_ppp ) (ln_cmrratio ln_extrel_pc_ppp ) (ln_cmrratio ln_logistics_pc_ppp ) (ln_cmrratio ln_basic_pc_ppp )</w:t>
      </w:r>
    </w:p>
    <w:p w14:paraId="3C795202" w14:textId="77777777" w:rsidR="00AC05ED" w:rsidRPr="009A389C" w:rsidRDefault="00AC05ED" w:rsidP="00AC05ED">
      <w:pPr>
        <w:rPr>
          <w:rFonts w:ascii="Courier" w:hAnsi="Courier" w:cs="Times New Roman"/>
          <w:bCs/>
          <w:sz w:val="18"/>
          <w:szCs w:val="18"/>
        </w:rPr>
      </w:pPr>
    </w:p>
    <w:p w14:paraId="154BF61D" w14:textId="77777777" w:rsidR="00AC05ED" w:rsidRPr="009A389C" w:rsidRDefault="00AC05ED" w:rsidP="004A1678">
      <w:pPr>
        <w:outlineLvl w:val="0"/>
        <w:rPr>
          <w:rFonts w:ascii="Courier" w:hAnsi="Courier" w:cs="Times New Roman"/>
          <w:bCs/>
          <w:sz w:val="18"/>
          <w:szCs w:val="18"/>
        </w:rPr>
      </w:pPr>
      <w:r w:rsidRPr="009A389C">
        <w:rPr>
          <w:rFonts w:ascii="Courier" w:hAnsi="Courier" w:cs="Times New Roman"/>
          <w:bCs/>
          <w:sz w:val="18"/>
          <w:szCs w:val="18"/>
        </w:rPr>
        <w:t>Seemingly unrelated regression</w:t>
      </w:r>
    </w:p>
    <w:p w14:paraId="1E2D72C8"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509917A1"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Equation          Obs  Parms        RMSE    "R-sq"       chi2        P</w:t>
      </w:r>
    </w:p>
    <w:p w14:paraId="1C2C6570"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6E3C4D61"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ln_cmrratio        17      1    .5475011    0.0434       0.75   0.3867</w:t>
      </w:r>
    </w:p>
    <w:p w14:paraId="1A717E52"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2ln_cmrratio       17      1    .5080577    0.1763       5.22   0.0223</w:t>
      </w:r>
    </w:p>
    <w:p w14:paraId="0F07E1D7"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3ln_cmrratio       17      1    .5552399    0.0162       0.09   0.7695</w:t>
      </w:r>
    </w:p>
    <w:p w14:paraId="3C6FA49C"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4ln_cmrratio       17      1    .5586274    0.0041       0.01   0.9069</w:t>
      </w:r>
    </w:p>
    <w:p w14:paraId="220AD4A8"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5ln_cmrratio       17      1    .5523739    0.0263       0.49   0.4829</w:t>
      </w:r>
    </w:p>
    <w:p w14:paraId="148CFEA9"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6ln_cmrratio       17      1    .5407075    0.0670       1.15   0.2838</w:t>
      </w:r>
    </w:p>
    <w:p w14:paraId="001253C5"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7ln_cmrratio       17      1    .5105966    0.1680       5.01   0.0252</w:t>
      </w:r>
    </w:p>
    <w:p w14:paraId="5A244CC9"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8ln_cmrratio       17      1    .5420196    0.0624       0.76   0.3841</w:t>
      </w:r>
    </w:p>
    <w:p w14:paraId="3DA298E8"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21D0D440" w14:textId="77777777" w:rsidR="00AC05ED" w:rsidRPr="009A389C" w:rsidRDefault="00AC05ED" w:rsidP="00AC05ED">
      <w:pPr>
        <w:rPr>
          <w:rFonts w:ascii="Courier" w:hAnsi="Courier" w:cs="Times New Roman"/>
          <w:bCs/>
          <w:sz w:val="18"/>
          <w:szCs w:val="18"/>
        </w:rPr>
      </w:pPr>
    </w:p>
    <w:p w14:paraId="636B582A"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282236F3"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      Coef.   Std. Err.      z    P&gt;|z|     [95% Conf. Interval]</w:t>
      </w:r>
    </w:p>
    <w:p w14:paraId="43A2CD23"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57A48EC8"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ln_cmrratio         |</w:t>
      </w:r>
    </w:p>
    <w:p w14:paraId="5F066B0B"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ln_favprot_pc_ppp |  -.0478335   .0552554    -0.87   0.387    -.1561321     .060465</w:t>
      </w:r>
    </w:p>
    <w:p w14:paraId="14455D6A"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-1.315519   .2266596    -5.80   0.000    -1.759763   -.8712741</w:t>
      </w:r>
    </w:p>
    <w:p w14:paraId="441D6BDF"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37C024FA"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2ln_cmrratio        |</w:t>
      </w:r>
    </w:p>
    <w:p w14:paraId="615751ED"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ln_fairprot_pc_ppp |  -.1290678   .0564897    -2.28   0.022    -.2397856     -.01835</w:t>
      </w:r>
    </w:p>
    <w:p w14:paraId="6DEED965"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-.9939411   .2383442    -4.17   0.000    -1.461087   -.5267952</w:t>
      </w:r>
    </w:p>
    <w:p w14:paraId="7F16F1E5"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2E4AE849"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3ln_cmrratio        |</w:t>
      </w:r>
    </w:p>
    <w:p w14:paraId="0ABE095F"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ln_security_pc_ppp |  -.0182588   .0623199    -0.29   0.770    -.1404036     .103886</w:t>
      </w:r>
    </w:p>
    <w:p w14:paraId="377A349D"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-1.410569   .2699779    -5.22   0.000    -1.939716   -.8814222</w:t>
      </w:r>
    </w:p>
    <w:p w14:paraId="6641403A"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7049DF10"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4ln_cmrratio        |</w:t>
      </w:r>
    </w:p>
    <w:p w14:paraId="5CFF5B87"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ln_community_pc_ppp |  -.0059792   .0511533    -0.12   0.907    -.1062378    .0942795</w:t>
      </w:r>
    </w:p>
    <w:p w14:paraId="4B67277A"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-1.459754   .2207994    -6.61   0.000    -1.892513   -1.026995</w:t>
      </w:r>
    </w:p>
    <w:p w14:paraId="4F626091"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0C1F6E13"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5ln_cmrratio        |</w:t>
      </w:r>
    </w:p>
    <w:p w14:paraId="2CCE88C0"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ln_durable_pc_ppp |   -.046763   .0666529    -0.70   0.483    -.1774003    .0838742</w:t>
      </w:r>
    </w:p>
    <w:p w14:paraId="0A60E9EC"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-1.314326   .2701466    -4.87   0.000    -1.843804   -.7848483</w:t>
      </w:r>
    </w:p>
    <w:p w14:paraId="42FAB0BE"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265B30BB"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6ln_cmrratio        |</w:t>
      </w:r>
    </w:p>
    <w:p w14:paraId="13694942"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ln_extrel_pc_ppp |   -.062499    .058309    -1.07   0.284    -.1767826    .0517846</w:t>
      </w:r>
    </w:p>
    <w:p w14:paraId="492C1BDA"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-1.305111   .2008224    -6.50   0.000    -1.698716   -.9115062</w:t>
      </w:r>
    </w:p>
    <w:p w14:paraId="3C3560D9"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66D138D3"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7ln_cmrratio        |</w:t>
      </w:r>
    </w:p>
    <w:p w14:paraId="037DE83F"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ln_logistics_pc_ppp |  -.1006645   .0449583    -2.24   0.025    -.1887811   -.0125479</w:t>
      </w:r>
    </w:p>
    <w:p w14:paraId="10437A74"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-1.002531   .2403306    -4.17   0.000    -1.473571   -.5314919</w:t>
      </w:r>
    </w:p>
    <w:p w14:paraId="07BD6526"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07DE0E57"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8ln_cmrratio        |</w:t>
      </w:r>
    </w:p>
    <w:p w14:paraId="6CD8E789"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ln_basic_pc_ppp |  -.0417788   .0480012    -0.87   0.384    -.1358595     .052302</w:t>
      </w:r>
    </w:p>
    <w:p w14:paraId="58375AFE"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-1.24687   .2931486    -4.25   0.000    -1.821431   -.6723097</w:t>
      </w:r>
    </w:p>
    <w:p w14:paraId="5EAAB596"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1135CEC5" w14:textId="77777777" w:rsidR="00AC05ED" w:rsidRPr="00CB1BE3" w:rsidRDefault="00AC05ED">
      <w:pPr>
        <w:rPr>
          <w:rFonts w:ascii="Times New Roman" w:hAnsi="Times New Roman" w:cs="Times New Roman"/>
          <w:b/>
        </w:rPr>
      </w:pPr>
    </w:p>
    <w:p w14:paraId="0F887DCC" w14:textId="77777777" w:rsidR="00AC05ED" w:rsidRPr="00CB1BE3" w:rsidRDefault="00AC05ED">
      <w:pPr>
        <w:rPr>
          <w:rFonts w:ascii="Times New Roman" w:hAnsi="Times New Roman" w:cs="Times New Roman"/>
          <w:b/>
        </w:rPr>
      </w:pPr>
    </w:p>
    <w:p w14:paraId="024EC25F" w14:textId="77777777" w:rsidR="00AC05ED" w:rsidRPr="00CB1BE3" w:rsidRDefault="00AC05ED">
      <w:pPr>
        <w:rPr>
          <w:rFonts w:ascii="Times New Roman" w:hAnsi="Times New Roman" w:cs="Times New Roman"/>
          <w:b/>
        </w:rPr>
      </w:pPr>
    </w:p>
    <w:p w14:paraId="22836006" w14:textId="77777777" w:rsidR="00AC05ED" w:rsidRPr="00CB1BE3" w:rsidRDefault="00AC05ED">
      <w:pPr>
        <w:rPr>
          <w:rFonts w:ascii="Times New Roman" w:hAnsi="Times New Roman" w:cs="Times New Roman"/>
          <w:b/>
        </w:rPr>
      </w:pPr>
    </w:p>
    <w:p w14:paraId="250791C9" w14:textId="77777777" w:rsidR="00AC05ED" w:rsidRPr="00CB1BE3" w:rsidRDefault="00AC05ED">
      <w:pPr>
        <w:rPr>
          <w:rFonts w:ascii="Times New Roman" w:hAnsi="Times New Roman" w:cs="Times New Roman"/>
          <w:b/>
        </w:rPr>
      </w:pPr>
    </w:p>
    <w:p w14:paraId="7043B99A" w14:textId="77777777" w:rsidR="00AC05ED" w:rsidRPr="00CB1BE3" w:rsidRDefault="00AC05ED">
      <w:pPr>
        <w:rPr>
          <w:rFonts w:ascii="Times New Roman" w:hAnsi="Times New Roman" w:cs="Times New Roman"/>
          <w:b/>
        </w:rPr>
      </w:pPr>
    </w:p>
    <w:p w14:paraId="136A57BE" w14:textId="519B43D1" w:rsidR="00AC05ED" w:rsidRPr="009A389C" w:rsidRDefault="00FD3359" w:rsidP="00AC05ED">
      <w:pPr>
        <w:rPr>
          <w:rFonts w:ascii="Times New Roman" w:hAnsi="Times New Roman" w:cs="Times New Roman"/>
          <w:b/>
          <w:i/>
        </w:rPr>
      </w:pPr>
      <w:r w:rsidRPr="009A389C">
        <w:rPr>
          <w:rFonts w:ascii="Times New Roman" w:hAnsi="Times New Roman" w:cs="Times New Roman"/>
          <w:b/>
          <w:i/>
        </w:rPr>
        <w:t>Using U5</w:t>
      </w:r>
      <w:r w:rsidR="00AC05ED" w:rsidRPr="009A389C">
        <w:rPr>
          <w:rFonts w:ascii="Times New Roman" w:hAnsi="Times New Roman" w:cs="Times New Roman"/>
          <w:b/>
          <w:i/>
        </w:rPr>
        <w:t>MR as outcome variable, and eight budget categories as independent variables in system of eight regression equations</w:t>
      </w:r>
    </w:p>
    <w:p w14:paraId="71344BEB" w14:textId="77777777" w:rsidR="00AC05ED" w:rsidRPr="00CB1BE3" w:rsidRDefault="00AC05ED">
      <w:pPr>
        <w:rPr>
          <w:rFonts w:ascii="Times New Roman" w:hAnsi="Times New Roman" w:cs="Times New Roman"/>
          <w:b/>
        </w:rPr>
      </w:pPr>
    </w:p>
    <w:p w14:paraId="0FD5CC52" w14:textId="492951FF"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sureg (ln_u5mrratio ln_favprot_pc_ppp ) (ln_u5mrratio ln_fairprot_pc_ppp ) (ln_u5mrratio ln_security_pc_ppp ) (ln_u5mrratio ln_community_pc_ppp ) (ln_u5mrratio ln_durable_pc_ppp ) (ln_u5mrratio ln_extrel_pc_ppp ) (ln_u5mrratio ln_logistics_pc_ppp ) (ln_u5mrratio ln_basic_pc_ppp )</w:t>
      </w:r>
    </w:p>
    <w:p w14:paraId="180C25DB" w14:textId="77777777" w:rsidR="00AC05ED" w:rsidRPr="009A389C" w:rsidRDefault="00AC05ED" w:rsidP="00AC05ED">
      <w:pPr>
        <w:rPr>
          <w:rFonts w:ascii="Courier" w:hAnsi="Courier" w:cs="Times New Roman"/>
          <w:bCs/>
          <w:sz w:val="18"/>
          <w:szCs w:val="18"/>
        </w:rPr>
      </w:pPr>
    </w:p>
    <w:p w14:paraId="251501A6" w14:textId="77777777" w:rsidR="00AC05ED" w:rsidRPr="009A389C" w:rsidRDefault="00AC05ED" w:rsidP="004A1678">
      <w:pPr>
        <w:outlineLvl w:val="0"/>
        <w:rPr>
          <w:rFonts w:ascii="Courier" w:hAnsi="Courier" w:cs="Times New Roman"/>
          <w:bCs/>
          <w:sz w:val="18"/>
          <w:szCs w:val="18"/>
        </w:rPr>
      </w:pPr>
      <w:r w:rsidRPr="009A389C">
        <w:rPr>
          <w:rFonts w:ascii="Courier" w:hAnsi="Courier" w:cs="Times New Roman"/>
          <w:bCs/>
          <w:sz w:val="18"/>
          <w:szCs w:val="18"/>
        </w:rPr>
        <w:t>Seemingly unrelated regression</w:t>
      </w:r>
    </w:p>
    <w:p w14:paraId="31ED14E6"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6F477BFE"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Equation          Obs  Parms        RMSE    "R-sq"       chi2        P</w:t>
      </w:r>
    </w:p>
    <w:p w14:paraId="246CA135"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76713150"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ln_u5mrratio       17      1    .6588017    0.0930       1.28   0.2575</w:t>
      </w:r>
    </w:p>
    <w:p w14:paraId="6F7DB9B4"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2ln_u5mrra~o       17      1    .6235989    0.1873       4.29   0.0384</w:t>
      </w:r>
    </w:p>
    <w:p w14:paraId="454A211B"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3ln_u5mrra~o       17      1    .6887688    0.0086       0.04   0.8333</w:t>
      </w:r>
    </w:p>
    <w:p w14:paraId="47E4E63E"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4ln_u5mrra~o       17      1    .6915141    0.0007       0.00   0.9748</w:t>
      </w:r>
    </w:p>
    <w:p w14:paraId="3361C5C5"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5ln_u5mrra~o       17      1    .6890017    0.0079       0.11   0.7445</w:t>
      </w:r>
    </w:p>
    <w:p w14:paraId="48ECE9F6"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6ln_u5mrra~o       17      1    .6785695    0.0378       0.45   0.5010</w:t>
      </w:r>
    </w:p>
    <w:p w14:paraId="43D86293"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7ln_u5mrra~o       17      1    .6733989    0.0524       0.74   0.3910</w:t>
      </w:r>
    </w:p>
    <w:p w14:paraId="5F4A83EE"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8ln_u5mrra~o       17      1    .6647829    0.0765       1.09   0.2969</w:t>
      </w:r>
    </w:p>
    <w:p w14:paraId="48B43C31"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457611DF" w14:textId="77777777" w:rsidR="00AC05ED" w:rsidRPr="009A389C" w:rsidRDefault="00AC05ED" w:rsidP="00AC05ED">
      <w:pPr>
        <w:rPr>
          <w:rFonts w:ascii="Courier" w:hAnsi="Courier" w:cs="Times New Roman"/>
          <w:bCs/>
          <w:sz w:val="18"/>
          <w:szCs w:val="18"/>
        </w:rPr>
      </w:pPr>
    </w:p>
    <w:p w14:paraId="5D986B55"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3B5A751E"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      Coef.   Std. Err.      z    P&gt;|z|     [95% Conf. Interval]</w:t>
      </w:r>
    </w:p>
    <w:p w14:paraId="184BE68E"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32D88338"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ln_u5mrratio        |</w:t>
      </w:r>
    </w:p>
    <w:p w14:paraId="372EC693"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ln_favprot_pc_ppp |  -.0992949   .0876957    -1.13   0.258    -.2711753    .0725855</w:t>
      </w:r>
    </w:p>
    <w:p w14:paraId="1884B6F8"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-1.109957   .3330114    -3.33   0.001    -1.762648   -.4572668</w:t>
      </w:r>
    </w:p>
    <w:p w14:paraId="366BF919"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674005FA"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2ln_u5mrratio       |</w:t>
      </w:r>
    </w:p>
    <w:p w14:paraId="1E32361E"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ln_fairprot_pc_ppp |  -.1588004   .0767105    -2.07   0.038    -.3091502   -.0084506</w:t>
      </w:r>
    </w:p>
    <w:p w14:paraId="0752DEC4"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-.8538456   .3160019    -2.70   0.007    -1.473198   -.2344933</w:t>
      </w:r>
    </w:p>
    <w:p w14:paraId="1138ABB8"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46207342"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3ln_u5mrratio       |</w:t>
      </w:r>
    </w:p>
    <w:p w14:paraId="65F27468"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ln_security_pc_ppp |  -.0138537   .0658192    -0.21   0.833    -.1428569    .1151496</w:t>
      </w:r>
    </w:p>
    <w:p w14:paraId="216893EC"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-1.399463   .2980721    -4.70   0.000    -1.983674   -.8152526</w:t>
      </w:r>
    </w:p>
    <w:p w14:paraId="43FF8BEB"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3DA77F47"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4ln_u5mrratio       |</w:t>
      </w:r>
    </w:p>
    <w:p w14:paraId="5DCA9684"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ln_community_pc_ppp |  -.0016041   .0507312    -0.03   0.975    -.1010354    .0978272</w:t>
      </w:r>
    </w:p>
    <w:p w14:paraId="3FFD29FC"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-1.44699   .2409867    -6.00   0.000    -1.919316   -.9746652</w:t>
      </w:r>
    </w:p>
    <w:p w14:paraId="6E406ED4"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38E8A364"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5ln_u5mrratio       |</w:t>
      </w:r>
    </w:p>
    <w:p w14:paraId="4FD10E37"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ln_durable_pc_ppp |  -.0220902   .0677818    -0.33   0.744    -.1549401    .1107596</w:t>
      </w:r>
    </w:p>
    <w:p w14:paraId="221B3A7C"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-1.374044   .2912272    -4.72   0.000    -1.944839   -.8032491</w:t>
      </w:r>
    </w:p>
    <w:p w14:paraId="099F6D1C"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44297847"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6ln_u5mrratio       |</w:t>
      </w:r>
    </w:p>
    <w:p w14:paraId="05F822F9"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ln_extrel_pc_ppp |  -.0454544   .0675445    -0.67   0.501    -.1778391    .0869304</w:t>
      </w:r>
    </w:p>
    <w:p w14:paraId="1B626282"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-1.324967   .2399889    -5.52   0.000    -1.795337   -.8545978</w:t>
      </w:r>
    </w:p>
    <w:p w14:paraId="2869C39C"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7C81FBDA"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7ln_u5mrratio       |</w:t>
      </w:r>
    </w:p>
    <w:p w14:paraId="21A7E5A4"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ln_logistics_pc_ppp |  -.0449618   .0524098    -0.86   0.391    -.1476831    .0577594</w:t>
      </w:r>
    </w:p>
    <w:p w14:paraId="41217967"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-1.239059   .2900547    -4.27   0.000    -1.807556   -.6705623</w:t>
      </w:r>
    </w:p>
    <w:p w14:paraId="3C3B406E"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482397E6"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8ln_u5mrratio       |</w:t>
      </w:r>
    </w:p>
    <w:p w14:paraId="18872787"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ln_basic_pc_ppp |  -.0613593   .0588277    -1.04   0.297    -.1766594    .0539409</w:t>
      </w:r>
    </w:p>
    <w:p w14:paraId="140418C6"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 xml:space="preserve">              _cons |  -1.109349   .3589375    -3.09   0.002    -1.812853   -.4058443</w:t>
      </w:r>
    </w:p>
    <w:p w14:paraId="7C371647" w14:textId="77777777" w:rsidR="00AC05ED" w:rsidRPr="009A389C" w:rsidRDefault="00AC05ED" w:rsidP="00AC05ED">
      <w:pPr>
        <w:rPr>
          <w:rFonts w:ascii="Courier" w:hAnsi="Courier" w:cs="Times New Roman"/>
          <w:bCs/>
          <w:sz w:val="18"/>
          <w:szCs w:val="18"/>
        </w:rPr>
      </w:pPr>
      <w:r w:rsidRPr="009A389C">
        <w:rPr>
          <w:rFonts w:ascii="Courier" w:hAnsi="Courier" w:cs="Times New Roman"/>
          <w:bCs/>
          <w:sz w:val="18"/>
          <w:szCs w:val="18"/>
        </w:rPr>
        <w:t>-------------------------------------------------------------------------------------</w:t>
      </w:r>
    </w:p>
    <w:p w14:paraId="685EA464" w14:textId="77777777" w:rsidR="00AC05ED" w:rsidRPr="009A389C" w:rsidRDefault="00AC05ED" w:rsidP="00AC05ED">
      <w:pPr>
        <w:rPr>
          <w:rFonts w:ascii="Courier" w:hAnsi="Courier" w:cs="Times New Roman"/>
          <w:bCs/>
          <w:sz w:val="18"/>
          <w:szCs w:val="18"/>
        </w:rPr>
      </w:pPr>
    </w:p>
    <w:p w14:paraId="71B4D0CA" w14:textId="3C494498" w:rsidR="00AC05ED" w:rsidRPr="009A389C" w:rsidRDefault="00AC05ED">
      <w:pPr>
        <w:rPr>
          <w:rFonts w:ascii="Courier" w:hAnsi="Courier" w:cs="Times New Roman"/>
          <w:sz w:val="18"/>
          <w:szCs w:val="18"/>
        </w:rPr>
      </w:pPr>
      <w:r w:rsidRPr="009A389C">
        <w:rPr>
          <w:rFonts w:ascii="Courier" w:hAnsi="Courier" w:cs="Times New Roman"/>
          <w:bCs/>
          <w:sz w:val="18"/>
          <w:szCs w:val="18"/>
        </w:rPr>
        <w:t>.</w:t>
      </w:r>
    </w:p>
    <w:sectPr w:rsidR="00AC05ED" w:rsidRPr="009A389C" w:rsidSect="005176D9">
      <w:headerReference w:type="even" r:id="rId36"/>
      <w:head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39A3BA" w14:textId="77777777" w:rsidR="00A97BEA" w:rsidRDefault="00A97BEA" w:rsidP="004A1678">
      <w:r>
        <w:separator/>
      </w:r>
    </w:p>
  </w:endnote>
  <w:endnote w:type="continuationSeparator" w:id="0">
    <w:p w14:paraId="52C91BF7" w14:textId="77777777" w:rsidR="00A97BEA" w:rsidRDefault="00A97BEA" w:rsidP="004A1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4E78BC" w14:textId="77777777" w:rsidR="00A97BEA" w:rsidRDefault="00A97BEA" w:rsidP="004A1678">
      <w:r>
        <w:separator/>
      </w:r>
    </w:p>
  </w:footnote>
  <w:footnote w:type="continuationSeparator" w:id="0">
    <w:p w14:paraId="3B292365" w14:textId="77777777" w:rsidR="00A97BEA" w:rsidRDefault="00A97BEA" w:rsidP="004A16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4F507" w14:textId="77777777" w:rsidR="004A1678" w:rsidRDefault="004A1678" w:rsidP="00D034E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8D8F07" w14:textId="77777777" w:rsidR="004A1678" w:rsidRDefault="004A1678" w:rsidP="004A167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528534" w14:textId="772CF0F4" w:rsidR="004A1678" w:rsidRPr="004A1678" w:rsidRDefault="004A1678" w:rsidP="004A1678">
    <w:pPr>
      <w:pStyle w:val="Header"/>
      <w:framePr w:w="1880" w:wrap="none" w:vAnchor="text" w:hAnchor="page" w:x="8902" w:y="1"/>
      <w:jc w:val="right"/>
      <w:rPr>
        <w:rStyle w:val="PageNumber"/>
        <w:rFonts w:ascii="Times New Roman" w:hAnsi="Times New Roman" w:cs="Times New Roman"/>
      </w:rPr>
    </w:pPr>
    <w:r>
      <w:rPr>
        <w:rStyle w:val="PageNumber"/>
        <w:rFonts w:ascii="Times New Roman" w:hAnsi="Times New Roman" w:cs="Times New Roman"/>
      </w:rPr>
      <w:t xml:space="preserve">Supplement </w:t>
    </w:r>
    <w:r w:rsidRPr="004A1678">
      <w:rPr>
        <w:rStyle w:val="PageNumber"/>
        <w:rFonts w:ascii="Times New Roman" w:hAnsi="Times New Roman" w:cs="Times New Roman"/>
      </w:rPr>
      <w:fldChar w:fldCharType="begin"/>
    </w:r>
    <w:r w:rsidRPr="004A1678">
      <w:rPr>
        <w:rStyle w:val="PageNumber"/>
        <w:rFonts w:ascii="Times New Roman" w:hAnsi="Times New Roman" w:cs="Times New Roman"/>
      </w:rPr>
      <w:instrText xml:space="preserve">PAGE  </w:instrText>
    </w:r>
    <w:r w:rsidRPr="004A1678">
      <w:rPr>
        <w:rStyle w:val="PageNumber"/>
        <w:rFonts w:ascii="Times New Roman" w:hAnsi="Times New Roman" w:cs="Times New Roman"/>
      </w:rPr>
      <w:fldChar w:fldCharType="separate"/>
    </w:r>
    <w:r w:rsidR="00A97BEA">
      <w:rPr>
        <w:rStyle w:val="PageNumber"/>
        <w:rFonts w:ascii="Times New Roman" w:hAnsi="Times New Roman" w:cs="Times New Roman"/>
        <w:noProof/>
      </w:rPr>
      <w:t>1</w:t>
    </w:r>
    <w:r w:rsidRPr="004A1678">
      <w:rPr>
        <w:rStyle w:val="PageNumber"/>
        <w:rFonts w:ascii="Times New Roman" w:hAnsi="Times New Roman" w:cs="Times New Roman"/>
      </w:rPr>
      <w:fldChar w:fldCharType="end"/>
    </w:r>
  </w:p>
  <w:p w14:paraId="09ED368D" w14:textId="5682E8E1" w:rsidR="004A1678" w:rsidRDefault="004A1678" w:rsidP="004A1678">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AAC"/>
    <w:rsid w:val="003412DE"/>
    <w:rsid w:val="00405A2A"/>
    <w:rsid w:val="004A1678"/>
    <w:rsid w:val="005176D9"/>
    <w:rsid w:val="009A389C"/>
    <w:rsid w:val="00A92E8E"/>
    <w:rsid w:val="00A97BEA"/>
    <w:rsid w:val="00AC05ED"/>
    <w:rsid w:val="00B87AAC"/>
    <w:rsid w:val="00CB1BE3"/>
    <w:rsid w:val="00E24C6C"/>
    <w:rsid w:val="00E41C83"/>
    <w:rsid w:val="00EF7D69"/>
    <w:rsid w:val="00FD3359"/>
    <w:rsid w:val="00FF2D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143AF7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678"/>
    <w:pPr>
      <w:tabs>
        <w:tab w:val="center" w:pos="4680"/>
        <w:tab w:val="right" w:pos="9360"/>
      </w:tabs>
    </w:pPr>
  </w:style>
  <w:style w:type="character" w:customStyle="1" w:styleId="HeaderChar">
    <w:name w:val="Header Char"/>
    <w:basedOn w:val="DefaultParagraphFont"/>
    <w:link w:val="Header"/>
    <w:uiPriority w:val="99"/>
    <w:rsid w:val="004A1678"/>
  </w:style>
  <w:style w:type="character" w:styleId="PageNumber">
    <w:name w:val="page number"/>
    <w:basedOn w:val="DefaultParagraphFont"/>
    <w:uiPriority w:val="99"/>
    <w:semiHidden/>
    <w:unhideWhenUsed/>
    <w:rsid w:val="004A1678"/>
  </w:style>
  <w:style w:type="paragraph" w:styleId="Footer">
    <w:name w:val="footer"/>
    <w:basedOn w:val="Normal"/>
    <w:link w:val="FooterChar"/>
    <w:uiPriority w:val="99"/>
    <w:unhideWhenUsed/>
    <w:rsid w:val="004A1678"/>
    <w:pPr>
      <w:tabs>
        <w:tab w:val="center" w:pos="4680"/>
        <w:tab w:val="right" w:pos="9360"/>
      </w:tabs>
    </w:pPr>
  </w:style>
  <w:style w:type="character" w:customStyle="1" w:styleId="FooterChar">
    <w:name w:val="Footer Char"/>
    <w:basedOn w:val="DefaultParagraphFont"/>
    <w:link w:val="Footer"/>
    <w:uiPriority w:val="99"/>
    <w:rsid w:val="004A1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chart" Target="charts/chart15.xml"/><Relationship Id="rId21" Type="http://schemas.openxmlformats.org/officeDocument/2006/relationships/chart" Target="charts/chart16.xml"/><Relationship Id="rId22" Type="http://schemas.openxmlformats.org/officeDocument/2006/relationships/chart" Target="charts/chart17.xml"/><Relationship Id="rId23" Type="http://schemas.openxmlformats.org/officeDocument/2006/relationships/chart" Target="charts/chart18.xml"/><Relationship Id="rId24" Type="http://schemas.openxmlformats.org/officeDocument/2006/relationships/chart" Target="charts/chart19.xml"/><Relationship Id="rId25" Type="http://schemas.openxmlformats.org/officeDocument/2006/relationships/chart" Target="charts/chart20.xml"/><Relationship Id="rId26" Type="http://schemas.openxmlformats.org/officeDocument/2006/relationships/chart" Target="charts/chart21.xml"/><Relationship Id="rId27" Type="http://schemas.openxmlformats.org/officeDocument/2006/relationships/chart" Target="charts/chart22.xml"/><Relationship Id="rId28" Type="http://schemas.openxmlformats.org/officeDocument/2006/relationships/chart" Target="charts/chart23.xml"/><Relationship Id="rId29" Type="http://schemas.openxmlformats.org/officeDocument/2006/relationships/chart" Target="charts/chart24.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30" Type="http://schemas.openxmlformats.org/officeDocument/2006/relationships/chart" Target="charts/chart25.xml"/><Relationship Id="rId31" Type="http://schemas.openxmlformats.org/officeDocument/2006/relationships/chart" Target="charts/chart26.xml"/><Relationship Id="rId32" Type="http://schemas.openxmlformats.org/officeDocument/2006/relationships/chart" Target="charts/chart27.xml"/><Relationship Id="rId9" Type="http://schemas.openxmlformats.org/officeDocument/2006/relationships/chart" Target="charts/chart4.xml"/><Relationship Id="rId6" Type="http://schemas.openxmlformats.org/officeDocument/2006/relationships/chart" Target="charts/chart1.xml"/><Relationship Id="rId7" Type="http://schemas.openxmlformats.org/officeDocument/2006/relationships/chart" Target="charts/chart2.xml"/><Relationship Id="rId8" Type="http://schemas.openxmlformats.org/officeDocument/2006/relationships/chart" Target="charts/chart3.xml"/><Relationship Id="rId33" Type="http://schemas.openxmlformats.org/officeDocument/2006/relationships/chart" Target="charts/chart28.xml"/><Relationship Id="rId34" Type="http://schemas.openxmlformats.org/officeDocument/2006/relationships/chart" Target="charts/chart29.xml"/><Relationship Id="rId35" Type="http://schemas.openxmlformats.org/officeDocument/2006/relationships/chart" Target="charts/chart30.xml"/><Relationship Id="rId36" Type="http://schemas.openxmlformats.org/officeDocument/2006/relationships/header" Target="header1.xml"/><Relationship Id="rId10" Type="http://schemas.openxmlformats.org/officeDocument/2006/relationships/chart" Target="charts/chart5.xml"/><Relationship Id="rId11" Type="http://schemas.openxmlformats.org/officeDocument/2006/relationships/chart" Target="charts/chart6.xml"/><Relationship Id="rId12" Type="http://schemas.openxmlformats.org/officeDocument/2006/relationships/chart" Target="charts/chart7.xml"/><Relationship Id="rId13" Type="http://schemas.openxmlformats.org/officeDocument/2006/relationships/chart" Target="charts/chart8.xml"/><Relationship Id="rId14" Type="http://schemas.openxmlformats.org/officeDocument/2006/relationships/chart" Target="charts/chart9.xml"/><Relationship Id="rId15" Type="http://schemas.openxmlformats.org/officeDocument/2006/relationships/chart" Target="charts/chart10.xml"/><Relationship Id="rId16" Type="http://schemas.openxmlformats.org/officeDocument/2006/relationships/chart" Target="charts/chart11.xml"/><Relationship Id="rId17" Type="http://schemas.openxmlformats.org/officeDocument/2006/relationships/chart" Target="charts/chart12.xml"/><Relationship Id="rId18" Type="http://schemas.openxmlformats.org/officeDocument/2006/relationships/chart" Target="charts/chart13.xml"/><Relationship Id="rId19" Type="http://schemas.openxmlformats.org/officeDocument/2006/relationships/chart" Target="charts/chart14.xml"/><Relationship Id="rId37" Type="http://schemas.openxmlformats.org/officeDocument/2006/relationships/header" Target="header2.xml"/><Relationship Id="rId38" Type="http://schemas.openxmlformats.org/officeDocument/2006/relationships/fontTable" Target="fontTable.xml"/><Relationship Id="rId3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localhost/Users/timtan/Desktop/CAH%20TABLES.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file://localhost/Users/timtan/Desktop/CAH%20TABLES.xlsx" TargetMode="External"/></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oleObject" Target="file://localhost/Users/timtan/Desktop/CAH%20TABLES.xlsx" TargetMode="External"/></Relationships>
</file>

<file path=word/charts/_rels/chart4.xml.rels><?xml version="1.0" encoding="UTF-8" standalone="yes"?>
<Relationships xmlns="http://schemas.openxmlformats.org/package/2006/relationships"><Relationship Id="rId1" Type="http://schemas.microsoft.com/office/2011/relationships/chartStyle" Target="style4.xml"/><Relationship Id="rId2" Type="http://schemas.microsoft.com/office/2011/relationships/chartColorStyle" Target="colors4.xml"/><Relationship Id="rId3" Type="http://schemas.openxmlformats.org/officeDocument/2006/relationships/oleObject" Target="file://localhost/Users/timtan/Desktop/CAH%20TABLES.xlsx" TargetMode="External"/></Relationships>
</file>

<file path=word/charts/_rels/chart5.xml.rels><?xml version="1.0" encoding="UTF-8" standalone="yes"?>
<Relationships xmlns="http://schemas.openxmlformats.org/package/2006/relationships"><Relationship Id="rId1" Type="http://schemas.microsoft.com/office/2011/relationships/chartStyle" Target="style5.xml"/><Relationship Id="rId2" Type="http://schemas.microsoft.com/office/2011/relationships/chartColorStyle" Target="colors5.xml"/><Relationship Id="rId3" Type="http://schemas.openxmlformats.org/officeDocument/2006/relationships/oleObject" Target="file://localhost/Users/timtan/Desktop/CAH%20TABLES.xlsx" TargetMode="External"/></Relationships>
</file>

<file path=word/charts/_rels/chart6.xml.rels><?xml version="1.0" encoding="UTF-8" standalone="yes"?>
<Relationships xmlns="http://schemas.openxmlformats.org/package/2006/relationships"><Relationship Id="rId1" Type="http://schemas.microsoft.com/office/2011/relationships/chartStyle" Target="style6.xml"/><Relationship Id="rId2" Type="http://schemas.microsoft.com/office/2011/relationships/chartColorStyle" Target="colors6.xml"/><Relationship Id="rId3" Type="http://schemas.openxmlformats.org/officeDocument/2006/relationships/oleObject" Target="file://localhost/Users/timtan/Desktop/CAH%20TABLES.xlsx" TargetMode="External"/></Relationships>
</file>

<file path=word/charts/_rels/chart7.xml.rels><?xml version="1.0" encoding="UTF-8" standalone="yes"?>
<Relationships xmlns="http://schemas.openxmlformats.org/package/2006/relationships"><Relationship Id="rId1" Type="http://schemas.microsoft.com/office/2011/relationships/chartStyle" Target="style7.xml"/><Relationship Id="rId2" Type="http://schemas.microsoft.com/office/2011/relationships/chartColorStyle" Target="colors7.xml"/><Relationship Id="rId3" Type="http://schemas.openxmlformats.org/officeDocument/2006/relationships/oleObject" Target="file://localhost/Users/timtan/Desktop/CAH%20TABLES.xlsx" TargetMode="External"/></Relationships>
</file>

<file path=word/charts/_rels/chart8.xml.rels><?xml version="1.0" encoding="UTF-8" standalone="yes"?>
<Relationships xmlns="http://schemas.openxmlformats.org/package/2006/relationships"><Relationship Id="rId1" Type="http://schemas.microsoft.com/office/2011/relationships/chartStyle" Target="style8.xml"/><Relationship Id="rId2" Type="http://schemas.microsoft.com/office/2011/relationships/chartColorStyle" Target="colors8.xml"/><Relationship Id="rId3" Type="http://schemas.openxmlformats.org/officeDocument/2006/relationships/oleObject" Target="file://localhost/Users/timtan/Desktop/CAH%20TABLES.xlsx" TargetMode="External"/></Relationships>
</file>

<file path=word/charts/_rels/chart9.xml.rels><?xml version="1.0" encoding="UTF-8" standalone="yes"?>
<Relationships xmlns="http://schemas.openxmlformats.org/package/2006/relationships"><Relationship Id="rId1" Type="http://schemas.microsoft.com/office/2011/relationships/chartStyle" Target="style9.xml"/><Relationship Id="rId2" Type="http://schemas.microsoft.com/office/2011/relationships/chartColorStyle" Target="colors9.xml"/><Relationship Id="rId3" Type="http://schemas.openxmlformats.org/officeDocument/2006/relationships/oleObject" Target="file://localhost/Users/timtan/Desktop/CAH%20TABLES.xlsx" TargetMode="External"/></Relationships>
</file>

<file path=word/charts/_rels/chart10.xml.rels><?xml version="1.0" encoding="UTF-8" standalone="yes"?>
<Relationships xmlns="http://schemas.openxmlformats.org/package/2006/relationships"><Relationship Id="rId1" Type="http://schemas.microsoft.com/office/2011/relationships/chartStyle" Target="style10.xml"/><Relationship Id="rId2" Type="http://schemas.microsoft.com/office/2011/relationships/chartColorStyle" Target="colors10.xml"/><Relationship Id="rId3" Type="http://schemas.openxmlformats.org/officeDocument/2006/relationships/oleObject" Target="file://localhost/Users/timtan/Desktop/CAH%20TABLES.xlsx" TargetMode="External"/></Relationships>
</file>

<file path=word/charts/_rels/chart11.xml.rels><?xml version="1.0" encoding="UTF-8" standalone="yes"?>
<Relationships xmlns="http://schemas.openxmlformats.org/package/2006/relationships"><Relationship Id="rId1" Type="http://schemas.microsoft.com/office/2011/relationships/chartStyle" Target="style11.xml"/><Relationship Id="rId2" Type="http://schemas.microsoft.com/office/2011/relationships/chartColorStyle" Target="colors11.xml"/><Relationship Id="rId3" Type="http://schemas.openxmlformats.org/officeDocument/2006/relationships/oleObject" Target="file://localhost/Users/timtan/Desktop/CAH%20TABLES.xlsx" TargetMode="External"/></Relationships>
</file>

<file path=word/charts/_rels/chart12.xml.rels><?xml version="1.0" encoding="UTF-8" standalone="yes"?>
<Relationships xmlns="http://schemas.openxmlformats.org/package/2006/relationships"><Relationship Id="rId1" Type="http://schemas.microsoft.com/office/2011/relationships/chartStyle" Target="style12.xml"/><Relationship Id="rId2" Type="http://schemas.microsoft.com/office/2011/relationships/chartColorStyle" Target="colors12.xml"/><Relationship Id="rId3" Type="http://schemas.openxmlformats.org/officeDocument/2006/relationships/oleObject" Target="file://localhost/Users/timtan/Desktop/CAH%20TABLES.xlsx" TargetMode="External"/></Relationships>
</file>

<file path=word/charts/_rels/chart13.xml.rels><?xml version="1.0" encoding="UTF-8" standalone="yes"?>
<Relationships xmlns="http://schemas.openxmlformats.org/package/2006/relationships"><Relationship Id="rId1" Type="http://schemas.microsoft.com/office/2011/relationships/chartStyle" Target="style13.xml"/><Relationship Id="rId2" Type="http://schemas.microsoft.com/office/2011/relationships/chartColorStyle" Target="colors13.xml"/><Relationship Id="rId3" Type="http://schemas.openxmlformats.org/officeDocument/2006/relationships/oleObject" Target="file://localhost/Users/timtan/Desktop/CAH%20TABLES.xlsx" TargetMode="External"/></Relationships>
</file>

<file path=word/charts/_rels/chart14.xml.rels><?xml version="1.0" encoding="UTF-8" standalone="yes"?>
<Relationships xmlns="http://schemas.openxmlformats.org/package/2006/relationships"><Relationship Id="rId1" Type="http://schemas.microsoft.com/office/2011/relationships/chartStyle" Target="style14.xml"/><Relationship Id="rId2" Type="http://schemas.microsoft.com/office/2011/relationships/chartColorStyle" Target="colors14.xml"/><Relationship Id="rId3" Type="http://schemas.openxmlformats.org/officeDocument/2006/relationships/oleObject" Target="file://localhost/Users/timtan/Desktop/CAH%20TABLES.xlsx" TargetMode="External"/></Relationships>
</file>

<file path=word/charts/_rels/chart15.xml.rels><?xml version="1.0" encoding="UTF-8" standalone="yes"?>
<Relationships xmlns="http://schemas.openxmlformats.org/package/2006/relationships"><Relationship Id="rId1" Type="http://schemas.microsoft.com/office/2011/relationships/chartStyle" Target="style15.xml"/><Relationship Id="rId2" Type="http://schemas.microsoft.com/office/2011/relationships/chartColorStyle" Target="colors15.xml"/><Relationship Id="rId3" Type="http://schemas.openxmlformats.org/officeDocument/2006/relationships/oleObject" Target="file://localhost/Users/timtan/Desktop/CAH%20TABLES.xlsx" TargetMode="External"/></Relationships>
</file>

<file path=word/charts/_rels/chart16.xml.rels><?xml version="1.0" encoding="UTF-8" standalone="yes"?>
<Relationships xmlns="http://schemas.openxmlformats.org/package/2006/relationships"><Relationship Id="rId1" Type="http://schemas.microsoft.com/office/2011/relationships/chartStyle" Target="style16.xml"/><Relationship Id="rId2" Type="http://schemas.microsoft.com/office/2011/relationships/chartColorStyle" Target="colors16.xml"/><Relationship Id="rId3" Type="http://schemas.openxmlformats.org/officeDocument/2006/relationships/oleObject" Target="file://localhost/Users/timtan/Desktop/CAH%20TABLES.xlsx" TargetMode="External"/></Relationships>
</file>

<file path=word/charts/_rels/chart17.xml.rels><?xml version="1.0" encoding="UTF-8" standalone="yes"?>
<Relationships xmlns="http://schemas.openxmlformats.org/package/2006/relationships"><Relationship Id="rId1" Type="http://schemas.microsoft.com/office/2011/relationships/chartStyle" Target="style17.xml"/><Relationship Id="rId2" Type="http://schemas.microsoft.com/office/2011/relationships/chartColorStyle" Target="colors17.xml"/><Relationship Id="rId3" Type="http://schemas.openxmlformats.org/officeDocument/2006/relationships/oleObject" Target="file://localhost/Users/timtan/Desktop/CAH%20TABLES.xlsx" TargetMode="External"/></Relationships>
</file>

<file path=word/charts/_rels/chart18.xml.rels><?xml version="1.0" encoding="UTF-8" standalone="yes"?>
<Relationships xmlns="http://schemas.openxmlformats.org/package/2006/relationships"><Relationship Id="rId1" Type="http://schemas.microsoft.com/office/2011/relationships/chartStyle" Target="style18.xml"/><Relationship Id="rId2" Type="http://schemas.microsoft.com/office/2011/relationships/chartColorStyle" Target="colors18.xml"/><Relationship Id="rId3" Type="http://schemas.openxmlformats.org/officeDocument/2006/relationships/oleObject" Target="file://localhost/Users/timtan/Desktop/CAH%20TABLES.xlsx" TargetMode="External"/></Relationships>
</file>

<file path=word/charts/_rels/chart19.xml.rels><?xml version="1.0" encoding="UTF-8" standalone="yes"?>
<Relationships xmlns="http://schemas.openxmlformats.org/package/2006/relationships"><Relationship Id="rId1" Type="http://schemas.microsoft.com/office/2011/relationships/chartStyle" Target="style19.xml"/><Relationship Id="rId2" Type="http://schemas.microsoft.com/office/2011/relationships/chartColorStyle" Target="colors19.xml"/><Relationship Id="rId3" Type="http://schemas.openxmlformats.org/officeDocument/2006/relationships/oleObject" Target="file://localhost/Users/timtan/Desktop/CAH%20TABLES.xlsx" TargetMode="External"/></Relationships>
</file>

<file path=word/charts/_rels/chart20.xml.rels><?xml version="1.0" encoding="UTF-8" standalone="yes"?>
<Relationships xmlns="http://schemas.openxmlformats.org/package/2006/relationships"><Relationship Id="rId1" Type="http://schemas.microsoft.com/office/2011/relationships/chartStyle" Target="style20.xml"/><Relationship Id="rId2" Type="http://schemas.microsoft.com/office/2011/relationships/chartColorStyle" Target="colors20.xml"/><Relationship Id="rId3" Type="http://schemas.openxmlformats.org/officeDocument/2006/relationships/oleObject" Target="file://localhost/Users/timtan/Desktop/CAH%20TABLES.xlsx" TargetMode="External"/></Relationships>
</file>

<file path=word/charts/_rels/chart21.xml.rels><?xml version="1.0" encoding="UTF-8" standalone="yes"?>
<Relationships xmlns="http://schemas.openxmlformats.org/package/2006/relationships"><Relationship Id="rId1" Type="http://schemas.microsoft.com/office/2011/relationships/chartStyle" Target="style21.xml"/><Relationship Id="rId2" Type="http://schemas.microsoft.com/office/2011/relationships/chartColorStyle" Target="colors21.xml"/><Relationship Id="rId3" Type="http://schemas.openxmlformats.org/officeDocument/2006/relationships/oleObject" Target="file://localhost/Users/timtan/Desktop/CAH%20TABLES.xlsx" TargetMode="External"/></Relationships>
</file>

<file path=word/charts/_rels/chart22.xml.rels><?xml version="1.0" encoding="UTF-8" standalone="yes"?>
<Relationships xmlns="http://schemas.openxmlformats.org/package/2006/relationships"><Relationship Id="rId1" Type="http://schemas.microsoft.com/office/2011/relationships/chartStyle" Target="style22.xml"/><Relationship Id="rId2" Type="http://schemas.microsoft.com/office/2011/relationships/chartColorStyle" Target="colors22.xml"/><Relationship Id="rId3" Type="http://schemas.openxmlformats.org/officeDocument/2006/relationships/oleObject" Target="file://localhost/Users/timtan/Desktop/CAH%20TABLES.xlsx" TargetMode="External"/></Relationships>
</file>

<file path=word/charts/_rels/chart23.xml.rels><?xml version="1.0" encoding="UTF-8" standalone="yes"?>
<Relationships xmlns="http://schemas.openxmlformats.org/package/2006/relationships"><Relationship Id="rId1" Type="http://schemas.microsoft.com/office/2011/relationships/chartStyle" Target="style23.xml"/><Relationship Id="rId2" Type="http://schemas.microsoft.com/office/2011/relationships/chartColorStyle" Target="colors23.xml"/><Relationship Id="rId3" Type="http://schemas.openxmlformats.org/officeDocument/2006/relationships/oleObject" Target="file://localhost/Users/timtan/Desktop/CAH%20TABLES.xlsx" TargetMode="External"/></Relationships>
</file>

<file path=word/charts/_rels/chart24.xml.rels><?xml version="1.0" encoding="UTF-8" standalone="yes"?>
<Relationships xmlns="http://schemas.openxmlformats.org/package/2006/relationships"><Relationship Id="rId1" Type="http://schemas.microsoft.com/office/2011/relationships/chartStyle" Target="style24.xml"/><Relationship Id="rId2" Type="http://schemas.microsoft.com/office/2011/relationships/chartColorStyle" Target="colors24.xml"/><Relationship Id="rId3" Type="http://schemas.openxmlformats.org/officeDocument/2006/relationships/oleObject" Target="file://localhost/Users/timtan/Desktop/CAH%20TABLES.xlsx" TargetMode="External"/></Relationships>
</file>

<file path=word/charts/_rels/chart25.xml.rels><?xml version="1.0" encoding="UTF-8" standalone="yes"?>
<Relationships xmlns="http://schemas.openxmlformats.org/package/2006/relationships"><Relationship Id="rId1" Type="http://schemas.microsoft.com/office/2011/relationships/chartStyle" Target="style25.xml"/><Relationship Id="rId2" Type="http://schemas.microsoft.com/office/2011/relationships/chartColorStyle" Target="colors25.xml"/><Relationship Id="rId3" Type="http://schemas.openxmlformats.org/officeDocument/2006/relationships/oleObject" Target="file://localhost/Users/timtan/Desktop/CAH%20TABLES.xlsx" TargetMode="External"/></Relationships>
</file>

<file path=word/charts/_rels/chart26.xml.rels><?xml version="1.0" encoding="UTF-8" standalone="yes"?>
<Relationships xmlns="http://schemas.openxmlformats.org/package/2006/relationships"><Relationship Id="rId1" Type="http://schemas.microsoft.com/office/2011/relationships/chartStyle" Target="style26.xml"/><Relationship Id="rId2" Type="http://schemas.microsoft.com/office/2011/relationships/chartColorStyle" Target="colors26.xml"/><Relationship Id="rId3" Type="http://schemas.openxmlformats.org/officeDocument/2006/relationships/oleObject" Target="file://localhost/Users/timtan/Desktop/CAH%20TABLES.xlsx" TargetMode="External"/></Relationships>
</file>

<file path=word/charts/_rels/chart27.xml.rels><?xml version="1.0" encoding="UTF-8" standalone="yes"?>
<Relationships xmlns="http://schemas.openxmlformats.org/package/2006/relationships"><Relationship Id="rId1" Type="http://schemas.microsoft.com/office/2011/relationships/chartStyle" Target="style27.xml"/><Relationship Id="rId2" Type="http://schemas.microsoft.com/office/2011/relationships/chartColorStyle" Target="colors27.xml"/><Relationship Id="rId3" Type="http://schemas.openxmlformats.org/officeDocument/2006/relationships/oleObject" Target="file://localhost/Users/timtan/Desktop/CAH%20TABLES.xlsx" TargetMode="External"/></Relationships>
</file>

<file path=word/charts/_rels/chart28.xml.rels><?xml version="1.0" encoding="UTF-8" standalone="yes"?>
<Relationships xmlns="http://schemas.openxmlformats.org/package/2006/relationships"><Relationship Id="rId1" Type="http://schemas.microsoft.com/office/2011/relationships/chartStyle" Target="style28.xml"/><Relationship Id="rId2" Type="http://schemas.microsoft.com/office/2011/relationships/chartColorStyle" Target="colors28.xml"/><Relationship Id="rId3" Type="http://schemas.openxmlformats.org/officeDocument/2006/relationships/oleObject" Target="file://localhost/Users/timtan/Desktop/CAH%20TABLES.xlsx" TargetMode="External"/></Relationships>
</file>

<file path=word/charts/_rels/chart29.xml.rels><?xml version="1.0" encoding="UTF-8" standalone="yes"?>
<Relationships xmlns="http://schemas.openxmlformats.org/package/2006/relationships"><Relationship Id="rId1" Type="http://schemas.microsoft.com/office/2011/relationships/chartStyle" Target="style29.xml"/><Relationship Id="rId2" Type="http://schemas.microsoft.com/office/2011/relationships/chartColorStyle" Target="colors29.xml"/><Relationship Id="rId3" Type="http://schemas.openxmlformats.org/officeDocument/2006/relationships/oleObject" Target="file://localhost/Users/timtan/Desktop/CAH%20TABLES.xlsx" TargetMode="External"/></Relationships>
</file>

<file path=word/charts/_rels/chart30.xml.rels><?xml version="1.0" encoding="UTF-8" standalone="yes"?>
<Relationships xmlns="http://schemas.openxmlformats.org/package/2006/relationships"><Relationship Id="rId1" Type="http://schemas.microsoft.com/office/2011/relationships/chartStyle" Target="style30.xml"/><Relationship Id="rId2" Type="http://schemas.microsoft.com/office/2011/relationships/chartColorStyle" Target="colors30.xml"/><Relationship Id="rId3" Type="http://schemas.openxmlformats.org/officeDocument/2006/relationships/oleObject" Target="file://localhost/Users/timtan/Desktop/CAH%20TAB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1a: CMR ratio vs. total spending per capita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'source_data_PWTPPP_update_9-17-'!$BA$2:$BA$21</c:f>
              <c:numCache>
                <c:formatCode>General</c:formatCode>
                <c:ptCount val="20"/>
                <c:pt idx="0">
                  <c:v>980.1300249</c:v>
                </c:pt>
                <c:pt idx="1">
                  <c:v>686.6333729</c:v>
                </c:pt>
                <c:pt idx="2">
                  <c:v>614.812914099998</c:v>
                </c:pt>
                <c:pt idx="3">
                  <c:v>1829.747263</c:v>
                </c:pt>
                <c:pt idx="4">
                  <c:v>939.9737965</c:v>
                </c:pt>
                <c:pt idx="5">
                  <c:v>2047.609427</c:v>
                </c:pt>
                <c:pt idx="6">
                  <c:v>2055.626228</c:v>
                </c:pt>
                <c:pt idx="7">
                  <c:v>538.8094047999994</c:v>
                </c:pt>
                <c:pt idx="8">
                  <c:v>867.1881516</c:v>
                </c:pt>
                <c:pt idx="9">
                  <c:v>463.011093</c:v>
                </c:pt>
                <c:pt idx="10">
                  <c:v>399.5358692</c:v>
                </c:pt>
                <c:pt idx="11">
                  <c:v>483.4381645999991</c:v>
                </c:pt>
                <c:pt idx="12">
                  <c:v>631.7180567</c:v>
                </c:pt>
                <c:pt idx="13">
                  <c:v>739.3467188999981</c:v>
                </c:pt>
                <c:pt idx="14">
                  <c:v>735.6099975</c:v>
                </c:pt>
                <c:pt idx="15">
                  <c:v>231.3282415</c:v>
                </c:pt>
                <c:pt idx="16">
                  <c:v>444.5570627</c:v>
                </c:pt>
                <c:pt idx="17">
                  <c:v>460.4606409</c:v>
                </c:pt>
                <c:pt idx="18">
                  <c:v>271.0103707</c:v>
                </c:pt>
                <c:pt idx="19">
                  <c:v>316.1053455</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903874432"/>
        <c:axId val="1835079904"/>
      </c:scatterChart>
      <c:valAx>
        <c:axId val="19038744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5079904"/>
        <c:crosses val="autoZero"/>
        <c:crossBetween val="midCat"/>
      </c:valAx>
      <c:valAx>
        <c:axId val="1835079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layout>
            <c:manualLayout>
              <c:xMode val="edge"/>
              <c:yMode val="edge"/>
              <c:x val="0.0376116596144805"/>
              <c:y val="0.2023758408973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038744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1b:</a:t>
            </a:r>
            <a:r>
              <a:rPr lang="en-US" baseline="0"/>
              <a:t> </a:t>
            </a:r>
            <a:r>
              <a:rPr lang="en-US"/>
              <a:t>U5MR ratio vs. total spending per capita</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'source_data_PWTPPP_update_9-17-'!$BA$2:$BA$21</c:f>
              <c:numCache>
                <c:formatCode>General</c:formatCode>
                <c:ptCount val="20"/>
                <c:pt idx="0">
                  <c:v>980.1300249</c:v>
                </c:pt>
                <c:pt idx="1">
                  <c:v>686.6333729</c:v>
                </c:pt>
                <c:pt idx="2">
                  <c:v>614.812914099998</c:v>
                </c:pt>
                <c:pt idx="3">
                  <c:v>1829.747263</c:v>
                </c:pt>
                <c:pt idx="4">
                  <c:v>939.9737965</c:v>
                </c:pt>
                <c:pt idx="5">
                  <c:v>2047.609427</c:v>
                </c:pt>
                <c:pt idx="6">
                  <c:v>2055.626228</c:v>
                </c:pt>
                <c:pt idx="7">
                  <c:v>538.8094047999994</c:v>
                </c:pt>
                <c:pt idx="8">
                  <c:v>867.1881516</c:v>
                </c:pt>
                <c:pt idx="9">
                  <c:v>463.011093</c:v>
                </c:pt>
                <c:pt idx="10">
                  <c:v>399.5358692</c:v>
                </c:pt>
                <c:pt idx="11">
                  <c:v>483.4381645999991</c:v>
                </c:pt>
                <c:pt idx="12">
                  <c:v>631.7180567</c:v>
                </c:pt>
                <c:pt idx="13">
                  <c:v>739.3467188999981</c:v>
                </c:pt>
                <c:pt idx="14">
                  <c:v>735.6099975</c:v>
                </c:pt>
                <c:pt idx="15">
                  <c:v>231.3282415</c:v>
                </c:pt>
                <c:pt idx="16">
                  <c:v>444.5570627</c:v>
                </c:pt>
                <c:pt idx="17">
                  <c:v>460.4606409</c:v>
                </c:pt>
                <c:pt idx="18">
                  <c:v>271.0103707</c:v>
                </c:pt>
                <c:pt idx="19">
                  <c:v>316.1053455</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802412480"/>
        <c:axId val="-2116343984"/>
      </c:scatterChart>
      <c:valAx>
        <c:axId val="18024124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116343984"/>
        <c:crosses val="autoZero"/>
        <c:crossBetween val="midCat"/>
      </c:valAx>
      <c:valAx>
        <c:axId val="-2116343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layout>
            <c:manualLayout>
              <c:xMode val="edge"/>
              <c:yMode val="edge"/>
              <c:x val="0.0219401347751136"/>
              <c:y val="0.19971533466292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24124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2a: CMR ratio vs. spending per capita on favorable</a:t>
            </a:r>
            <a:r>
              <a:rPr lang="en-US" baseline="0"/>
              <a:t> protection environment</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'source_data_PWTPPP_update_9-17-'!$BB$2:$BB$21</c:f>
              <c:numCache>
                <c:formatCode>General</c:formatCode>
                <c:ptCount val="20"/>
                <c:pt idx="0">
                  <c:v>34.2880018</c:v>
                </c:pt>
                <c:pt idx="1">
                  <c:v>30.05817126</c:v>
                </c:pt>
                <c:pt idx="2">
                  <c:v>22.14564632</c:v>
                </c:pt>
                <c:pt idx="3">
                  <c:v>107.4456627</c:v>
                </c:pt>
                <c:pt idx="4">
                  <c:v>30.28121241</c:v>
                </c:pt>
                <c:pt idx="5">
                  <c:v>57.54106156999991</c:v>
                </c:pt>
                <c:pt idx="6">
                  <c:v>105.46912</c:v>
                </c:pt>
                <c:pt idx="7">
                  <c:v>22.12741426</c:v>
                </c:pt>
                <c:pt idx="8">
                  <c:v>19.93486464</c:v>
                </c:pt>
                <c:pt idx="9">
                  <c:v>12.67722638</c:v>
                </c:pt>
                <c:pt idx="10">
                  <c:v>18.66765245</c:v>
                </c:pt>
                <c:pt idx="11">
                  <c:v>24.00404105</c:v>
                </c:pt>
                <c:pt idx="12">
                  <c:v>42.44023194</c:v>
                </c:pt>
                <c:pt idx="13">
                  <c:v>36.61785323</c:v>
                </c:pt>
                <c:pt idx="14">
                  <c:v>42.50965487</c:v>
                </c:pt>
                <c:pt idx="15">
                  <c:v>32.09404113</c:v>
                </c:pt>
                <c:pt idx="16">
                  <c:v>47.6835442</c:v>
                </c:pt>
                <c:pt idx="17">
                  <c:v>19.89805234</c:v>
                </c:pt>
                <c:pt idx="18">
                  <c:v>13.98510724</c:v>
                </c:pt>
                <c:pt idx="19">
                  <c:v>12.44861608</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08381088"/>
        <c:axId val="1807960320"/>
      </c:scatterChart>
      <c:valAx>
        <c:axId val="18083810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7960320"/>
        <c:crosses val="autoZero"/>
        <c:crossBetween val="midCat"/>
      </c:valAx>
      <c:valAx>
        <c:axId val="1807960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layout>
            <c:manualLayout>
              <c:xMode val="edge"/>
              <c:yMode val="edge"/>
              <c:x val="0.0376116596144805"/>
              <c:y val="0.24045293072824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83810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2b: U5MR ratio vs. spending per capita on favorable</a:t>
            </a:r>
            <a:r>
              <a:rPr lang="en-US" baseline="0"/>
              <a:t> protection environment</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'source_data_PWTPPP_update_9-17-'!$BB$2:$BB$21</c:f>
              <c:numCache>
                <c:formatCode>General</c:formatCode>
                <c:ptCount val="20"/>
                <c:pt idx="0">
                  <c:v>34.2880018</c:v>
                </c:pt>
                <c:pt idx="1">
                  <c:v>30.05817126</c:v>
                </c:pt>
                <c:pt idx="2">
                  <c:v>22.14564632</c:v>
                </c:pt>
                <c:pt idx="3">
                  <c:v>107.4456627</c:v>
                </c:pt>
                <c:pt idx="4">
                  <c:v>30.28121241</c:v>
                </c:pt>
                <c:pt idx="5">
                  <c:v>57.54106156999991</c:v>
                </c:pt>
                <c:pt idx="6">
                  <c:v>105.46912</c:v>
                </c:pt>
                <c:pt idx="7">
                  <c:v>22.12741426</c:v>
                </c:pt>
                <c:pt idx="8">
                  <c:v>19.93486464</c:v>
                </c:pt>
                <c:pt idx="9">
                  <c:v>12.67722638</c:v>
                </c:pt>
                <c:pt idx="10">
                  <c:v>18.66765245</c:v>
                </c:pt>
                <c:pt idx="11">
                  <c:v>24.00404105</c:v>
                </c:pt>
                <c:pt idx="12">
                  <c:v>42.44023194</c:v>
                </c:pt>
                <c:pt idx="13">
                  <c:v>36.61785323</c:v>
                </c:pt>
                <c:pt idx="14">
                  <c:v>42.50965487</c:v>
                </c:pt>
                <c:pt idx="15">
                  <c:v>32.09404113</c:v>
                </c:pt>
                <c:pt idx="16">
                  <c:v>47.6835442</c:v>
                </c:pt>
                <c:pt idx="17">
                  <c:v>19.89805234</c:v>
                </c:pt>
                <c:pt idx="18">
                  <c:v>13.98510724</c:v>
                </c:pt>
                <c:pt idx="19">
                  <c:v>12.44861608</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835304576"/>
        <c:axId val="1820498288"/>
      </c:scatterChart>
      <c:valAx>
        <c:axId val="18353045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20498288"/>
        <c:crosses val="autoZero"/>
        <c:crossBetween val="midCat"/>
      </c:valAx>
      <c:valAx>
        <c:axId val="1820498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layout>
            <c:manualLayout>
              <c:xMode val="edge"/>
              <c:yMode val="edge"/>
              <c:x val="0.0219401347751136"/>
              <c:y val="0.23729184925503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53045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3a: CMR ratio vs. spending per capita on fair protection processes and documentation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'source_data_PWTPPP_update_9-17-'!$BC$2:$BC$21</c:f>
              <c:numCache>
                <c:formatCode>General</c:formatCode>
                <c:ptCount val="20"/>
                <c:pt idx="0">
                  <c:v>82.01663289</c:v>
                </c:pt>
                <c:pt idx="1">
                  <c:v>30.05817126</c:v>
                </c:pt>
                <c:pt idx="2">
                  <c:v>32.43903678</c:v>
                </c:pt>
                <c:pt idx="3">
                  <c:v>115.3242014</c:v>
                </c:pt>
                <c:pt idx="4">
                  <c:v>138.0587663</c:v>
                </c:pt>
                <c:pt idx="5">
                  <c:v>91.10859100999987</c:v>
                </c:pt>
                <c:pt idx="6">
                  <c:v>210.9517386</c:v>
                </c:pt>
                <c:pt idx="7">
                  <c:v>24.08466986</c:v>
                </c:pt>
                <c:pt idx="8">
                  <c:v>32.73899895</c:v>
                </c:pt>
                <c:pt idx="9">
                  <c:v>15.17247865</c:v>
                </c:pt>
                <c:pt idx="10">
                  <c:v>30.13796829</c:v>
                </c:pt>
                <c:pt idx="11">
                  <c:v>28.62569639</c:v>
                </c:pt>
                <c:pt idx="12">
                  <c:v>44.84119211</c:v>
                </c:pt>
                <c:pt idx="13">
                  <c:v>35.04307362</c:v>
                </c:pt>
                <c:pt idx="14">
                  <c:v>26.27614728</c:v>
                </c:pt>
                <c:pt idx="15">
                  <c:v>25.56674795</c:v>
                </c:pt>
                <c:pt idx="16">
                  <c:v>30.84168508</c:v>
                </c:pt>
                <c:pt idx="17">
                  <c:v>44.98783675999999</c:v>
                </c:pt>
                <c:pt idx="18">
                  <c:v>35.97850081</c:v>
                </c:pt>
                <c:pt idx="19">
                  <c:v>22.60807525</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06135936"/>
        <c:axId val="1823142528"/>
      </c:scatterChart>
      <c:valAx>
        <c:axId val="18061359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23142528"/>
        <c:crosses val="autoZero"/>
        <c:crossBetween val="midCat"/>
      </c:valAx>
      <c:valAx>
        <c:axId val="1823142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layout>
            <c:manualLayout>
              <c:xMode val="edge"/>
              <c:yMode val="edge"/>
              <c:x val="0.0376116596144805"/>
              <c:y val="0.24045293072824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61359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3b: U5MR ratio vs. spending per capita on fair protection processes and documentation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'source_data_PWTPPP_update_9-17-'!$BC$2:$BC$21</c:f>
              <c:numCache>
                <c:formatCode>General</c:formatCode>
                <c:ptCount val="20"/>
                <c:pt idx="0">
                  <c:v>82.01663289</c:v>
                </c:pt>
                <c:pt idx="1">
                  <c:v>30.05817126</c:v>
                </c:pt>
                <c:pt idx="2">
                  <c:v>32.43903678</c:v>
                </c:pt>
                <c:pt idx="3">
                  <c:v>115.3242014</c:v>
                </c:pt>
                <c:pt idx="4">
                  <c:v>138.0587663</c:v>
                </c:pt>
                <c:pt idx="5">
                  <c:v>91.10859100999987</c:v>
                </c:pt>
                <c:pt idx="6">
                  <c:v>210.9517386</c:v>
                </c:pt>
                <c:pt idx="7">
                  <c:v>24.08466986</c:v>
                </c:pt>
                <c:pt idx="8">
                  <c:v>32.73899895</c:v>
                </c:pt>
                <c:pt idx="9">
                  <c:v>15.17247865</c:v>
                </c:pt>
                <c:pt idx="10">
                  <c:v>30.13796829</c:v>
                </c:pt>
                <c:pt idx="11">
                  <c:v>28.62569639</c:v>
                </c:pt>
                <c:pt idx="12">
                  <c:v>44.84119211</c:v>
                </c:pt>
                <c:pt idx="13">
                  <c:v>35.04307362</c:v>
                </c:pt>
                <c:pt idx="14">
                  <c:v>26.27614728</c:v>
                </c:pt>
                <c:pt idx="15">
                  <c:v>25.56674795</c:v>
                </c:pt>
                <c:pt idx="16">
                  <c:v>30.84168508</c:v>
                </c:pt>
                <c:pt idx="17">
                  <c:v>44.98783675999999</c:v>
                </c:pt>
                <c:pt idx="18">
                  <c:v>35.97850081</c:v>
                </c:pt>
                <c:pt idx="19">
                  <c:v>22.60807525</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808518528"/>
        <c:axId val="1808083728"/>
      </c:scatterChart>
      <c:valAx>
        <c:axId val="18085185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8083728"/>
        <c:crosses val="autoZero"/>
        <c:crossBetween val="midCat"/>
      </c:valAx>
      <c:valAx>
        <c:axId val="1808083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layout>
            <c:manualLayout>
              <c:xMode val="edge"/>
              <c:yMode val="edge"/>
              <c:x val="0.0219401347751136"/>
              <c:y val="0.23729184925503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851852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4a: CMR ratio vs. spending per capita on security from violence</a:t>
            </a:r>
            <a:r>
              <a:rPr lang="en-US" baseline="0"/>
              <a:t> and exploitation</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'source_data_PWTPPP_update_9-17-'!$BD$2:$BD$21</c:f>
              <c:numCache>
                <c:formatCode>General</c:formatCode>
                <c:ptCount val="20"/>
                <c:pt idx="0">
                  <c:v>108.9419557</c:v>
                </c:pt>
                <c:pt idx="1">
                  <c:v>61.37070952</c:v>
                </c:pt>
                <c:pt idx="2">
                  <c:v>43.52637614</c:v>
                </c:pt>
                <c:pt idx="3">
                  <c:v>47.11509096</c:v>
                </c:pt>
                <c:pt idx="4">
                  <c:v>91.55767031000001</c:v>
                </c:pt>
                <c:pt idx="5">
                  <c:v>89.14027494</c:v>
                </c:pt>
                <c:pt idx="6">
                  <c:v>148.2947872</c:v>
                </c:pt>
                <c:pt idx="7">
                  <c:v>82.88383309</c:v>
                </c:pt>
                <c:pt idx="8">
                  <c:v>94.37758272000001</c:v>
                </c:pt>
                <c:pt idx="9">
                  <c:v>30.33784098</c:v>
                </c:pt>
                <c:pt idx="10">
                  <c:v>28.42435753</c:v>
                </c:pt>
                <c:pt idx="11">
                  <c:v>11.48531042</c:v>
                </c:pt>
                <c:pt idx="12">
                  <c:v>34.53336518</c:v>
                </c:pt>
                <c:pt idx="13">
                  <c:v>34.93607475</c:v>
                </c:pt>
                <c:pt idx="14">
                  <c:v>47.31765694</c:v>
                </c:pt>
                <c:pt idx="15">
                  <c:v>34.55144437999999</c:v>
                </c:pt>
                <c:pt idx="16">
                  <c:v>50.13093414</c:v>
                </c:pt>
                <c:pt idx="17">
                  <c:v>17.57899838</c:v>
                </c:pt>
                <c:pt idx="18">
                  <c:v>21.38691174</c:v>
                </c:pt>
                <c:pt idx="19">
                  <c:v>19.80895998</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07794944"/>
        <c:axId val="1835856464"/>
      </c:scatterChart>
      <c:valAx>
        <c:axId val="18077949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5856464"/>
        <c:crosses val="autoZero"/>
        <c:crossBetween val="midCat"/>
      </c:valAx>
      <c:valAx>
        <c:axId val="1835856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77949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4b: U5MR ratio vs. spending per capita on security from violence</a:t>
            </a:r>
            <a:r>
              <a:rPr lang="en-US" baseline="0"/>
              <a:t> and exploitation</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'source_data_PWTPPP_update_9-17-'!$BD$2:$BD$21</c:f>
              <c:numCache>
                <c:formatCode>General</c:formatCode>
                <c:ptCount val="20"/>
                <c:pt idx="0">
                  <c:v>108.9419557</c:v>
                </c:pt>
                <c:pt idx="1">
                  <c:v>61.37070952</c:v>
                </c:pt>
                <c:pt idx="2">
                  <c:v>43.52637614</c:v>
                </c:pt>
                <c:pt idx="3">
                  <c:v>47.11509096</c:v>
                </c:pt>
                <c:pt idx="4">
                  <c:v>91.55767031000001</c:v>
                </c:pt>
                <c:pt idx="5">
                  <c:v>89.14027494</c:v>
                </c:pt>
                <c:pt idx="6">
                  <c:v>148.2947872</c:v>
                </c:pt>
                <c:pt idx="7">
                  <c:v>82.88383309</c:v>
                </c:pt>
                <c:pt idx="8">
                  <c:v>94.37758272000001</c:v>
                </c:pt>
                <c:pt idx="9">
                  <c:v>30.33784098</c:v>
                </c:pt>
                <c:pt idx="10">
                  <c:v>28.42435753</c:v>
                </c:pt>
                <c:pt idx="11">
                  <c:v>11.48531042</c:v>
                </c:pt>
                <c:pt idx="12">
                  <c:v>34.53336518</c:v>
                </c:pt>
                <c:pt idx="13">
                  <c:v>34.93607475</c:v>
                </c:pt>
                <c:pt idx="14">
                  <c:v>47.31765694</c:v>
                </c:pt>
                <c:pt idx="15">
                  <c:v>34.55144437999999</c:v>
                </c:pt>
                <c:pt idx="16">
                  <c:v>50.13093414</c:v>
                </c:pt>
                <c:pt idx="17">
                  <c:v>17.57899838</c:v>
                </c:pt>
                <c:pt idx="18">
                  <c:v>21.38691174</c:v>
                </c:pt>
                <c:pt idx="19">
                  <c:v>19.80895998</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2077934736"/>
        <c:axId val="1835298784"/>
      </c:scatterChart>
      <c:valAx>
        <c:axId val="20779347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5298784"/>
        <c:crosses val="autoZero"/>
        <c:crossBetween val="midCat"/>
      </c:valAx>
      <c:valAx>
        <c:axId val="1835298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0779347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5a: CMR ratio vs. spending</a:t>
            </a:r>
            <a:r>
              <a:rPr lang="en-US" baseline="0"/>
              <a:t> </a:t>
            </a:r>
            <a:r>
              <a:rPr lang="en-US"/>
              <a:t>per capita on community participation and self-management</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'source_data_PWTPPP_update_9-17-'!$BE$2:$BE$21</c:f>
              <c:numCache>
                <c:formatCode>General</c:formatCode>
                <c:ptCount val="20"/>
                <c:pt idx="0">
                  <c:v>117.6436559</c:v>
                </c:pt>
                <c:pt idx="1">
                  <c:v>81.26401915</c:v>
                </c:pt>
                <c:pt idx="2">
                  <c:v>77.65364863000001</c:v>
                </c:pt>
                <c:pt idx="3">
                  <c:v>68.12499754</c:v>
                </c:pt>
                <c:pt idx="4">
                  <c:v>23.21554165</c:v>
                </c:pt>
                <c:pt idx="5">
                  <c:v>59.74813041</c:v>
                </c:pt>
                <c:pt idx="6">
                  <c:v>46.58847672</c:v>
                </c:pt>
                <c:pt idx="7">
                  <c:v>13.42102705</c:v>
                </c:pt>
                <c:pt idx="8">
                  <c:v>17.54931545</c:v>
                </c:pt>
                <c:pt idx="9">
                  <c:v>26.87575194</c:v>
                </c:pt>
                <c:pt idx="10">
                  <c:v>20.59401358</c:v>
                </c:pt>
                <c:pt idx="11">
                  <c:v>14.23910244</c:v>
                </c:pt>
                <c:pt idx="12">
                  <c:v>115.3918122</c:v>
                </c:pt>
                <c:pt idx="13">
                  <c:v>80.41254518</c:v>
                </c:pt>
                <c:pt idx="14">
                  <c:v>36.48839157</c:v>
                </c:pt>
                <c:pt idx="15">
                  <c:v>17.25872732</c:v>
                </c:pt>
                <c:pt idx="16">
                  <c:v>13.95094423</c:v>
                </c:pt>
                <c:pt idx="17">
                  <c:v>32.24884146999999</c:v>
                </c:pt>
                <c:pt idx="18">
                  <c:v>26.55863718</c:v>
                </c:pt>
                <c:pt idx="19">
                  <c:v>24.17810502</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08542640"/>
        <c:axId val="1822543152"/>
      </c:scatterChart>
      <c:valAx>
        <c:axId val="18085426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22543152"/>
        <c:crosses val="autoZero"/>
        <c:crossBetween val="midCat"/>
      </c:valAx>
      <c:valAx>
        <c:axId val="1822543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85426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5b: U5MR ratio vs. spending per capita on community participation and self-management</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'source_data_PWTPPP_update_9-17-'!$BE$2:$BE$21</c:f>
              <c:numCache>
                <c:formatCode>General</c:formatCode>
                <c:ptCount val="20"/>
                <c:pt idx="0">
                  <c:v>117.6436559</c:v>
                </c:pt>
                <c:pt idx="1">
                  <c:v>81.26401915</c:v>
                </c:pt>
                <c:pt idx="2">
                  <c:v>77.65364863000001</c:v>
                </c:pt>
                <c:pt idx="3">
                  <c:v>68.12499754</c:v>
                </c:pt>
                <c:pt idx="4">
                  <c:v>23.21554165</c:v>
                </c:pt>
                <c:pt idx="5">
                  <c:v>59.74813041</c:v>
                </c:pt>
                <c:pt idx="6">
                  <c:v>46.58847672</c:v>
                </c:pt>
                <c:pt idx="7">
                  <c:v>13.42102705</c:v>
                </c:pt>
                <c:pt idx="8">
                  <c:v>17.54931545</c:v>
                </c:pt>
                <c:pt idx="9">
                  <c:v>26.87575194</c:v>
                </c:pt>
                <c:pt idx="10">
                  <c:v>20.59401358</c:v>
                </c:pt>
                <c:pt idx="11">
                  <c:v>14.23910244</c:v>
                </c:pt>
                <c:pt idx="12">
                  <c:v>115.3918122</c:v>
                </c:pt>
                <c:pt idx="13">
                  <c:v>80.41254518</c:v>
                </c:pt>
                <c:pt idx="14">
                  <c:v>36.48839157</c:v>
                </c:pt>
                <c:pt idx="15">
                  <c:v>17.25872732</c:v>
                </c:pt>
                <c:pt idx="16">
                  <c:v>13.95094423</c:v>
                </c:pt>
                <c:pt idx="17">
                  <c:v>32.24884146999999</c:v>
                </c:pt>
                <c:pt idx="18">
                  <c:v>26.55863718</c:v>
                </c:pt>
                <c:pt idx="19">
                  <c:v>24.17810502</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801968560"/>
        <c:axId val="1821014320"/>
      </c:scatterChart>
      <c:valAx>
        <c:axId val="18019685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21014320"/>
        <c:crosses val="autoZero"/>
        <c:crossBetween val="midCat"/>
      </c:valAx>
      <c:valAx>
        <c:axId val="18210143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19685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6a: CMR ratio vs. spending per capita on durable solutions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'source_data_PWTPPP_update_9-17-'!$BF$2:$BF$21</c:f>
              <c:numCache>
                <c:formatCode>General</c:formatCode>
                <c:ptCount val="20"/>
                <c:pt idx="0">
                  <c:v>55.63069582</c:v>
                </c:pt>
                <c:pt idx="1">
                  <c:v>34.1861635</c:v>
                </c:pt>
                <c:pt idx="2">
                  <c:v>34.32069778</c:v>
                </c:pt>
                <c:pt idx="3">
                  <c:v>58.28148037</c:v>
                </c:pt>
                <c:pt idx="4">
                  <c:v>43.96816561</c:v>
                </c:pt>
                <c:pt idx="5">
                  <c:v>52.76229134</c:v>
                </c:pt>
                <c:pt idx="6">
                  <c:v>46.17401989</c:v>
                </c:pt>
                <c:pt idx="7">
                  <c:v>22.1473432</c:v>
                </c:pt>
                <c:pt idx="8">
                  <c:v>15.74721551</c:v>
                </c:pt>
                <c:pt idx="9">
                  <c:v>20.39801188</c:v>
                </c:pt>
                <c:pt idx="10">
                  <c:v>74.04844908</c:v>
                </c:pt>
                <c:pt idx="11">
                  <c:v>20.58499025</c:v>
                </c:pt>
                <c:pt idx="12">
                  <c:v>25.03864568</c:v>
                </c:pt>
                <c:pt idx="13">
                  <c:v>41.13096268</c:v>
                </c:pt>
                <c:pt idx="14">
                  <c:v>18.06710985</c:v>
                </c:pt>
                <c:pt idx="15">
                  <c:v>31.48804263999991</c:v>
                </c:pt>
                <c:pt idx="16">
                  <c:v>63.99541875</c:v>
                </c:pt>
                <c:pt idx="17">
                  <c:v>30.52231227999991</c:v>
                </c:pt>
                <c:pt idx="18">
                  <c:v>12.82084044</c:v>
                </c:pt>
                <c:pt idx="19">
                  <c:v>97.45732687</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02377200"/>
        <c:axId val="-2116860656"/>
      </c:scatterChart>
      <c:valAx>
        <c:axId val="18023772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116860656"/>
        <c:crosses val="autoZero"/>
        <c:crossBetween val="midCat"/>
      </c:valAx>
      <c:valAx>
        <c:axId val="-2116860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23772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6b: U5MR ratio vs. spending per capita on durable solutions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'source_data_PWTPPP_update_9-17-'!$BF$2:$BF$21</c:f>
              <c:numCache>
                <c:formatCode>General</c:formatCode>
                <c:ptCount val="20"/>
                <c:pt idx="0">
                  <c:v>55.63069582</c:v>
                </c:pt>
                <c:pt idx="1">
                  <c:v>34.1861635</c:v>
                </c:pt>
                <c:pt idx="2">
                  <c:v>34.32069778</c:v>
                </c:pt>
                <c:pt idx="3">
                  <c:v>58.28148037</c:v>
                </c:pt>
                <c:pt idx="4">
                  <c:v>43.96816561</c:v>
                </c:pt>
                <c:pt idx="5">
                  <c:v>52.76229134</c:v>
                </c:pt>
                <c:pt idx="6">
                  <c:v>46.17401989</c:v>
                </c:pt>
                <c:pt idx="7">
                  <c:v>22.1473432</c:v>
                </c:pt>
                <c:pt idx="8">
                  <c:v>15.74721551</c:v>
                </c:pt>
                <c:pt idx="9">
                  <c:v>20.39801188</c:v>
                </c:pt>
                <c:pt idx="10">
                  <c:v>74.04844908</c:v>
                </c:pt>
                <c:pt idx="11">
                  <c:v>20.58499025</c:v>
                </c:pt>
                <c:pt idx="12">
                  <c:v>25.03864568</c:v>
                </c:pt>
                <c:pt idx="13">
                  <c:v>41.13096268</c:v>
                </c:pt>
                <c:pt idx="14">
                  <c:v>18.06710985</c:v>
                </c:pt>
                <c:pt idx="15">
                  <c:v>31.48804263999991</c:v>
                </c:pt>
                <c:pt idx="16">
                  <c:v>63.99541875</c:v>
                </c:pt>
                <c:pt idx="17">
                  <c:v>30.52231227999991</c:v>
                </c:pt>
                <c:pt idx="18">
                  <c:v>12.82084044</c:v>
                </c:pt>
                <c:pt idx="19">
                  <c:v>97.45732687</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820854256"/>
        <c:axId val="1820786800"/>
      </c:scatterChart>
      <c:valAx>
        <c:axId val="18208542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20786800"/>
        <c:crosses val="autoZero"/>
        <c:crossBetween val="midCat"/>
      </c:valAx>
      <c:valAx>
        <c:axId val="1820786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208542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7a: CMR ratio vs. spending per capita on external relations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'source_data_PWTPPP_update_9-17-'!$BG$2:$BG$21</c:f>
              <c:numCache>
                <c:formatCode>General</c:formatCode>
                <c:ptCount val="20"/>
                <c:pt idx="0">
                  <c:v>27.53011323</c:v>
                </c:pt>
                <c:pt idx="1">
                  <c:v>0.0</c:v>
                </c:pt>
                <c:pt idx="2">
                  <c:v>0.0</c:v>
                </c:pt>
                <c:pt idx="3">
                  <c:v>40.41725731</c:v>
                </c:pt>
                <c:pt idx="4">
                  <c:v>23.26140347</c:v>
                </c:pt>
                <c:pt idx="5">
                  <c:v>46.14914093</c:v>
                </c:pt>
                <c:pt idx="6">
                  <c:v>57.78118593</c:v>
                </c:pt>
                <c:pt idx="7">
                  <c:v>7.544403498</c:v>
                </c:pt>
                <c:pt idx="8">
                  <c:v>10.03024891</c:v>
                </c:pt>
                <c:pt idx="9">
                  <c:v>14.53104914</c:v>
                </c:pt>
                <c:pt idx="10">
                  <c:v>15.29792776</c:v>
                </c:pt>
                <c:pt idx="11">
                  <c:v>7.369386025999995</c:v>
                </c:pt>
                <c:pt idx="12">
                  <c:v>18.79553082</c:v>
                </c:pt>
                <c:pt idx="13">
                  <c:v>21.75850403</c:v>
                </c:pt>
                <c:pt idx="14">
                  <c:v>11.5376124</c:v>
                </c:pt>
                <c:pt idx="15">
                  <c:v>9.876604344</c:v>
                </c:pt>
                <c:pt idx="16">
                  <c:v>17.02857095</c:v>
                </c:pt>
                <c:pt idx="17">
                  <c:v>0.0</c:v>
                </c:pt>
                <c:pt idx="18">
                  <c:v>8.05513675</c:v>
                </c:pt>
                <c:pt idx="19">
                  <c:v>9.747879612999998</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21226656"/>
        <c:axId val="1837934864"/>
      </c:scatterChart>
      <c:valAx>
        <c:axId val="18212266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7934864"/>
        <c:crosses val="autoZero"/>
        <c:crossBetween val="midCat"/>
      </c:valAx>
      <c:valAx>
        <c:axId val="1837934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212266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7b: U5MR ratio vs. spending per capita on external relations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'source_data_PWTPPP_update_9-17-'!$BG$2:$BG$21</c:f>
              <c:numCache>
                <c:formatCode>General</c:formatCode>
                <c:ptCount val="20"/>
                <c:pt idx="0">
                  <c:v>27.53011323</c:v>
                </c:pt>
                <c:pt idx="1">
                  <c:v>0.0</c:v>
                </c:pt>
                <c:pt idx="2">
                  <c:v>0.0</c:v>
                </c:pt>
                <c:pt idx="3">
                  <c:v>40.41725731</c:v>
                </c:pt>
                <c:pt idx="4">
                  <c:v>23.26140347</c:v>
                </c:pt>
                <c:pt idx="5">
                  <c:v>46.14914093</c:v>
                </c:pt>
                <c:pt idx="6">
                  <c:v>57.78118593</c:v>
                </c:pt>
                <c:pt idx="7">
                  <c:v>7.544403498</c:v>
                </c:pt>
                <c:pt idx="8">
                  <c:v>10.03024891</c:v>
                </c:pt>
                <c:pt idx="9">
                  <c:v>14.53104914</c:v>
                </c:pt>
                <c:pt idx="10">
                  <c:v>15.29792776</c:v>
                </c:pt>
                <c:pt idx="11">
                  <c:v>7.369386025999995</c:v>
                </c:pt>
                <c:pt idx="12">
                  <c:v>18.79553082</c:v>
                </c:pt>
                <c:pt idx="13">
                  <c:v>21.75850403</c:v>
                </c:pt>
                <c:pt idx="14">
                  <c:v>11.5376124</c:v>
                </c:pt>
                <c:pt idx="15">
                  <c:v>9.876604344</c:v>
                </c:pt>
                <c:pt idx="16">
                  <c:v>17.02857095</c:v>
                </c:pt>
                <c:pt idx="17">
                  <c:v>0.0</c:v>
                </c:pt>
                <c:pt idx="18">
                  <c:v>8.05513675</c:v>
                </c:pt>
                <c:pt idx="19">
                  <c:v>9.747879612999998</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888287680"/>
        <c:axId val="1888405184"/>
      </c:scatterChart>
      <c:valAx>
        <c:axId val="18882876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88405184"/>
        <c:crosses val="autoZero"/>
        <c:crossBetween val="midCat"/>
      </c:valAx>
      <c:valAx>
        <c:axId val="18884051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882876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8a: CMR ratio vs. spending per capita on logistics and operations support</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'source_data_PWTPPP_update_9-17-'!$BH$2:$BH$21</c:f>
              <c:numCache>
                <c:formatCode>General</c:formatCode>
                <c:ptCount val="20"/>
                <c:pt idx="0">
                  <c:v>187.1663213</c:v>
                </c:pt>
                <c:pt idx="1">
                  <c:v>51.52999732</c:v>
                </c:pt>
                <c:pt idx="2">
                  <c:v>67.04746177</c:v>
                </c:pt>
                <c:pt idx="3">
                  <c:v>365.8886332</c:v>
                </c:pt>
                <c:pt idx="4">
                  <c:v>99.68913384</c:v>
                </c:pt>
                <c:pt idx="5">
                  <c:v>305.1956112</c:v>
                </c:pt>
                <c:pt idx="6">
                  <c:v>417.7995288999999</c:v>
                </c:pt>
                <c:pt idx="7">
                  <c:v>125.0491431</c:v>
                </c:pt>
                <c:pt idx="8">
                  <c:v>90.06834499</c:v>
                </c:pt>
                <c:pt idx="9">
                  <c:v>116.1735406</c:v>
                </c:pt>
                <c:pt idx="10">
                  <c:v>16.15691405</c:v>
                </c:pt>
                <c:pt idx="11">
                  <c:v>148.7611894</c:v>
                </c:pt>
                <c:pt idx="12">
                  <c:v>99.44703295</c:v>
                </c:pt>
                <c:pt idx="13">
                  <c:v>311.1832827</c:v>
                </c:pt>
                <c:pt idx="14">
                  <c:v>277.7805563999999</c:v>
                </c:pt>
                <c:pt idx="15">
                  <c:v>30.52837386</c:v>
                </c:pt>
                <c:pt idx="16">
                  <c:v>137.4697262</c:v>
                </c:pt>
                <c:pt idx="17">
                  <c:v>103.926507</c:v>
                </c:pt>
                <c:pt idx="18">
                  <c:v>24.68529222</c:v>
                </c:pt>
                <c:pt idx="19">
                  <c:v>47.15312332</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08731392"/>
        <c:axId val="1808295040"/>
      </c:scatterChart>
      <c:valAx>
        <c:axId val="18087313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8295040"/>
        <c:crosses val="autoZero"/>
        <c:crossBetween val="midCat"/>
      </c:valAx>
      <c:valAx>
        <c:axId val="18082950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87313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8b: U5MR ratio vs. spending per capita on logistics and operations support</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'source_data_PWTPPP_update_9-17-'!$BH$2:$BH$21</c:f>
              <c:numCache>
                <c:formatCode>General</c:formatCode>
                <c:ptCount val="20"/>
                <c:pt idx="0">
                  <c:v>187.1663213</c:v>
                </c:pt>
                <c:pt idx="1">
                  <c:v>51.52999732</c:v>
                </c:pt>
                <c:pt idx="2">
                  <c:v>67.04746177</c:v>
                </c:pt>
                <c:pt idx="3">
                  <c:v>365.8886332</c:v>
                </c:pt>
                <c:pt idx="4">
                  <c:v>99.68913384</c:v>
                </c:pt>
                <c:pt idx="5">
                  <c:v>305.1956112</c:v>
                </c:pt>
                <c:pt idx="6">
                  <c:v>417.7995288999999</c:v>
                </c:pt>
                <c:pt idx="7">
                  <c:v>125.0491431</c:v>
                </c:pt>
                <c:pt idx="8">
                  <c:v>90.06834499</c:v>
                </c:pt>
                <c:pt idx="9">
                  <c:v>116.1735406</c:v>
                </c:pt>
                <c:pt idx="10">
                  <c:v>16.15691405</c:v>
                </c:pt>
                <c:pt idx="11">
                  <c:v>148.7611894</c:v>
                </c:pt>
                <c:pt idx="12">
                  <c:v>99.44703295</c:v>
                </c:pt>
                <c:pt idx="13">
                  <c:v>311.1832827</c:v>
                </c:pt>
                <c:pt idx="14">
                  <c:v>277.7805563999999</c:v>
                </c:pt>
                <c:pt idx="15">
                  <c:v>30.52837386</c:v>
                </c:pt>
                <c:pt idx="16">
                  <c:v>137.4697262</c:v>
                </c:pt>
                <c:pt idx="17">
                  <c:v>103.926507</c:v>
                </c:pt>
                <c:pt idx="18">
                  <c:v>24.68529222</c:v>
                </c:pt>
                <c:pt idx="19">
                  <c:v>47.15312332</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820668368"/>
        <c:axId val="1822611152"/>
      </c:scatterChart>
      <c:valAx>
        <c:axId val="1820668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22611152"/>
        <c:crosses val="autoZero"/>
        <c:crossBetween val="midCat"/>
      </c:valAx>
      <c:valAx>
        <c:axId val="1822611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206683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9a: CMR ratio vs. spending per capita on basic needs and essential services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'source_data_PWTPPP_update_9-17-'!$BJ$2:$BJ$21</c:f>
              <c:numCache>
                <c:formatCode>General</c:formatCode>
                <c:ptCount val="20"/>
                <c:pt idx="0">
                  <c:v>366.9126482</c:v>
                </c:pt>
                <c:pt idx="1">
                  <c:v>398.1661409</c:v>
                </c:pt>
                <c:pt idx="2">
                  <c:v>337.6800467</c:v>
                </c:pt>
                <c:pt idx="3">
                  <c:v>1027.149939</c:v>
                </c:pt>
                <c:pt idx="4">
                  <c:v>489.9419028999999</c:v>
                </c:pt>
                <c:pt idx="5">
                  <c:v>1345.964326</c:v>
                </c:pt>
                <c:pt idx="6">
                  <c:v>1022.56737</c:v>
                </c:pt>
                <c:pt idx="7">
                  <c:v>241.5515707</c:v>
                </c:pt>
                <c:pt idx="8">
                  <c:v>586.7415804</c:v>
                </c:pt>
                <c:pt idx="9">
                  <c:v>226.8451934</c:v>
                </c:pt>
                <c:pt idx="10">
                  <c:v>196.2085864</c:v>
                </c:pt>
                <c:pt idx="11">
                  <c:v>228.3684487</c:v>
                </c:pt>
                <c:pt idx="12">
                  <c:v>251.2302458</c:v>
                </c:pt>
                <c:pt idx="13">
                  <c:v>178.2644227</c:v>
                </c:pt>
                <c:pt idx="14">
                  <c:v>275.6328682</c:v>
                </c:pt>
                <c:pt idx="15">
                  <c:v>49.96425985</c:v>
                </c:pt>
                <c:pt idx="16">
                  <c:v>83.45623908</c:v>
                </c:pt>
                <c:pt idx="17">
                  <c:v>211.2980927</c:v>
                </c:pt>
                <c:pt idx="18">
                  <c:v>127.5399443</c:v>
                </c:pt>
                <c:pt idx="19">
                  <c:v>82.70325935</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35253856"/>
        <c:axId val="2115201712"/>
      </c:scatterChart>
      <c:valAx>
        <c:axId val="18352538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115201712"/>
        <c:crosses val="autoZero"/>
        <c:crossBetween val="midCat"/>
      </c:valAx>
      <c:valAx>
        <c:axId val="2115201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52538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9b: U5MR ratio vs. spending per capita on basic needs and essential services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'source_data_PWTPPP_update_9-17-'!$BJ$2:$BJ$21</c:f>
              <c:numCache>
                <c:formatCode>General</c:formatCode>
                <c:ptCount val="20"/>
                <c:pt idx="0">
                  <c:v>366.9126482</c:v>
                </c:pt>
                <c:pt idx="1">
                  <c:v>398.1661409</c:v>
                </c:pt>
                <c:pt idx="2">
                  <c:v>337.6800467</c:v>
                </c:pt>
                <c:pt idx="3">
                  <c:v>1027.149939</c:v>
                </c:pt>
                <c:pt idx="4">
                  <c:v>489.9419028999999</c:v>
                </c:pt>
                <c:pt idx="5">
                  <c:v>1345.964326</c:v>
                </c:pt>
                <c:pt idx="6">
                  <c:v>1022.56737</c:v>
                </c:pt>
                <c:pt idx="7">
                  <c:v>241.5515707</c:v>
                </c:pt>
                <c:pt idx="8">
                  <c:v>586.7415804</c:v>
                </c:pt>
                <c:pt idx="9">
                  <c:v>226.8451934</c:v>
                </c:pt>
                <c:pt idx="10">
                  <c:v>196.2085864</c:v>
                </c:pt>
                <c:pt idx="11">
                  <c:v>228.3684487</c:v>
                </c:pt>
                <c:pt idx="12">
                  <c:v>251.2302458</c:v>
                </c:pt>
                <c:pt idx="13">
                  <c:v>178.2644227</c:v>
                </c:pt>
                <c:pt idx="14">
                  <c:v>275.6328682</c:v>
                </c:pt>
                <c:pt idx="15">
                  <c:v>49.96425985</c:v>
                </c:pt>
                <c:pt idx="16">
                  <c:v>83.45623908</c:v>
                </c:pt>
                <c:pt idx="17">
                  <c:v>211.2980927</c:v>
                </c:pt>
                <c:pt idx="18">
                  <c:v>127.5399443</c:v>
                </c:pt>
                <c:pt idx="19">
                  <c:v>82.70325935</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2140518064"/>
        <c:axId val="1835863152"/>
      </c:scatterChart>
      <c:valAx>
        <c:axId val="21405180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5863152"/>
        <c:crosses val="autoZero"/>
        <c:crossBetween val="midCat"/>
      </c:valAx>
      <c:valAx>
        <c:axId val="1835863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1405180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10a: CMR ratio vs. spending per capita on water and sanitation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'source_data_PWTPPP_update_9-17-'!$BK$2:$BK$21</c:f>
              <c:numCache>
                <c:formatCode>General</c:formatCode>
                <c:ptCount val="20"/>
                <c:pt idx="0">
                  <c:v>68.80279042999987</c:v>
                </c:pt>
                <c:pt idx="1">
                  <c:v>52.31044817999999</c:v>
                </c:pt>
                <c:pt idx="2">
                  <c:v>87.30367923999998</c:v>
                </c:pt>
                <c:pt idx="3">
                  <c:v>488.9223881999999</c:v>
                </c:pt>
                <c:pt idx="4">
                  <c:v>189.1173378</c:v>
                </c:pt>
                <c:pt idx="5">
                  <c:v>261.0084958</c:v>
                </c:pt>
                <c:pt idx="6">
                  <c:v>177.3276927</c:v>
                </c:pt>
                <c:pt idx="7">
                  <c:v>67.09376614999998</c:v>
                </c:pt>
                <c:pt idx="8">
                  <c:v>91.35480554999998</c:v>
                </c:pt>
                <c:pt idx="9">
                  <c:v>21.59489308</c:v>
                </c:pt>
                <c:pt idx="10">
                  <c:v>11.15449453</c:v>
                </c:pt>
                <c:pt idx="11">
                  <c:v>44.01627144</c:v>
                </c:pt>
                <c:pt idx="12">
                  <c:v>52.81270229</c:v>
                </c:pt>
                <c:pt idx="13">
                  <c:v>21.39820118</c:v>
                </c:pt>
                <c:pt idx="14">
                  <c:v>63.39672945</c:v>
                </c:pt>
                <c:pt idx="15">
                  <c:v>0.0</c:v>
                </c:pt>
                <c:pt idx="16">
                  <c:v>14.52255218</c:v>
                </c:pt>
                <c:pt idx="17">
                  <c:v>55.93664582</c:v>
                </c:pt>
                <c:pt idx="18">
                  <c:v>14.68377546</c:v>
                </c:pt>
                <c:pt idx="19">
                  <c:v>10.85643829</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35151440"/>
        <c:axId val="2092512464"/>
      </c:scatterChart>
      <c:valAx>
        <c:axId val="1835151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092512464"/>
        <c:crosses val="autoZero"/>
        <c:crossBetween val="midCat"/>
      </c:valAx>
      <c:valAx>
        <c:axId val="2092512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51514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10b: U5MR ratio vs. spending per capita on water and sanitation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'source_data_PWTPPP_update_9-17-'!$BK$2:$BK$21</c:f>
              <c:numCache>
                <c:formatCode>General</c:formatCode>
                <c:ptCount val="20"/>
                <c:pt idx="0">
                  <c:v>68.80279042999987</c:v>
                </c:pt>
                <c:pt idx="1">
                  <c:v>52.31044817999999</c:v>
                </c:pt>
                <c:pt idx="2">
                  <c:v>87.30367923999998</c:v>
                </c:pt>
                <c:pt idx="3">
                  <c:v>488.9223881999999</c:v>
                </c:pt>
                <c:pt idx="4">
                  <c:v>189.1173378</c:v>
                </c:pt>
                <c:pt idx="5">
                  <c:v>261.0084958</c:v>
                </c:pt>
                <c:pt idx="6">
                  <c:v>177.3276927</c:v>
                </c:pt>
                <c:pt idx="7">
                  <c:v>67.09376614999998</c:v>
                </c:pt>
                <c:pt idx="8">
                  <c:v>91.35480554999998</c:v>
                </c:pt>
                <c:pt idx="9">
                  <c:v>21.59489308</c:v>
                </c:pt>
                <c:pt idx="10">
                  <c:v>11.15449453</c:v>
                </c:pt>
                <c:pt idx="11">
                  <c:v>44.01627144</c:v>
                </c:pt>
                <c:pt idx="12">
                  <c:v>52.81270229</c:v>
                </c:pt>
                <c:pt idx="13">
                  <c:v>21.39820118</c:v>
                </c:pt>
                <c:pt idx="14">
                  <c:v>63.39672945</c:v>
                </c:pt>
                <c:pt idx="15">
                  <c:v>0.0</c:v>
                </c:pt>
                <c:pt idx="16">
                  <c:v>14.52255218</c:v>
                </c:pt>
                <c:pt idx="17">
                  <c:v>55.93664582</c:v>
                </c:pt>
                <c:pt idx="18">
                  <c:v>14.68377546</c:v>
                </c:pt>
                <c:pt idx="19">
                  <c:v>10.85643829</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807788880"/>
        <c:axId val="1807980368"/>
      </c:scatterChart>
      <c:valAx>
        <c:axId val="18077888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7980368"/>
        <c:crosses val="autoZero"/>
        <c:crossBetween val="midCat"/>
      </c:valAx>
      <c:valAx>
        <c:axId val="1807980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77888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11a: CMR ratio vs. spending per capita on education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'source_data_PWTPPP_update_9-17-'!$BL$2:$BL$21</c:f>
              <c:numCache>
                <c:formatCode>General</c:formatCode>
                <c:ptCount val="20"/>
                <c:pt idx="0">
                  <c:v>60.22213502</c:v>
                </c:pt>
                <c:pt idx="1">
                  <c:v>10.28103301</c:v>
                </c:pt>
                <c:pt idx="2">
                  <c:v>50.321995</c:v>
                </c:pt>
                <c:pt idx="3">
                  <c:v>86.25215436</c:v>
                </c:pt>
                <c:pt idx="4">
                  <c:v>48.63919144</c:v>
                </c:pt>
                <c:pt idx="5">
                  <c:v>88.23745666</c:v>
                </c:pt>
                <c:pt idx="6">
                  <c:v>103.6370067</c:v>
                </c:pt>
                <c:pt idx="7">
                  <c:v>34.62772897</c:v>
                </c:pt>
                <c:pt idx="8">
                  <c:v>97.06023454</c:v>
                </c:pt>
                <c:pt idx="9">
                  <c:v>70.12392278999998</c:v>
                </c:pt>
                <c:pt idx="10">
                  <c:v>29.94530062999998</c:v>
                </c:pt>
                <c:pt idx="11">
                  <c:v>31.45672652</c:v>
                </c:pt>
                <c:pt idx="12">
                  <c:v>85.32095254999987</c:v>
                </c:pt>
                <c:pt idx="13">
                  <c:v>38.33906375999999</c:v>
                </c:pt>
                <c:pt idx="14">
                  <c:v>49.73537359</c:v>
                </c:pt>
                <c:pt idx="15">
                  <c:v>10.18797401</c:v>
                </c:pt>
                <c:pt idx="16">
                  <c:v>5.97201563899999</c:v>
                </c:pt>
                <c:pt idx="17">
                  <c:v>28.39519381</c:v>
                </c:pt>
                <c:pt idx="18">
                  <c:v>26.8927039</c:v>
                </c:pt>
                <c:pt idx="19">
                  <c:v>9.347827975</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06961280"/>
        <c:axId val="1835826304"/>
      </c:scatterChart>
      <c:valAx>
        <c:axId val="18069612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5826304"/>
        <c:crosses val="autoZero"/>
        <c:crossBetween val="midCat"/>
      </c:valAx>
      <c:valAx>
        <c:axId val="1835826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69612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11b: U5MR ratio vs. spending per capita on education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'source_data_PWTPPP_update_9-17-'!$BL$2:$BL$21</c:f>
              <c:numCache>
                <c:formatCode>General</c:formatCode>
                <c:ptCount val="20"/>
                <c:pt idx="0">
                  <c:v>60.22213502</c:v>
                </c:pt>
                <c:pt idx="1">
                  <c:v>10.28103301</c:v>
                </c:pt>
                <c:pt idx="2">
                  <c:v>50.321995</c:v>
                </c:pt>
                <c:pt idx="3">
                  <c:v>86.25215436</c:v>
                </c:pt>
                <c:pt idx="4">
                  <c:v>48.63919144</c:v>
                </c:pt>
                <c:pt idx="5">
                  <c:v>88.23745666</c:v>
                </c:pt>
                <c:pt idx="6">
                  <c:v>103.6370067</c:v>
                </c:pt>
                <c:pt idx="7">
                  <c:v>34.62772897</c:v>
                </c:pt>
                <c:pt idx="8">
                  <c:v>97.06023454</c:v>
                </c:pt>
                <c:pt idx="9">
                  <c:v>70.12392278999998</c:v>
                </c:pt>
                <c:pt idx="10">
                  <c:v>29.94530062999998</c:v>
                </c:pt>
                <c:pt idx="11">
                  <c:v>31.45672652</c:v>
                </c:pt>
                <c:pt idx="12">
                  <c:v>85.32095254999987</c:v>
                </c:pt>
                <c:pt idx="13">
                  <c:v>38.33906375999999</c:v>
                </c:pt>
                <c:pt idx="14">
                  <c:v>49.73537359</c:v>
                </c:pt>
                <c:pt idx="15">
                  <c:v>10.18797401</c:v>
                </c:pt>
                <c:pt idx="16">
                  <c:v>5.97201563899999</c:v>
                </c:pt>
                <c:pt idx="17">
                  <c:v>28.39519381</c:v>
                </c:pt>
                <c:pt idx="18">
                  <c:v>26.8927039</c:v>
                </c:pt>
                <c:pt idx="19">
                  <c:v>9.347827975</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806120416"/>
        <c:axId val="1836039136"/>
      </c:scatterChart>
      <c:valAx>
        <c:axId val="1806120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6039136"/>
        <c:crosses val="autoZero"/>
        <c:crossBetween val="midCat"/>
      </c:valAx>
      <c:valAx>
        <c:axId val="1836039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61204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12a: CMR ratio vs. spending per capita on shelter and infrastructure</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'source_data_PWTPPP_update_9-17-'!$BM$2:$BM$21</c:f>
              <c:numCache>
                <c:formatCode>General</c:formatCode>
                <c:ptCount val="20"/>
                <c:pt idx="0">
                  <c:v>44.1111345</c:v>
                </c:pt>
                <c:pt idx="1">
                  <c:v>107.5828393</c:v>
                </c:pt>
                <c:pt idx="2">
                  <c:v>40.14685182</c:v>
                </c:pt>
                <c:pt idx="3">
                  <c:v>86.88621809</c:v>
                </c:pt>
                <c:pt idx="4">
                  <c:v>33.9416257</c:v>
                </c:pt>
                <c:pt idx="5">
                  <c:v>396.8934346</c:v>
                </c:pt>
                <c:pt idx="6">
                  <c:v>154.8816324</c:v>
                </c:pt>
                <c:pt idx="7">
                  <c:v>35.53613858</c:v>
                </c:pt>
                <c:pt idx="8">
                  <c:v>170.4930816</c:v>
                </c:pt>
                <c:pt idx="9">
                  <c:v>13.49331694</c:v>
                </c:pt>
                <c:pt idx="10">
                  <c:v>29.87119776</c:v>
                </c:pt>
                <c:pt idx="11">
                  <c:v>17.14649336</c:v>
                </c:pt>
                <c:pt idx="12">
                  <c:v>15.48243907</c:v>
                </c:pt>
                <c:pt idx="13">
                  <c:v>15.0803904</c:v>
                </c:pt>
                <c:pt idx="14">
                  <c:v>22.94486309</c:v>
                </c:pt>
                <c:pt idx="15">
                  <c:v>2.058072853</c:v>
                </c:pt>
                <c:pt idx="16">
                  <c:v>14.19143235</c:v>
                </c:pt>
                <c:pt idx="17">
                  <c:v>32.41814845</c:v>
                </c:pt>
                <c:pt idx="18">
                  <c:v>32.77209117</c:v>
                </c:pt>
                <c:pt idx="19">
                  <c:v>5.062984901999982</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2098529216"/>
        <c:axId val="2115308576"/>
      </c:scatterChart>
      <c:valAx>
        <c:axId val="-20985292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115308576"/>
        <c:crosses val="autoZero"/>
        <c:crossBetween val="midCat"/>
      </c:valAx>
      <c:valAx>
        <c:axId val="2115308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0985292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12b: U5MR ratio vs. spending per capita on shelter and infrastructure</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'source_data_PWTPPP_update_9-17-'!$BM$2:$BM$21</c:f>
              <c:numCache>
                <c:formatCode>General</c:formatCode>
                <c:ptCount val="20"/>
                <c:pt idx="0">
                  <c:v>44.1111345</c:v>
                </c:pt>
                <c:pt idx="1">
                  <c:v>107.5828393</c:v>
                </c:pt>
                <c:pt idx="2">
                  <c:v>40.14685182</c:v>
                </c:pt>
                <c:pt idx="3">
                  <c:v>86.88621809</c:v>
                </c:pt>
                <c:pt idx="4">
                  <c:v>33.9416257</c:v>
                </c:pt>
                <c:pt idx="5">
                  <c:v>396.8934346</c:v>
                </c:pt>
                <c:pt idx="6">
                  <c:v>154.8816324</c:v>
                </c:pt>
                <c:pt idx="7">
                  <c:v>35.53613858</c:v>
                </c:pt>
                <c:pt idx="8">
                  <c:v>170.4930816</c:v>
                </c:pt>
                <c:pt idx="9">
                  <c:v>13.49331694</c:v>
                </c:pt>
                <c:pt idx="10">
                  <c:v>29.87119776</c:v>
                </c:pt>
                <c:pt idx="11">
                  <c:v>17.14649336</c:v>
                </c:pt>
                <c:pt idx="12">
                  <c:v>15.48243907</c:v>
                </c:pt>
                <c:pt idx="13">
                  <c:v>15.0803904</c:v>
                </c:pt>
                <c:pt idx="14">
                  <c:v>22.94486309</c:v>
                </c:pt>
                <c:pt idx="15">
                  <c:v>2.058072853</c:v>
                </c:pt>
                <c:pt idx="16">
                  <c:v>14.19143235</c:v>
                </c:pt>
                <c:pt idx="17">
                  <c:v>32.41814845</c:v>
                </c:pt>
                <c:pt idx="18">
                  <c:v>32.77209117</c:v>
                </c:pt>
                <c:pt idx="19">
                  <c:v>5.062984901999982</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824265696"/>
        <c:axId val="2115663744"/>
      </c:scatterChart>
      <c:valAx>
        <c:axId val="18242656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115663744"/>
        <c:crosses val="autoZero"/>
        <c:crossBetween val="midCat"/>
      </c:valAx>
      <c:valAx>
        <c:axId val="2115663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242656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13a: CMR ratio vs. spending per capita on</a:t>
            </a:r>
            <a:r>
              <a:rPr lang="en-US" baseline="0"/>
              <a:t> non-food items</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'source_data_PWTPPP_update_9-17-'!$BN$2:$BN$21</c:f>
              <c:numCache>
                <c:formatCode>General</c:formatCode>
                <c:ptCount val="20"/>
                <c:pt idx="0">
                  <c:v>27.44907878</c:v>
                </c:pt>
                <c:pt idx="1">
                  <c:v>54.96430663</c:v>
                </c:pt>
                <c:pt idx="2">
                  <c:v>3.807685704</c:v>
                </c:pt>
                <c:pt idx="3">
                  <c:v>112.2370751</c:v>
                </c:pt>
                <c:pt idx="4">
                  <c:v>65.95128009</c:v>
                </c:pt>
                <c:pt idx="5">
                  <c:v>186.4358051</c:v>
                </c:pt>
                <c:pt idx="6">
                  <c:v>258.0665836</c:v>
                </c:pt>
                <c:pt idx="7">
                  <c:v>22.16197669</c:v>
                </c:pt>
                <c:pt idx="8">
                  <c:v>92.04531729</c:v>
                </c:pt>
                <c:pt idx="9">
                  <c:v>27.18464517</c:v>
                </c:pt>
                <c:pt idx="10">
                  <c:v>39.5564654</c:v>
                </c:pt>
                <c:pt idx="11">
                  <c:v>68.99323391</c:v>
                </c:pt>
                <c:pt idx="12">
                  <c:v>3.595255390999998</c:v>
                </c:pt>
                <c:pt idx="13">
                  <c:v>15.18356613</c:v>
                </c:pt>
                <c:pt idx="14">
                  <c:v>19.18039217</c:v>
                </c:pt>
                <c:pt idx="15">
                  <c:v>22.55265296</c:v>
                </c:pt>
                <c:pt idx="16">
                  <c:v>23.5034742</c:v>
                </c:pt>
                <c:pt idx="17">
                  <c:v>15.8420284</c:v>
                </c:pt>
                <c:pt idx="18">
                  <c:v>7.846760384</c:v>
                </c:pt>
                <c:pt idx="19">
                  <c:v>12.76565348</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901243584"/>
        <c:axId val="2115803536"/>
      </c:scatterChart>
      <c:valAx>
        <c:axId val="19012435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115803536"/>
        <c:crosses val="autoZero"/>
        <c:crossBetween val="midCat"/>
      </c:valAx>
      <c:valAx>
        <c:axId val="2115803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012435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13b: U5MR ratio vs. spending per capita on</a:t>
            </a:r>
            <a:r>
              <a:rPr lang="en-US" baseline="0"/>
              <a:t> non-food items</a:t>
            </a:r>
            <a:endParaRPr lang="en-US"/>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'source_data_PWTPPP_update_9-17-'!$BN$2:$BN$21</c:f>
              <c:numCache>
                <c:formatCode>General</c:formatCode>
                <c:ptCount val="20"/>
                <c:pt idx="0">
                  <c:v>27.44907878</c:v>
                </c:pt>
                <c:pt idx="1">
                  <c:v>54.96430663</c:v>
                </c:pt>
                <c:pt idx="2">
                  <c:v>3.807685704</c:v>
                </c:pt>
                <c:pt idx="3">
                  <c:v>112.2370751</c:v>
                </c:pt>
                <c:pt idx="4">
                  <c:v>65.95128009</c:v>
                </c:pt>
                <c:pt idx="5">
                  <c:v>186.4358051</c:v>
                </c:pt>
                <c:pt idx="6">
                  <c:v>258.0665836</c:v>
                </c:pt>
                <c:pt idx="7">
                  <c:v>22.16197669</c:v>
                </c:pt>
                <c:pt idx="8">
                  <c:v>92.04531729</c:v>
                </c:pt>
                <c:pt idx="9">
                  <c:v>27.18464517</c:v>
                </c:pt>
                <c:pt idx="10">
                  <c:v>39.5564654</c:v>
                </c:pt>
                <c:pt idx="11">
                  <c:v>68.99323391</c:v>
                </c:pt>
                <c:pt idx="12">
                  <c:v>3.595255390999998</c:v>
                </c:pt>
                <c:pt idx="13">
                  <c:v>15.18356613</c:v>
                </c:pt>
                <c:pt idx="14">
                  <c:v>19.18039217</c:v>
                </c:pt>
                <c:pt idx="15">
                  <c:v>22.55265296</c:v>
                </c:pt>
                <c:pt idx="16">
                  <c:v>23.5034742</c:v>
                </c:pt>
                <c:pt idx="17">
                  <c:v>15.8420284</c:v>
                </c:pt>
                <c:pt idx="18">
                  <c:v>7.846760384</c:v>
                </c:pt>
                <c:pt idx="19">
                  <c:v>12.76565348</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2099300960"/>
        <c:axId val="1900862800"/>
      </c:scatterChart>
      <c:valAx>
        <c:axId val="-20993009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00862800"/>
        <c:crosses val="autoZero"/>
        <c:crossBetween val="midCat"/>
      </c:valAx>
      <c:valAx>
        <c:axId val="1900862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0993009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14a: CMR ratio vs. spending per capita on food security and nutrition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'source_data_PWTPPP_update_9-17-'!$BO$2:$BO$21</c:f>
              <c:numCache>
                <c:formatCode>General</c:formatCode>
                <c:ptCount val="20"/>
                <c:pt idx="0">
                  <c:v>17.96001923999991</c:v>
                </c:pt>
                <c:pt idx="1">
                  <c:v>87.5739598</c:v>
                </c:pt>
                <c:pt idx="2">
                  <c:v>27.60616407</c:v>
                </c:pt>
                <c:pt idx="3">
                  <c:v>48.14354814</c:v>
                </c:pt>
                <c:pt idx="4">
                  <c:v>5.19486231</c:v>
                </c:pt>
                <c:pt idx="5">
                  <c:v>204.3225715</c:v>
                </c:pt>
                <c:pt idx="6">
                  <c:v>69.7732712</c:v>
                </c:pt>
                <c:pt idx="7">
                  <c:v>0.0</c:v>
                </c:pt>
                <c:pt idx="8">
                  <c:v>48.66861916</c:v>
                </c:pt>
                <c:pt idx="9">
                  <c:v>7.91208354099999</c:v>
                </c:pt>
                <c:pt idx="10">
                  <c:v>0.0</c:v>
                </c:pt>
                <c:pt idx="11">
                  <c:v>0.0</c:v>
                </c:pt>
                <c:pt idx="12">
                  <c:v>18.94398148</c:v>
                </c:pt>
                <c:pt idx="13">
                  <c:v>0.0</c:v>
                </c:pt>
                <c:pt idx="14">
                  <c:v>25.4019407</c:v>
                </c:pt>
                <c:pt idx="15">
                  <c:v>0.0</c:v>
                </c:pt>
                <c:pt idx="16">
                  <c:v>0.0</c:v>
                </c:pt>
                <c:pt idx="17">
                  <c:v>10.52690117</c:v>
                </c:pt>
                <c:pt idx="18">
                  <c:v>6.412977291</c:v>
                </c:pt>
                <c:pt idx="19">
                  <c:v>10.81250488</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2099487552"/>
        <c:axId val="1811558544"/>
      </c:scatterChart>
      <c:valAx>
        <c:axId val="-20994875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11558544"/>
        <c:crosses val="autoZero"/>
        <c:crossBetween val="midCat"/>
      </c:valAx>
      <c:valAx>
        <c:axId val="1811558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0994875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14b: U5MR ratio vs. spending per capita on food security and nutrition</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'source_data_PWTPPP_update_9-17-'!$BO$2:$BO$21</c:f>
              <c:numCache>
                <c:formatCode>General</c:formatCode>
                <c:ptCount val="20"/>
                <c:pt idx="0">
                  <c:v>17.96001923999991</c:v>
                </c:pt>
                <c:pt idx="1">
                  <c:v>87.5739598</c:v>
                </c:pt>
                <c:pt idx="2">
                  <c:v>27.60616407</c:v>
                </c:pt>
                <c:pt idx="3">
                  <c:v>48.14354814</c:v>
                </c:pt>
                <c:pt idx="4">
                  <c:v>5.19486231</c:v>
                </c:pt>
                <c:pt idx="5">
                  <c:v>204.3225715</c:v>
                </c:pt>
                <c:pt idx="6">
                  <c:v>69.7732712</c:v>
                </c:pt>
                <c:pt idx="7">
                  <c:v>0.0</c:v>
                </c:pt>
                <c:pt idx="8">
                  <c:v>48.66861916</c:v>
                </c:pt>
                <c:pt idx="9">
                  <c:v>7.91208354099999</c:v>
                </c:pt>
                <c:pt idx="10">
                  <c:v>0.0</c:v>
                </c:pt>
                <c:pt idx="11">
                  <c:v>0.0</c:v>
                </c:pt>
                <c:pt idx="12">
                  <c:v>18.94398148</c:v>
                </c:pt>
                <c:pt idx="13">
                  <c:v>0.0</c:v>
                </c:pt>
                <c:pt idx="14">
                  <c:v>25.4019407</c:v>
                </c:pt>
                <c:pt idx="15">
                  <c:v>0.0</c:v>
                </c:pt>
                <c:pt idx="16">
                  <c:v>0.0</c:v>
                </c:pt>
                <c:pt idx="17">
                  <c:v>10.52690117</c:v>
                </c:pt>
                <c:pt idx="18">
                  <c:v>6.412977291</c:v>
                </c:pt>
                <c:pt idx="19">
                  <c:v>10.81250488</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1903624528"/>
        <c:axId val="1903382448"/>
      </c:scatterChart>
      <c:valAx>
        <c:axId val="19036245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03382448"/>
        <c:crosses val="autoZero"/>
        <c:crossBetween val="midCat"/>
      </c:valAx>
      <c:valAx>
        <c:axId val="1903382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90362452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15a: CMR ratio vs. spending per capita on healthcare services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'source_data_PWTPPP_update_9-17-'!$BP$2:$BP$21</c:f>
              <c:numCache>
                <c:formatCode>General</c:formatCode>
                <c:ptCount val="20"/>
                <c:pt idx="0">
                  <c:v>127.3939787</c:v>
                </c:pt>
                <c:pt idx="1">
                  <c:v>85.45355395</c:v>
                </c:pt>
                <c:pt idx="2">
                  <c:v>121.2932629</c:v>
                </c:pt>
                <c:pt idx="3">
                  <c:v>139.2598149</c:v>
                </c:pt>
                <c:pt idx="4">
                  <c:v>139.3560265</c:v>
                </c:pt>
                <c:pt idx="5">
                  <c:v>173.6489698</c:v>
                </c:pt>
                <c:pt idx="6">
                  <c:v>222.6672166</c:v>
                </c:pt>
                <c:pt idx="7">
                  <c:v>51.33949779</c:v>
                </c:pt>
                <c:pt idx="8">
                  <c:v>78.95256193</c:v>
                </c:pt>
                <c:pt idx="9">
                  <c:v>47.27148781</c:v>
                </c:pt>
                <c:pt idx="10">
                  <c:v>53.7041317</c:v>
                </c:pt>
                <c:pt idx="11">
                  <c:v>51.08784506999999</c:v>
                </c:pt>
                <c:pt idx="12">
                  <c:v>64.98643086</c:v>
                </c:pt>
                <c:pt idx="13">
                  <c:v>55.92663536</c:v>
                </c:pt>
                <c:pt idx="14">
                  <c:v>78.35821199999998</c:v>
                </c:pt>
                <c:pt idx="15">
                  <c:v>7.281565362</c:v>
                </c:pt>
                <c:pt idx="16">
                  <c:v>12.39226633</c:v>
                </c:pt>
                <c:pt idx="17">
                  <c:v>65.93763624</c:v>
                </c:pt>
                <c:pt idx="18">
                  <c:v>23.17429443</c:v>
                </c:pt>
                <c:pt idx="19">
                  <c:v>25.90829699</c:v>
                </c:pt>
              </c:numCache>
            </c:numRef>
          </c:xVal>
          <c:yVal>
            <c:numRef>
              <c:f>'source_data_PWTPPP_update_9-17-'!$J$2:$J$21</c:f>
              <c:numCache>
                <c:formatCode>General</c:formatCode>
                <c:ptCount val="20"/>
                <c:pt idx="0">
                  <c:v>0.198271014</c:v>
                </c:pt>
                <c:pt idx="1">
                  <c:v>0.519723622</c:v>
                </c:pt>
                <c:pt idx="2">
                  <c:v>0.309678883</c:v>
                </c:pt>
                <c:pt idx="3">
                  <c:v>0.107334586</c:v>
                </c:pt>
                <c:pt idx="4">
                  <c:v>0.136642393</c:v>
                </c:pt>
                <c:pt idx="5">
                  <c:v>0.22168178</c:v>
                </c:pt>
                <c:pt idx="6">
                  <c:v>0.060600125</c:v>
                </c:pt>
                <c:pt idx="7">
                  <c:v>0.2520685</c:v>
                </c:pt>
                <c:pt idx="8">
                  <c:v>0.320898261</c:v>
                </c:pt>
                <c:pt idx="9">
                  <c:v>0.269651955</c:v>
                </c:pt>
                <c:pt idx="10">
                  <c:v>0.551689255</c:v>
                </c:pt>
                <c:pt idx="11">
                  <c:v>0.279951745</c:v>
                </c:pt>
                <c:pt idx="12">
                  <c:v>0.442886957</c:v>
                </c:pt>
                <c:pt idx="13">
                  <c:v>0.215551481</c:v>
                </c:pt>
                <c:pt idx="14">
                  <c:v>0.180609703</c:v>
                </c:pt>
                <c:pt idx="15">
                  <c:v>0.433485013</c:v>
                </c:pt>
                <c:pt idx="16">
                  <c:v>0.374150023</c:v>
                </c:pt>
                <c:pt idx="17">
                  <c:v>0.119579518</c:v>
                </c:pt>
                <c:pt idx="18">
                  <c:v>0.289313765</c:v>
                </c:pt>
                <c:pt idx="19">
                  <c:v>0.110083994</c:v>
                </c:pt>
              </c:numCache>
            </c:numRef>
          </c:yVal>
          <c:smooth val="0"/>
        </c:ser>
        <c:dLbls>
          <c:showLegendKey val="0"/>
          <c:showVal val="0"/>
          <c:showCatName val="0"/>
          <c:showSerName val="0"/>
          <c:showPercent val="0"/>
          <c:showBubbleSize val="0"/>
        </c:dLbls>
        <c:axId val="1809013024"/>
        <c:axId val="-2100058608"/>
      </c:scatterChart>
      <c:valAx>
        <c:axId val="18090130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100058608"/>
        <c:crosses val="autoZero"/>
        <c:crossBetween val="midCat"/>
      </c:valAx>
      <c:valAx>
        <c:axId val="-2100058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CMR / Country</a:t>
                </a:r>
              </a:p>
              <a:p>
                <a:pPr>
                  <a:defRPr/>
                </a:pPr>
                <a:r>
                  <a:rPr lang="en-US"/>
                  <a:t>of asylum CMR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090130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15b: U5MR ratio vs. spending per capita on healthcare services</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U5MR ratio</c:v>
          </c:tx>
          <c:spPr>
            <a:ln w="25400" cap="rnd">
              <a:noFill/>
              <a:round/>
            </a:ln>
            <a:effectLst/>
          </c:spPr>
          <c:marker>
            <c:symbol val="circle"/>
            <c:size val="5"/>
            <c:spPr>
              <a:noFill/>
              <a:ln w="9525">
                <a:solidFill>
                  <a:schemeClr val="tx1"/>
                </a:solidFill>
              </a:ln>
              <a:effectLst/>
            </c:spPr>
          </c:marker>
          <c:xVal>
            <c:numRef>
              <c:f>'source_data_PWTPPP_update_9-17-'!$BP$2:$BP$21</c:f>
              <c:numCache>
                <c:formatCode>General</c:formatCode>
                <c:ptCount val="20"/>
                <c:pt idx="0">
                  <c:v>127.3939787</c:v>
                </c:pt>
                <c:pt idx="1">
                  <c:v>85.45355395</c:v>
                </c:pt>
                <c:pt idx="2">
                  <c:v>121.2932629</c:v>
                </c:pt>
                <c:pt idx="3">
                  <c:v>139.2598149</c:v>
                </c:pt>
                <c:pt idx="4">
                  <c:v>139.3560265</c:v>
                </c:pt>
                <c:pt idx="5">
                  <c:v>173.6489698</c:v>
                </c:pt>
                <c:pt idx="6">
                  <c:v>222.6672166</c:v>
                </c:pt>
                <c:pt idx="7">
                  <c:v>51.33949779</c:v>
                </c:pt>
                <c:pt idx="8">
                  <c:v>78.95256193</c:v>
                </c:pt>
                <c:pt idx="9">
                  <c:v>47.27148781</c:v>
                </c:pt>
                <c:pt idx="10">
                  <c:v>53.7041317</c:v>
                </c:pt>
                <c:pt idx="11">
                  <c:v>51.08784506999999</c:v>
                </c:pt>
                <c:pt idx="12">
                  <c:v>64.98643086</c:v>
                </c:pt>
                <c:pt idx="13">
                  <c:v>55.92663536</c:v>
                </c:pt>
                <c:pt idx="14">
                  <c:v>78.35821199999998</c:v>
                </c:pt>
                <c:pt idx="15">
                  <c:v>7.281565362</c:v>
                </c:pt>
                <c:pt idx="16">
                  <c:v>12.39226633</c:v>
                </c:pt>
                <c:pt idx="17">
                  <c:v>65.93763624</c:v>
                </c:pt>
                <c:pt idx="18">
                  <c:v>23.17429443</c:v>
                </c:pt>
                <c:pt idx="19">
                  <c:v>25.90829699</c:v>
                </c:pt>
              </c:numCache>
            </c:numRef>
          </c:xVal>
          <c:yVal>
            <c:numRef>
              <c:f>'source_data_PWTPPP_update_9-17-'!$N$2:$N$21</c:f>
              <c:numCache>
                <c:formatCode>General</c:formatCode>
                <c:ptCount val="20"/>
                <c:pt idx="0">
                  <c:v>0.37626103</c:v>
                </c:pt>
                <c:pt idx="1">
                  <c:v>0.20151741</c:v>
                </c:pt>
                <c:pt idx="2">
                  <c:v>0.234017691</c:v>
                </c:pt>
                <c:pt idx="3">
                  <c:v>0.107336763</c:v>
                </c:pt>
                <c:pt idx="4">
                  <c:v>0.130472627</c:v>
                </c:pt>
                <c:pt idx="5">
                  <c:v>0.303724372</c:v>
                </c:pt>
                <c:pt idx="6">
                  <c:v>0.0348941</c:v>
                </c:pt>
                <c:pt idx="7">
                  <c:v>0.236941453</c:v>
                </c:pt>
                <c:pt idx="8">
                  <c:v>0.366883817</c:v>
                </c:pt>
                <c:pt idx="9">
                  <c:v>0.659578839</c:v>
                </c:pt>
                <c:pt idx="10">
                  <c:v>0.23526966</c:v>
                </c:pt>
                <c:pt idx="11">
                  <c:v>0.251051815</c:v>
                </c:pt>
                <c:pt idx="12">
                  <c:v>0.281732701</c:v>
                </c:pt>
                <c:pt idx="13">
                  <c:v>0.220523408</c:v>
                </c:pt>
                <c:pt idx="14">
                  <c:v>0.118440593</c:v>
                </c:pt>
                <c:pt idx="15">
                  <c:v>0.722739601</c:v>
                </c:pt>
                <c:pt idx="16">
                  <c:v>0.349361548</c:v>
                </c:pt>
                <c:pt idx="17">
                  <c:v>0.128853476</c:v>
                </c:pt>
                <c:pt idx="18">
                  <c:v>0.273810274</c:v>
                </c:pt>
                <c:pt idx="19">
                  <c:v>0.196055591</c:v>
                </c:pt>
              </c:numCache>
            </c:numRef>
          </c:yVal>
          <c:smooth val="0"/>
        </c:ser>
        <c:dLbls>
          <c:showLegendKey val="0"/>
          <c:showVal val="0"/>
          <c:showCatName val="0"/>
          <c:showSerName val="0"/>
          <c:showPercent val="0"/>
          <c:showBubbleSize val="0"/>
        </c:dLbls>
        <c:axId val="-2121686144"/>
        <c:axId val="1834191648"/>
      </c:scatterChart>
      <c:valAx>
        <c:axId val="-2121686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Spending per capita, PPP-adjusted 2011 US$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834191648"/>
        <c:crosses val="autoZero"/>
        <c:crossBetween val="midCat"/>
      </c:valAx>
      <c:valAx>
        <c:axId val="1834191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a:t>Refugee U5MR / Country</a:t>
                </a:r>
              </a:p>
              <a:p>
                <a:pPr>
                  <a:defRPr/>
                </a:pPr>
                <a:r>
                  <a:rPr lang="en-US"/>
                  <a:t>of asylum U5MR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1216861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1818</Words>
  <Characters>10365</Characters>
  <Application>Microsoft Macintosh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2016-08-19T21:57:00Z</dcterms:created>
  <dcterms:modified xsi:type="dcterms:W3CDTF">2016-08-19T21:57:00Z</dcterms:modified>
</cp:coreProperties>
</file>