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4EF696" w14:textId="4481172B" w:rsidR="007F0B71" w:rsidRDefault="00DF5E6E" w:rsidP="00702181">
      <w:pPr>
        <w:outlineLvl w:val="0"/>
      </w:pPr>
      <w:r>
        <w:t>Additional file 1</w:t>
      </w:r>
      <w:r w:rsidR="00702181">
        <w:t>: Conflict events and violence related mortality in North and South Kivu</w:t>
      </w:r>
    </w:p>
    <w:p w14:paraId="2762B646" w14:textId="10F75341" w:rsidR="00702181" w:rsidRDefault="00702181" w:rsidP="00702181">
      <w:pPr>
        <w:outlineLvl w:val="0"/>
      </w:pPr>
    </w:p>
    <w:p w14:paraId="7B41A473" w14:textId="2EFE6553" w:rsidR="00702181" w:rsidRDefault="00702181" w:rsidP="00702181">
      <w:pPr>
        <w:outlineLvl w:val="0"/>
      </w:pPr>
      <w:r>
        <w:t>Data source: ACLED</w:t>
      </w:r>
      <w:r w:rsidR="00DB2FF9">
        <w:t xml:space="preserve"> </w:t>
      </w:r>
      <w:r w:rsidR="00DB2FF9">
        <w:fldChar w:fldCharType="begin" w:fldLock="1"/>
      </w:r>
      <w:r w:rsidR="00DB2FF9">
        <w:instrText>ADDIN CSL_CITATION {"citationItems":[{"id":"ITEM-1","itemData":{"ISSN":"0022-3433","abstract":"This article presents ACLED, an Armed Conflict Location and Event Dataset. ACLED codes the actions of rebels, governments, and militias within unstable states, specifying the exact location and date of battle events, transfers of military control, headquarter establishment, civilian violence, and rioting. In the current version, the dataset covers 50 unstable countries from 1997 through 2010. ACLED's disaggregation of civil war and transnational violent events allow for research on local level factors and the dynamics of civil and communal conflict. Findings from subnational conflict research challenges conclusions from larger national-level studies. In a brief descriptive analysis, the authors find that, on average, conflict covers 15% of a state's territory, but almost half of a state can be directly affected by internal wars.","author":[{"dropping-particle":"","family":"Raleigh","given":"Clionadh","non-dropping-particle":"","parse-names":false,"suffix":""},{"dropping-particle":"","family":"Linke","given":"Andrew","non-dropping-particle":"","parse-names":false,"suffix":""},{"dropping-particle":"","family":"Hegre","given":"Håvard","non-dropping-particle":"","parse-names":false,"suffix":""},{"dropping-particle":"","family":"Karlsen","given":"Joakim","non-dropping-particle":"","parse-names":false,"suffix":""}],"container-title":"Journal of Peace Research","id":"ITEM-1","issue":"5","issued":{"date-parts":[["2010","9"]]},"page":"651-660","title":"Introducing ACLED: An Armed Conflict Location and Event Dataset","title-short":"Introducing ACLED","type":"article-journal","volume":"47"},"uris":["http://www.mendeley.com/documents/?uuid=cca59348-ab65-48e7-90c0-a281be4bc0bb"]}],"mendeley":{"formattedCitation":"[1]","plainTextFormattedCitation":"[1]"},"properties":{"noteIndex":0},"schema":"https://github.com/citation-style-language/schema/raw/master/csl-citation.json"}</w:instrText>
      </w:r>
      <w:r w:rsidR="00DB2FF9">
        <w:fldChar w:fldCharType="separate"/>
      </w:r>
      <w:r w:rsidR="00DB2FF9" w:rsidRPr="00DB2FF9">
        <w:rPr>
          <w:noProof/>
        </w:rPr>
        <w:t>[1]</w:t>
      </w:r>
      <w:r w:rsidR="00DB2FF9">
        <w:fldChar w:fldCharType="end"/>
      </w:r>
    </w:p>
    <w:p w14:paraId="767F893C" w14:textId="77777777" w:rsidR="00F04B1B" w:rsidRDefault="00F04B1B"/>
    <w:p w14:paraId="430F5C0C" w14:textId="77777777" w:rsidR="00F04B1B" w:rsidRDefault="00F04B1B" w:rsidP="00F04B1B">
      <w:pPr>
        <w:pStyle w:val="Caption"/>
        <w:keepNext/>
      </w:pPr>
      <w:bookmarkStart w:id="0" w:name="_Toc532286586"/>
      <w:r>
        <w:t xml:space="preserve">Table </w:t>
      </w:r>
      <w:r>
        <w:rPr>
          <w:noProof/>
        </w:rPr>
        <w:fldChar w:fldCharType="begin"/>
      </w:r>
      <w:r>
        <w:rPr>
          <w:noProof/>
        </w:rPr>
        <w:instrText xml:space="preserve"> SEQ Table \* ARABIC </w:instrText>
      </w:r>
      <w:r>
        <w:rPr>
          <w:noProof/>
        </w:rPr>
        <w:fldChar w:fldCharType="separate"/>
      </w:r>
      <w:r>
        <w:rPr>
          <w:noProof/>
        </w:rPr>
        <w:t>1</w:t>
      </w:r>
      <w:r>
        <w:rPr>
          <w:noProof/>
        </w:rPr>
        <w:fldChar w:fldCharType="end"/>
      </w:r>
      <w:r>
        <w:t>: Number (and Proportion) of Conflict Events and Deaths in DRC, North and South Kivu, 2012-2017</w:t>
      </w:r>
      <w:bookmarkEnd w:id="0"/>
    </w:p>
    <w:tbl>
      <w:tblPr>
        <w:tblStyle w:val="ListTable6Colorful"/>
        <w:tblW w:w="9445" w:type="dxa"/>
        <w:tblLayout w:type="fixed"/>
        <w:tblLook w:val="04A0" w:firstRow="1" w:lastRow="0" w:firstColumn="1" w:lastColumn="0" w:noHBand="0" w:noVBand="1"/>
      </w:tblPr>
      <w:tblGrid>
        <w:gridCol w:w="1165"/>
        <w:gridCol w:w="1170"/>
        <w:gridCol w:w="1170"/>
        <w:gridCol w:w="1170"/>
        <w:gridCol w:w="1170"/>
        <w:gridCol w:w="1170"/>
        <w:gridCol w:w="1170"/>
        <w:gridCol w:w="1260"/>
      </w:tblGrid>
      <w:tr w:rsidR="00F04B1B" w:rsidRPr="00702181" w14:paraId="553B8E92" w14:textId="77777777" w:rsidTr="00C50896">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65" w:type="dxa"/>
            <w:shd w:val="clear" w:color="auto" w:fill="auto"/>
            <w:noWrap/>
            <w:vAlign w:val="center"/>
            <w:hideMark/>
          </w:tcPr>
          <w:p w14:paraId="3F4B01DD" w14:textId="77777777" w:rsidR="00F04B1B" w:rsidRPr="00702181" w:rsidRDefault="00F04B1B" w:rsidP="00C50896">
            <w:pPr>
              <w:contextualSpacing/>
              <w:rPr>
                <w:rFonts w:eastAsia="Times New Roman" w:cstheme="minorHAnsi"/>
                <w:b w:val="0"/>
                <w:sz w:val="20"/>
                <w:szCs w:val="20"/>
              </w:rPr>
            </w:pPr>
            <w:r w:rsidRPr="00702181">
              <w:rPr>
                <w:rFonts w:eastAsia="Times New Roman" w:cstheme="minorHAnsi"/>
                <w:b w:val="0"/>
                <w:sz w:val="20"/>
                <w:szCs w:val="20"/>
              </w:rPr>
              <w:t>Conflict variables</w:t>
            </w:r>
          </w:p>
        </w:tc>
        <w:tc>
          <w:tcPr>
            <w:tcW w:w="1170" w:type="dxa"/>
            <w:shd w:val="clear" w:color="auto" w:fill="auto"/>
            <w:noWrap/>
            <w:vAlign w:val="center"/>
            <w:hideMark/>
          </w:tcPr>
          <w:p w14:paraId="3B935C65" w14:textId="77777777" w:rsidR="00F04B1B" w:rsidRPr="00702181" w:rsidRDefault="00F04B1B" w:rsidP="00C50896">
            <w:pPr>
              <w:contextualSpacing/>
              <w:cnfStyle w:val="100000000000" w:firstRow="1" w:lastRow="0" w:firstColumn="0" w:lastColumn="0" w:oddVBand="0" w:evenVBand="0" w:oddHBand="0" w:evenHBand="0" w:firstRowFirstColumn="0" w:firstRowLastColumn="0" w:lastRowFirstColumn="0" w:lastRowLastColumn="0"/>
              <w:rPr>
                <w:rFonts w:eastAsia="Times New Roman" w:cstheme="minorHAnsi"/>
                <w:b w:val="0"/>
                <w:sz w:val="20"/>
                <w:szCs w:val="20"/>
              </w:rPr>
            </w:pPr>
            <w:r w:rsidRPr="00702181">
              <w:rPr>
                <w:rFonts w:eastAsia="Times New Roman" w:cstheme="minorHAnsi"/>
                <w:b w:val="0"/>
                <w:bCs w:val="0"/>
                <w:sz w:val="20"/>
                <w:szCs w:val="20"/>
              </w:rPr>
              <w:t>2012</w:t>
            </w:r>
          </w:p>
        </w:tc>
        <w:tc>
          <w:tcPr>
            <w:tcW w:w="1170" w:type="dxa"/>
            <w:shd w:val="clear" w:color="auto" w:fill="auto"/>
            <w:noWrap/>
            <w:vAlign w:val="center"/>
            <w:hideMark/>
          </w:tcPr>
          <w:p w14:paraId="1F4C51C1" w14:textId="77777777" w:rsidR="00F04B1B" w:rsidRPr="00702181" w:rsidRDefault="00F04B1B" w:rsidP="00C50896">
            <w:pPr>
              <w:contextualSpacing/>
              <w:cnfStyle w:val="100000000000" w:firstRow="1" w:lastRow="0" w:firstColumn="0" w:lastColumn="0" w:oddVBand="0" w:evenVBand="0" w:oddHBand="0" w:evenHBand="0" w:firstRowFirstColumn="0" w:firstRowLastColumn="0" w:lastRowFirstColumn="0" w:lastRowLastColumn="0"/>
              <w:rPr>
                <w:rFonts w:eastAsia="Times New Roman" w:cstheme="minorHAnsi"/>
                <w:b w:val="0"/>
                <w:sz w:val="20"/>
                <w:szCs w:val="20"/>
              </w:rPr>
            </w:pPr>
            <w:r w:rsidRPr="00702181">
              <w:rPr>
                <w:rFonts w:eastAsia="Times New Roman" w:cstheme="minorHAnsi"/>
                <w:b w:val="0"/>
                <w:sz w:val="20"/>
                <w:szCs w:val="20"/>
              </w:rPr>
              <w:t>2013</w:t>
            </w:r>
          </w:p>
        </w:tc>
        <w:tc>
          <w:tcPr>
            <w:tcW w:w="1170" w:type="dxa"/>
            <w:shd w:val="clear" w:color="auto" w:fill="auto"/>
            <w:noWrap/>
            <w:vAlign w:val="center"/>
            <w:hideMark/>
          </w:tcPr>
          <w:p w14:paraId="4DE92265" w14:textId="77777777" w:rsidR="00F04B1B" w:rsidRPr="00702181" w:rsidRDefault="00F04B1B" w:rsidP="00C50896">
            <w:pPr>
              <w:contextualSpacing/>
              <w:cnfStyle w:val="100000000000" w:firstRow="1" w:lastRow="0" w:firstColumn="0" w:lastColumn="0" w:oddVBand="0" w:evenVBand="0" w:oddHBand="0" w:evenHBand="0" w:firstRowFirstColumn="0" w:firstRowLastColumn="0" w:lastRowFirstColumn="0" w:lastRowLastColumn="0"/>
              <w:rPr>
                <w:rFonts w:eastAsia="Times New Roman" w:cstheme="minorHAnsi"/>
                <w:b w:val="0"/>
                <w:sz w:val="20"/>
                <w:szCs w:val="20"/>
              </w:rPr>
            </w:pPr>
            <w:r w:rsidRPr="00702181">
              <w:rPr>
                <w:rFonts w:eastAsia="Times New Roman" w:cstheme="minorHAnsi"/>
                <w:b w:val="0"/>
                <w:sz w:val="20"/>
                <w:szCs w:val="20"/>
              </w:rPr>
              <w:t>2014</w:t>
            </w:r>
          </w:p>
        </w:tc>
        <w:tc>
          <w:tcPr>
            <w:tcW w:w="1170" w:type="dxa"/>
            <w:shd w:val="clear" w:color="auto" w:fill="auto"/>
            <w:noWrap/>
            <w:vAlign w:val="center"/>
            <w:hideMark/>
          </w:tcPr>
          <w:p w14:paraId="03D948E6" w14:textId="77777777" w:rsidR="00F04B1B" w:rsidRPr="00702181" w:rsidRDefault="00F04B1B" w:rsidP="00C50896">
            <w:pPr>
              <w:contextualSpacing/>
              <w:cnfStyle w:val="100000000000" w:firstRow="1" w:lastRow="0" w:firstColumn="0" w:lastColumn="0" w:oddVBand="0" w:evenVBand="0" w:oddHBand="0" w:evenHBand="0" w:firstRowFirstColumn="0" w:firstRowLastColumn="0" w:lastRowFirstColumn="0" w:lastRowLastColumn="0"/>
              <w:rPr>
                <w:rFonts w:eastAsia="Times New Roman" w:cstheme="minorHAnsi"/>
                <w:b w:val="0"/>
                <w:sz w:val="20"/>
                <w:szCs w:val="20"/>
              </w:rPr>
            </w:pPr>
            <w:r w:rsidRPr="00702181">
              <w:rPr>
                <w:rFonts w:eastAsia="Times New Roman" w:cstheme="minorHAnsi"/>
                <w:b w:val="0"/>
                <w:sz w:val="20"/>
                <w:szCs w:val="20"/>
              </w:rPr>
              <w:t>2015</w:t>
            </w:r>
          </w:p>
        </w:tc>
        <w:tc>
          <w:tcPr>
            <w:tcW w:w="1170" w:type="dxa"/>
            <w:shd w:val="clear" w:color="auto" w:fill="auto"/>
            <w:noWrap/>
            <w:vAlign w:val="center"/>
            <w:hideMark/>
          </w:tcPr>
          <w:p w14:paraId="41CE489E" w14:textId="77777777" w:rsidR="00F04B1B" w:rsidRPr="00702181" w:rsidRDefault="00F04B1B" w:rsidP="00C50896">
            <w:pPr>
              <w:contextualSpacing/>
              <w:cnfStyle w:val="100000000000" w:firstRow="1" w:lastRow="0" w:firstColumn="0" w:lastColumn="0" w:oddVBand="0" w:evenVBand="0" w:oddHBand="0" w:evenHBand="0" w:firstRowFirstColumn="0" w:firstRowLastColumn="0" w:lastRowFirstColumn="0" w:lastRowLastColumn="0"/>
              <w:rPr>
                <w:rFonts w:eastAsia="Times New Roman" w:cstheme="minorHAnsi"/>
                <w:b w:val="0"/>
                <w:sz w:val="20"/>
                <w:szCs w:val="20"/>
              </w:rPr>
            </w:pPr>
            <w:r w:rsidRPr="00702181">
              <w:rPr>
                <w:rFonts w:eastAsia="Times New Roman" w:cstheme="minorHAnsi"/>
                <w:b w:val="0"/>
                <w:sz w:val="20"/>
                <w:szCs w:val="20"/>
              </w:rPr>
              <w:t>2016</w:t>
            </w:r>
          </w:p>
        </w:tc>
        <w:tc>
          <w:tcPr>
            <w:tcW w:w="1170" w:type="dxa"/>
            <w:shd w:val="clear" w:color="auto" w:fill="auto"/>
            <w:noWrap/>
            <w:vAlign w:val="center"/>
            <w:hideMark/>
          </w:tcPr>
          <w:p w14:paraId="21C49D8E" w14:textId="77777777" w:rsidR="00F04B1B" w:rsidRPr="00702181" w:rsidRDefault="00F04B1B" w:rsidP="00C50896">
            <w:pPr>
              <w:contextualSpacing/>
              <w:cnfStyle w:val="100000000000" w:firstRow="1" w:lastRow="0" w:firstColumn="0" w:lastColumn="0" w:oddVBand="0" w:evenVBand="0" w:oddHBand="0" w:evenHBand="0" w:firstRowFirstColumn="0" w:firstRowLastColumn="0" w:lastRowFirstColumn="0" w:lastRowLastColumn="0"/>
              <w:rPr>
                <w:rFonts w:eastAsia="Times New Roman" w:cstheme="minorHAnsi"/>
                <w:b w:val="0"/>
                <w:sz w:val="20"/>
                <w:szCs w:val="20"/>
              </w:rPr>
            </w:pPr>
            <w:r w:rsidRPr="00702181">
              <w:rPr>
                <w:rFonts w:eastAsia="Times New Roman" w:cstheme="minorHAnsi"/>
                <w:b w:val="0"/>
                <w:sz w:val="20"/>
                <w:szCs w:val="20"/>
              </w:rPr>
              <w:t>2017</w:t>
            </w:r>
          </w:p>
        </w:tc>
        <w:tc>
          <w:tcPr>
            <w:tcW w:w="1260" w:type="dxa"/>
            <w:shd w:val="clear" w:color="auto" w:fill="auto"/>
            <w:noWrap/>
            <w:vAlign w:val="center"/>
            <w:hideMark/>
          </w:tcPr>
          <w:p w14:paraId="0EDD275B" w14:textId="77777777" w:rsidR="00F04B1B" w:rsidRPr="00702181" w:rsidRDefault="00F04B1B" w:rsidP="00C50896">
            <w:pPr>
              <w:contextualSpacing/>
              <w:cnfStyle w:val="100000000000" w:firstRow="1" w:lastRow="0" w:firstColumn="0" w:lastColumn="0" w:oddVBand="0" w:evenVBand="0" w:oddHBand="0" w:evenHBand="0" w:firstRowFirstColumn="0" w:firstRowLastColumn="0" w:lastRowFirstColumn="0" w:lastRowLastColumn="0"/>
              <w:rPr>
                <w:rFonts w:eastAsia="Times New Roman" w:cstheme="minorHAnsi"/>
                <w:b w:val="0"/>
                <w:sz w:val="20"/>
                <w:szCs w:val="20"/>
              </w:rPr>
            </w:pPr>
            <w:r w:rsidRPr="00702181">
              <w:rPr>
                <w:rFonts w:eastAsia="Times New Roman" w:cstheme="minorHAnsi"/>
                <w:b w:val="0"/>
                <w:bCs w:val="0"/>
                <w:sz w:val="20"/>
                <w:szCs w:val="20"/>
              </w:rPr>
              <w:t>Total</w:t>
            </w:r>
          </w:p>
        </w:tc>
      </w:tr>
      <w:tr w:rsidR="00F04B1B" w:rsidRPr="00702181" w14:paraId="574A0CF9" w14:textId="77777777" w:rsidTr="00C5089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65" w:type="dxa"/>
            <w:shd w:val="clear" w:color="auto" w:fill="auto"/>
            <w:noWrap/>
          </w:tcPr>
          <w:p w14:paraId="68D95FF0" w14:textId="77777777" w:rsidR="00F04B1B" w:rsidRPr="00702181" w:rsidRDefault="00F04B1B" w:rsidP="00C50896">
            <w:pPr>
              <w:contextualSpacing/>
              <w:rPr>
                <w:rFonts w:eastAsia="Times New Roman" w:cstheme="minorHAnsi"/>
                <w:b w:val="0"/>
                <w:bCs w:val="0"/>
                <w:sz w:val="20"/>
                <w:szCs w:val="20"/>
              </w:rPr>
            </w:pPr>
            <w:r w:rsidRPr="00702181">
              <w:rPr>
                <w:rFonts w:eastAsia="Times New Roman" w:cstheme="minorHAnsi"/>
                <w:b w:val="0"/>
                <w:bCs w:val="0"/>
                <w:sz w:val="20"/>
                <w:szCs w:val="20"/>
              </w:rPr>
              <w:t>North Kivu</w:t>
            </w:r>
          </w:p>
        </w:tc>
        <w:tc>
          <w:tcPr>
            <w:tcW w:w="1170" w:type="dxa"/>
            <w:shd w:val="clear" w:color="auto" w:fill="auto"/>
            <w:noWrap/>
          </w:tcPr>
          <w:p w14:paraId="76425F6A" w14:textId="77777777" w:rsidR="00F04B1B" w:rsidRPr="00702181"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bCs/>
                <w:sz w:val="20"/>
                <w:szCs w:val="20"/>
              </w:rPr>
            </w:pPr>
          </w:p>
        </w:tc>
        <w:tc>
          <w:tcPr>
            <w:tcW w:w="1170" w:type="dxa"/>
            <w:shd w:val="clear" w:color="auto" w:fill="auto"/>
            <w:noWrap/>
          </w:tcPr>
          <w:p w14:paraId="6B534E8E" w14:textId="77777777" w:rsidR="00F04B1B" w:rsidRPr="00702181"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bCs/>
                <w:sz w:val="20"/>
                <w:szCs w:val="20"/>
              </w:rPr>
            </w:pPr>
          </w:p>
        </w:tc>
        <w:tc>
          <w:tcPr>
            <w:tcW w:w="1170" w:type="dxa"/>
            <w:shd w:val="clear" w:color="auto" w:fill="auto"/>
            <w:noWrap/>
          </w:tcPr>
          <w:p w14:paraId="75F990E6" w14:textId="77777777" w:rsidR="00F04B1B" w:rsidRPr="00702181"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bCs/>
                <w:sz w:val="20"/>
                <w:szCs w:val="20"/>
              </w:rPr>
            </w:pPr>
          </w:p>
        </w:tc>
        <w:tc>
          <w:tcPr>
            <w:tcW w:w="1170" w:type="dxa"/>
            <w:shd w:val="clear" w:color="auto" w:fill="auto"/>
            <w:noWrap/>
          </w:tcPr>
          <w:p w14:paraId="0238B661" w14:textId="77777777" w:rsidR="00F04B1B" w:rsidRPr="00702181"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bCs/>
                <w:sz w:val="20"/>
                <w:szCs w:val="20"/>
              </w:rPr>
            </w:pPr>
          </w:p>
        </w:tc>
        <w:tc>
          <w:tcPr>
            <w:tcW w:w="1170" w:type="dxa"/>
            <w:shd w:val="clear" w:color="auto" w:fill="auto"/>
            <w:noWrap/>
          </w:tcPr>
          <w:p w14:paraId="54B94D3A" w14:textId="77777777" w:rsidR="00F04B1B" w:rsidRPr="00702181"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bCs/>
                <w:sz w:val="20"/>
                <w:szCs w:val="20"/>
              </w:rPr>
            </w:pPr>
          </w:p>
        </w:tc>
        <w:tc>
          <w:tcPr>
            <w:tcW w:w="1170" w:type="dxa"/>
            <w:shd w:val="clear" w:color="auto" w:fill="auto"/>
            <w:noWrap/>
          </w:tcPr>
          <w:p w14:paraId="63D4876E" w14:textId="77777777" w:rsidR="00F04B1B" w:rsidRPr="00702181"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bCs/>
                <w:sz w:val="20"/>
                <w:szCs w:val="20"/>
              </w:rPr>
            </w:pPr>
          </w:p>
        </w:tc>
        <w:tc>
          <w:tcPr>
            <w:tcW w:w="1260" w:type="dxa"/>
            <w:shd w:val="clear" w:color="auto" w:fill="auto"/>
            <w:noWrap/>
          </w:tcPr>
          <w:p w14:paraId="6B5C843D" w14:textId="77777777" w:rsidR="00F04B1B" w:rsidRPr="00702181"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bCs/>
                <w:sz w:val="20"/>
                <w:szCs w:val="20"/>
              </w:rPr>
            </w:pPr>
          </w:p>
        </w:tc>
      </w:tr>
      <w:tr w:rsidR="00F04B1B" w:rsidRPr="00702181" w14:paraId="205DEFA0" w14:textId="77777777" w:rsidTr="00C50896">
        <w:trPr>
          <w:trHeight w:val="280"/>
        </w:trPr>
        <w:tc>
          <w:tcPr>
            <w:cnfStyle w:val="001000000000" w:firstRow="0" w:lastRow="0" w:firstColumn="1" w:lastColumn="0" w:oddVBand="0" w:evenVBand="0" w:oddHBand="0" w:evenHBand="0" w:firstRowFirstColumn="0" w:firstRowLastColumn="0" w:lastRowFirstColumn="0" w:lastRowLastColumn="0"/>
            <w:tcW w:w="1165" w:type="dxa"/>
            <w:tcBorders>
              <w:bottom w:val="nil"/>
            </w:tcBorders>
            <w:shd w:val="clear" w:color="auto" w:fill="auto"/>
            <w:noWrap/>
            <w:hideMark/>
          </w:tcPr>
          <w:p w14:paraId="4EE08D30" w14:textId="77777777" w:rsidR="00F04B1B" w:rsidRPr="00702181" w:rsidRDefault="00F04B1B" w:rsidP="00C50896">
            <w:pPr>
              <w:contextualSpacing/>
              <w:rPr>
                <w:rFonts w:eastAsia="Times New Roman" w:cstheme="minorHAnsi"/>
                <w:b w:val="0"/>
                <w:sz w:val="20"/>
                <w:szCs w:val="20"/>
              </w:rPr>
            </w:pPr>
            <w:r w:rsidRPr="00702181">
              <w:rPr>
                <w:rFonts w:eastAsia="Times New Roman" w:cstheme="minorHAnsi"/>
                <w:b w:val="0"/>
                <w:sz w:val="20"/>
                <w:szCs w:val="20"/>
              </w:rPr>
              <w:t xml:space="preserve">  Events</w:t>
            </w:r>
          </w:p>
        </w:tc>
        <w:tc>
          <w:tcPr>
            <w:tcW w:w="1170" w:type="dxa"/>
            <w:tcBorders>
              <w:bottom w:val="nil"/>
            </w:tcBorders>
            <w:shd w:val="clear" w:color="auto" w:fill="auto"/>
            <w:noWrap/>
            <w:hideMark/>
          </w:tcPr>
          <w:p w14:paraId="17955763" w14:textId="77777777" w:rsidR="00F04B1B" w:rsidRPr="00702181"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561 (54.0)</w:t>
            </w:r>
          </w:p>
        </w:tc>
        <w:tc>
          <w:tcPr>
            <w:tcW w:w="1170" w:type="dxa"/>
            <w:tcBorders>
              <w:bottom w:val="nil"/>
            </w:tcBorders>
            <w:shd w:val="clear" w:color="auto" w:fill="auto"/>
            <w:noWrap/>
            <w:hideMark/>
          </w:tcPr>
          <w:p w14:paraId="5746287C" w14:textId="77777777" w:rsidR="00F04B1B" w:rsidRPr="00702181"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362 (43.4)</w:t>
            </w:r>
          </w:p>
        </w:tc>
        <w:tc>
          <w:tcPr>
            <w:tcW w:w="1170" w:type="dxa"/>
            <w:tcBorders>
              <w:bottom w:val="nil"/>
            </w:tcBorders>
            <w:shd w:val="clear" w:color="auto" w:fill="auto"/>
            <w:noWrap/>
            <w:hideMark/>
          </w:tcPr>
          <w:p w14:paraId="398C0DBD" w14:textId="77777777" w:rsidR="00F04B1B" w:rsidRPr="00702181"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369 (35.0)</w:t>
            </w:r>
          </w:p>
        </w:tc>
        <w:tc>
          <w:tcPr>
            <w:tcW w:w="1170" w:type="dxa"/>
            <w:tcBorders>
              <w:bottom w:val="nil"/>
            </w:tcBorders>
            <w:shd w:val="clear" w:color="auto" w:fill="auto"/>
            <w:noWrap/>
            <w:hideMark/>
          </w:tcPr>
          <w:p w14:paraId="4CF7ECB1" w14:textId="77777777" w:rsidR="00F04B1B" w:rsidRPr="00702181"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336 (40.6)</w:t>
            </w:r>
          </w:p>
        </w:tc>
        <w:tc>
          <w:tcPr>
            <w:tcW w:w="1170" w:type="dxa"/>
            <w:tcBorders>
              <w:bottom w:val="nil"/>
            </w:tcBorders>
            <w:shd w:val="clear" w:color="auto" w:fill="auto"/>
            <w:noWrap/>
            <w:hideMark/>
          </w:tcPr>
          <w:p w14:paraId="5E4024C1" w14:textId="77777777" w:rsidR="00F04B1B" w:rsidRPr="00702181"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380 (39.3)</w:t>
            </w:r>
          </w:p>
        </w:tc>
        <w:tc>
          <w:tcPr>
            <w:tcW w:w="1170" w:type="dxa"/>
            <w:tcBorders>
              <w:bottom w:val="nil"/>
            </w:tcBorders>
            <w:shd w:val="clear" w:color="auto" w:fill="auto"/>
            <w:noWrap/>
            <w:hideMark/>
          </w:tcPr>
          <w:p w14:paraId="5DCEF3E0" w14:textId="77777777" w:rsidR="00F04B1B" w:rsidRPr="00702181"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335 (30.5)</w:t>
            </w:r>
          </w:p>
        </w:tc>
        <w:tc>
          <w:tcPr>
            <w:tcW w:w="1260" w:type="dxa"/>
            <w:tcBorders>
              <w:bottom w:val="nil"/>
            </w:tcBorders>
            <w:shd w:val="clear" w:color="auto" w:fill="auto"/>
            <w:noWrap/>
            <w:hideMark/>
          </w:tcPr>
          <w:p w14:paraId="676ECA90" w14:textId="77777777" w:rsidR="00F04B1B" w:rsidRPr="00702181"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2343 (40.3)</w:t>
            </w:r>
          </w:p>
        </w:tc>
      </w:tr>
      <w:tr w:rsidR="00F04B1B" w:rsidRPr="00702181" w14:paraId="48A537DF" w14:textId="77777777" w:rsidTr="00C5089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65" w:type="dxa"/>
            <w:tcBorders>
              <w:top w:val="nil"/>
              <w:bottom w:val="single" w:sz="4" w:space="0" w:color="auto"/>
            </w:tcBorders>
            <w:shd w:val="clear" w:color="auto" w:fill="auto"/>
            <w:noWrap/>
            <w:hideMark/>
          </w:tcPr>
          <w:p w14:paraId="4EBE8386" w14:textId="77777777" w:rsidR="00F04B1B" w:rsidRPr="00702181" w:rsidRDefault="00F04B1B" w:rsidP="00C50896">
            <w:pPr>
              <w:contextualSpacing/>
              <w:rPr>
                <w:rFonts w:eastAsia="Times New Roman" w:cstheme="minorHAnsi"/>
                <w:b w:val="0"/>
                <w:sz w:val="20"/>
                <w:szCs w:val="20"/>
              </w:rPr>
            </w:pPr>
            <w:r w:rsidRPr="00702181">
              <w:rPr>
                <w:rFonts w:eastAsia="Times New Roman" w:cstheme="minorHAnsi"/>
                <w:b w:val="0"/>
                <w:sz w:val="20"/>
                <w:szCs w:val="20"/>
              </w:rPr>
              <w:t xml:space="preserve">  Fatalities</w:t>
            </w:r>
          </w:p>
        </w:tc>
        <w:tc>
          <w:tcPr>
            <w:tcW w:w="1170" w:type="dxa"/>
            <w:tcBorders>
              <w:top w:val="nil"/>
              <w:bottom w:val="single" w:sz="4" w:space="0" w:color="auto"/>
            </w:tcBorders>
            <w:shd w:val="clear" w:color="auto" w:fill="auto"/>
            <w:noWrap/>
            <w:hideMark/>
          </w:tcPr>
          <w:p w14:paraId="7DC88092" w14:textId="77777777" w:rsidR="00F04B1B" w:rsidRPr="00702181"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707 (48.7)</w:t>
            </w:r>
          </w:p>
        </w:tc>
        <w:tc>
          <w:tcPr>
            <w:tcW w:w="1170" w:type="dxa"/>
            <w:tcBorders>
              <w:top w:val="nil"/>
              <w:bottom w:val="single" w:sz="4" w:space="0" w:color="auto"/>
            </w:tcBorders>
            <w:shd w:val="clear" w:color="auto" w:fill="auto"/>
            <w:noWrap/>
            <w:hideMark/>
          </w:tcPr>
          <w:p w14:paraId="0FF95987" w14:textId="77777777" w:rsidR="00F04B1B" w:rsidRPr="00702181"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939 (47.5)</w:t>
            </w:r>
          </w:p>
        </w:tc>
        <w:tc>
          <w:tcPr>
            <w:tcW w:w="1170" w:type="dxa"/>
            <w:tcBorders>
              <w:top w:val="nil"/>
              <w:bottom w:val="single" w:sz="4" w:space="0" w:color="auto"/>
            </w:tcBorders>
            <w:shd w:val="clear" w:color="auto" w:fill="auto"/>
            <w:noWrap/>
            <w:hideMark/>
          </w:tcPr>
          <w:p w14:paraId="6BEC4683" w14:textId="77777777" w:rsidR="00F04B1B" w:rsidRPr="00702181"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674 (54.5)</w:t>
            </w:r>
          </w:p>
        </w:tc>
        <w:tc>
          <w:tcPr>
            <w:tcW w:w="1170" w:type="dxa"/>
            <w:tcBorders>
              <w:top w:val="nil"/>
              <w:bottom w:val="single" w:sz="4" w:space="0" w:color="auto"/>
            </w:tcBorders>
            <w:shd w:val="clear" w:color="auto" w:fill="auto"/>
            <w:noWrap/>
            <w:hideMark/>
          </w:tcPr>
          <w:p w14:paraId="625A11D0" w14:textId="77777777" w:rsidR="00F04B1B" w:rsidRPr="00702181"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773 (44.2)</w:t>
            </w:r>
          </w:p>
        </w:tc>
        <w:tc>
          <w:tcPr>
            <w:tcW w:w="1170" w:type="dxa"/>
            <w:tcBorders>
              <w:top w:val="nil"/>
              <w:bottom w:val="single" w:sz="4" w:space="0" w:color="auto"/>
            </w:tcBorders>
            <w:shd w:val="clear" w:color="auto" w:fill="auto"/>
            <w:noWrap/>
            <w:hideMark/>
          </w:tcPr>
          <w:p w14:paraId="346A4D14" w14:textId="77777777" w:rsidR="00F04B1B" w:rsidRPr="00702181"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942 (54.1)</w:t>
            </w:r>
          </w:p>
        </w:tc>
        <w:tc>
          <w:tcPr>
            <w:tcW w:w="1170" w:type="dxa"/>
            <w:tcBorders>
              <w:top w:val="nil"/>
              <w:bottom w:val="single" w:sz="4" w:space="0" w:color="auto"/>
            </w:tcBorders>
            <w:shd w:val="clear" w:color="auto" w:fill="auto"/>
            <w:noWrap/>
            <w:hideMark/>
          </w:tcPr>
          <w:p w14:paraId="6D1BBD0C" w14:textId="77777777" w:rsidR="00F04B1B" w:rsidRPr="00702181"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795 (23.0)</w:t>
            </w:r>
          </w:p>
        </w:tc>
        <w:tc>
          <w:tcPr>
            <w:tcW w:w="1260" w:type="dxa"/>
            <w:tcBorders>
              <w:top w:val="nil"/>
              <w:bottom w:val="single" w:sz="4" w:space="0" w:color="auto"/>
            </w:tcBorders>
            <w:shd w:val="clear" w:color="auto" w:fill="auto"/>
            <w:noWrap/>
            <w:hideMark/>
          </w:tcPr>
          <w:p w14:paraId="5C306BD2" w14:textId="77777777" w:rsidR="00F04B1B" w:rsidRPr="00702181"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4830 (41.6)</w:t>
            </w:r>
          </w:p>
        </w:tc>
      </w:tr>
      <w:tr w:rsidR="00F04B1B" w:rsidRPr="00702181" w14:paraId="57473E09" w14:textId="77777777" w:rsidTr="00C50896">
        <w:trPr>
          <w:trHeight w:val="280"/>
        </w:trPr>
        <w:tc>
          <w:tcPr>
            <w:cnfStyle w:val="001000000000" w:firstRow="0" w:lastRow="0" w:firstColumn="1" w:lastColumn="0" w:oddVBand="0" w:evenVBand="0" w:oddHBand="0" w:evenHBand="0" w:firstRowFirstColumn="0" w:firstRowLastColumn="0" w:lastRowFirstColumn="0" w:lastRowLastColumn="0"/>
            <w:tcW w:w="1165" w:type="dxa"/>
            <w:shd w:val="clear" w:color="auto" w:fill="auto"/>
            <w:noWrap/>
            <w:hideMark/>
          </w:tcPr>
          <w:p w14:paraId="055D4506" w14:textId="77777777" w:rsidR="00F04B1B" w:rsidRPr="00702181" w:rsidRDefault="00F04B1B" w:rsidP="00C50896">
            <w:pPr>
              <w:contextualSpacing/>
              <w:rPr>
                <w:rFonts w:eastAsia="Times New Roman" w:cstheme="minorHAnsi"/>
                <w:b w:val="0"/>
                <w:sz w:val="20"/>
                <w:szCs w:val="20"/>
              </w:rPr>
            </w:pPr>
            <w:r w:rsidRPr="00702181">
              <w:rPr>
                <w:rFonts w:eastAsia="Times New Roman" w:cstheme="minorHAnsi"/>
                <w:b w:val="0"/>
                <w:sz w:val="20"/>
                <w:szCs w:val="20"/>
              </w:rPr>
              <w:t>South Kivu</w:t>
            </w:r>
          </w:p>
        </w:tc>
        <w:tc>
          <w:tcPr>
            <w:tcW w:w="1170" w:type="dxa"/>
            <w:shd w:val="clear" w:color="auto" w:fill="auto"/>
          </w:tcPr>
          <w:p w14:paraId="662DB6F1" w14:textId="77777777" w:rsidR="00F04B1B" w:rsidRPr="00702181"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rPr>
            </w:pPr>
          </w:p>
        </w:tc>
        <w:tc>
          <w:tcPr>
            <w:tcW w:w="1170" w:type="dxa"/>
            <w:shd w:val="clear" w:color="auto" w:fill="auto"/>
            <w:noWrap/>
            <w:hideMark/>
          </w:tcPr>
          <w:p w14:paraId="02D02B7F" w14:textId="77777777" w:rsidR="00F04B1B" w:rsidRPr="00702181"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rPr>
            </w:pPr>
          </w:p>
        </w:tc>
        <w:tc>
          <w:tcPr>
            <w:tcW w:w="1170" w:type="dxa"/>
            <w:shd w:val="clear" w:color="auto" w:fill="auto"/>
            <w:noWrap/>
            <w:hideMark/>
          </w:tcPr>
          <w:p w14:paraId="072168DA" w14:textId="77777777" w:rsidR="00F04B1B" w:rsidRPr="00702181"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rPr>
            </w:pPr>
          </w:p>
        </w:tc>
        <w:tc>
          <w:tcPr>
            <w:tcW w:w="1170" w:type="dxa"/>
            <w:shd w:val="clear" w:color="auto" w:fill="auto"/>
            <w:noWrap/>
            <w:hideMark/>
          </w:tcPr>
          <w:p w14:paraId="27C03224" w14:textId="77777777" w:rsidR="00F04B1B" w:rsidRPr="00702181"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rPr>
            </w:pPr>
          </w:p>
        </w:tc>
        <w:tc>
          <w:tcPr>
            <w:tcW w:w="1170" w:type="dxa"/>
            <w:shd w:val="clear" w:color="auto" w:fill="auto"/>
            <w:noWrap/>
            <w:hideMark/>
          </w:tcPr>
          <w:p w14:paraId="1350495E" w14:textId="77777777" w:rsidR="00F04B1B" w:rsidRPr="00702181"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rPr>
            </w:pPr>
          </w:p>
        </w:tc>
        <w:tc>
          <w:tcPr>
            <w:tcW w:w="1170" w:type="dxa"/>
            <w:shd w:val="clear" w:color="auto" w:fill="auto"/>
            <w:noWrap/>
            <w:hideMark/>
          </w:tcPr>
          <w:p w14:paraId="0A1B4B85" w14:textId="77777777" w:rsidR="00F04B1B" w:rsidRPr="00702181"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rPr>
            </w:pPr>
          </w:p>
        </w:tc>
        <w:tc>
          <w:tcPr>
            <w:tcW w:w="1260" w:type="dxa"/>
            <w:shd w:val="clear" w:color="auto" w:fill="auto"/>
            <w:noWrap/>
            <w:hideMark/>
          </w:tcPr>
          <w:p w14:paraId="542CD72A" w14:textId="77777777" w:rsidR="00F04B1B" w:rsidRPr="00702181"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rPr>
            </w:pPr>
          </w:p>
        </w:tc>
      </w:tr>
      <w:tr w:rsidR="00F04B1B" w:rsidRPr="00702181" w14:paraId="6FE4B520" w14:textId="77777777" w:rsidTr="00C5089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65" w:type="dxa"/>
            <w:tcBorders>
              <w:bottom w:val="nil"/>
            </w:tcBorders>
            <w:shd w:val="clear" w:color="auto" w:fill="auto"/>
            <w:noWrap/>
            <w:hideMark/>
          </w:tcPr>
          <w:p w14:paraId="6323C445" w14:textId="77777777" w:rsidR="00F04B1B" w:rsidRPr="00702181" w:rsidRDefault="00F04B1B" w:rsidP="00C50896">
            <w:pPr>
              <w:contextualSpacing/>
              <w:rPr>
                <w:rFonts w:eastAsia="Times New Roman" w:cstheme="minorHAnsi"/>
                <w:b w:val="0"/>
                <w:sz w:val="20"/>
                <w:szCs w:val="20"/>
              </w:rPr>
            </w:pPr>
            <w:r w:rsidRPr="00702181">
              <w:rPr>
                <w:rFonts w:eastAsia="Times New Roman" w:cstheme="minorHAnsi"/>
                <w:b w:val="0"/>
                <w:sz w:val="20"/>
                <w:szCs w:val="20"/>
              </w:rPr>
              <w:t xml:space="preserve">  Events</w:t>
            </w:r>
          </w:p>
        </w:tc>
        <w:tc>
          <w:tcPr>
            <w:tcW w:w="1170" w:type="dxa"/>
            <w:tcBorders>
              <w:bottom w:val="nil"/>
            </w:tcBorders>
            <w:shd w:val="clear" w:color="auto" w:fill="auto"/>
            <w:noWrap/>
            <w:hideMark/>
          </w:tcPr>
          <w:p w14:paraId="6E2D8592" w14:textId="77777777" w:rsidR="00F04B1B" w:rsidRPr="00702181"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193 (18.6)</w:t>
            </w:r>
          </w:p>
        </w:tc>
        <w:tc>
          <w:tcPr>
            <w:tcW w:w="1170" w:type="dxa"/>
            <w:tcBorders>
              <w:bottom w:val="nil"/>
            </w:tcBorders>
            <w:shd w:val="clear" w:color="auto" w:fill="auto"/>
            <w:noWrap/>
            <w:hideMark/>
          </w:tcPr>
          <w:p w14:paraId="636A3191" w14:textId="77777777" w:rsidR="00F04B1B" w:rsidRPr="00702181"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100 (12.0)</w:t>
            </w:r>
          </w:p>
        </w:tc>
        <w:tc>
          <w:tcPr>
            <w:tcW w:w="1170" w:type="dxa"/>
            <w:tcBorders>
              <w:bottom w:val="nil"/>
            </w:tcBorders>
            <w:shd w:val="clear" w:color="auto" w:fill="auto"/>
            <w:noWrap/>
            <w:hideMark/>
          </w:tcPr>
          <w:p w14:paraId="7BFC6781" w14:textId="77777777" w:rsidR="00F04B1B" w:rsidRPr="00702181"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152 (14.4)</w:t>
            </w:r>
          </w:p>
        </w:tc>
        <w:tc>
          <w:tcPr>
            <w:tcW w:w="1170" w:type="dxa"/>
            <w:tcBorders>
              <w:bottom w:val="nil"/>
            </w:tcBorders>
            <w:shd w:val="clear" w:color="auto" w:fill="auto"/>
            <w:noWrap/>
            <w:hideMark/>
          </w:tcPr>
          <w:p w14:paraId="1D1BCC48" w14:textId="77777777" w:rsidR="00F04B1B" w:rsidRPr="00702181"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111 (13.4)</w:t>
            </w:r>
          </w:p>
        </w:tc>
        <w:tc>
          <w:tcPr>
            <w:tcW w:w="1170" w:type="dxa"/>
            <w:tcBorders>
              <w:bottom w:val="nil"/>
            </w:tcBorders>
            <w:shd w:val="clear" w:color="auto" w:fill="auto"/>
            <w:noWrap/>
            <w:hideMark/>
          </w:tcPr>
          <w:p w14:paraId="4E78A8EB" w14:textId="77777777" w:rsidR="00F04B1B" w:rsidRPr="00702181"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126 (13.0)</w:t>
            </w:r>
          </w:p>
        </w:tc>
        <w:tc>
          <w:tcPr>
            <w:tcW w:w="1170" w:type="dxa"/>
            <w:tcBorders>
              <w:bottom w:val="nil"/>
            </w:tcBorders>
            <w:shd w:val="clear" w:color="auto" w:fill="auto"/>
            <w:noWrap/>
            <w:hideMark/>
          </w:tcPr>
          <w:p w14:paraId="05F51325" w14:textId="77777777" w:rsidR="00F04B1B" w:rsidRPr="00702181"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173 (15.8)</w:t>
            </w:r>
          </w:p>
        </w:tc>
        <w:tc>
          <w:tcPr>
            <w:tcW w:w="1260" w:type="dxa"/>
            <w:tcBorders>
              <w:bottom w:val="nil"/>
            </w:tcBorders>
            <w:shd w:val="clear" w:color="auto" w:fill="auto"/>
            <w:noWrap/>
            <w:hideMark/>
          </w:tcPr>
          <w:p w14:paraId="25EC28C4" w14:textId="77777777" w:rsidR="00F04B1B" w:rsidRPr="00702181"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855 (14.7)</w:t>
            </w:r>
          </w:p>
        </w:tc>
      </w:tr>
      <w:tr w:rsidR="00F04B1B" w:rsidRPr="00702181" w14:paraId="6E24C8D0" w14:textId="77777777" w:rsidTr="00C50896">
        <w:trPr>
          <w:trHeight w:val="280"/>
        </w:trPr>
        <w:tc>
          <w:tcPr>
            <w:cnfStyle w:val="001000000000" w:firstRow="0" w:lastRow="0" w:firstColumn="1" w:lastColumn="0" w:oddVBand="0" w:evenVBand="0" w:oddHBand="0" w:evenHBand="0" w:firstRowFirstColumn="0" w:firstRowLastColumn="0" w:lastRowFirstColumn="0" w:lastRowLastColumn="0"/>
            <w:tcW w:w="1165" w:type="dxa"/>
            <w:tcBorders>
              <w:top w:val="nil"/>
              <w:bottom w:val="single" w:sz="4" w:space="0" w:color="auto"/>
            </w:tcBorders>
            <w:shd w:val="clear" w:color="auto" w:fill="auto"/>
            <w:noWrap/>
            <w:hideMark/>
          </w:tcPr>
          <w:p w14:paraId="3405893B" w14:textId="77777777" w:rsidR="00F04B1B" w:rsidRPr="00702181" w:rsidRDefault="00F04B1B" w:rsidP="00C50896">
            <w:pPr>
              <w:contextualSpacing/>
              <w:rPr>
                <w:rFonts w:eastAsia="Times New Roman" w:cstheme="minorHAnsi"/>
                <w:b w:val="0"/>
                <w:sz w:val="20"/>
                <w:szCs w:val="20"/>
              </w:rPr>
            </w:pPr>
            <w:r w:rsidRPr="00702181">
              <w:rPr>
                <w:rFonts w:eastAsia="Times New Roman" w:cstheme="minorHAnsi"/>
                <w:b w:val="0"/>
                <w:sz w:val="20"/>
                <w:szCs w:val="20"/>
              </w:rPr>
              <w:t xml:space="preserve">  Fatalities</w:t>
            </w:r>
          </w:p>
        </w:tc>
        <w:tc>
          <w:tcPr>
            <w:tcW w:w="1170" w:type="dxa"/>
            <w:tcBorders>
              <w:top w:val="nil"/>
              <w:bottom w:val="single" w:sz="4" w:space="0" w:color="auto"/>
            </w:tcBorders>
            <w:shd w:val="clear" w:color="auto" w:fill="auto"/>
            <w:noWrap/>
            <w:hideMark/>
          </w:tcPr>
          <w:p w14:paraId="536E78F8" w14:textId="77777777" w:rsidR="00F04B1B" w:rsidRPr="00702181"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491 (33.8)</w:t>
            </w:r>
          </w:p>
        </w:tc>
        <w:tc>
          <w:tcPr>
            <w:tcW w:w="1170" w:type="dxa"/>
            <w:tcBorders>
              <w:top w:val="nil"/>
              <w:bottom w:val="single" w:sz="4" w:space="0" w:color="auto"/>
            </w:tcBorders>
            <w:shd w:val="clear" w:color="auto" w:fill="auto"/>
            <w:noWrap/>
            <w:hideMark/>
          </w:tcPr>
          <w:p w14:paraId="5023A872" w14:textId="77777777" w:rsidR="00F04B1B" w:rsidRPr="00702181"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82 (4.1)</w:t>
            </w:r>
          </w:p>
        </w:tc>
        <w:tc>
          <w:tcPr>
            <w:tcW w:w="1170" w:type="dxa"/>
            <w:tcBorders>
              <w:top w:val="nil"/>
              <w:bottom w:val="single" w:sz="4" w:space="0" w:color="auto"/>
            </w:tcBorders>
            <w:shd w:val="clear" w:color="auto" w:fill="auto"/>
            <w:noWrap/>
            <w:hideMark/>
          </w:tcPr>
          <w:p w14:paraId="0301FBE7" w14:textId="77777777" w:rsidR="00F04B1B" w:rsidRPr="00702181"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204 (16.5)</w:t>
            </w:r>
          </w:p>
        </w:tc>
        <w:tc>
          <w:tcPr>
            <w:tcW w:w="1170" w:type="dxa"/>
            <w:tcBorders>
              <w:top w:val="nil"/>
              <w:bottom w:val="single" w:sz="4" w:space="0" w:color="auto"/>
            </w:tcBorders>
            <w:shd w:val="clear" w:color="auto" w:fill="auto"/>
            <w:noWrap/>
            <w:hideMark/>
          </w:tcPr>
          <w:p w14:paraId="7E298243" w14:textId="77777777" w:rsidR="00F04B1B" w:rsidRPr="00702181"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112 (6.4)</w:t>
            </w:r>
          </w:p>
        </w:tc>
        <w:tc>
          <w:tcPr>
            <w:tcW w:w="1170" w:type="dxa"/>
            <w:tcBorders>
              <w:top w:val="nil"/>
              <w:bottom w:val="single" w:sz="4" w:space="0" w:color="auto"/>
            </w:tcBorders>
            <w:shd w:val="clear" w:color="auto" w:fill="auto"/>
            <w:noWrap/>
            <w:hideMark/>
          </w:tcPr>
          <w:p w14:paraId="19775123" w14:textId="77777777" w:rsidR="00F04B1B" w:rsidRPr="00702181"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112 (6.4)</w:t>
            </w:r>
          </w:p>
        </w:tc>
        <w:tc>
          <w:tcPr>
            <w:tcW w:w="1170" w:type="dxa"/>
            <w:tcBorders>
              <w:top w:val="nil"/>
              <w:bottom w:val="single" w:sz="4" w:space="0" w:color="auto"/>
            </w:tcBorders>
            <w:shd w:val="clear" w:color="auto" w:fill="auto"/>
            <w:noWrap/>
            <w:hideMark/>
          </w:tcPr>
          <w:p w14:paraId="11705B73" w14:textId="77777777" w:rsidR="00F04B1B" w:rsidRPr="00702181"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208 (6.0)</w:t>
            </w:r>
          </w:p>
        </w:tc>
        <w:tc>
          <w:tcPr>
            <w:tcW w:w="1260" w:type="dxa"/>
            <w:tcBorders>
              <w:top w:val="nil"/>
              <w:bottom w:val="single" w:sz="4" w:space="0" w:color="auto"/>
            </w:tcBorders>
            <w:shd w:val="clear" w:color="auto" w:fill="auto"/>
            <w:noWrap/>
            <w:hideMark/>
          </w:tcPr>
          <w:p w14:paraId="1E70F2F1" w14:textId="77777777" w:rsidR="00F04B1B" w:rsidRPr="00702181"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1209 (10.4)</w:t>
            </w:r>
          </w:p>
        </w:tc>
      </w:tr>
      <w:tr w:rsidR="00F04B1B" w:rsidRPr="00702181" w14:paraId="64D06884" w14:textId="77777777" w:rsidTr="00C5089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65" w:type="dxa"/>
            <w:shd w:val="clear" w:color="auto" w:fill="auto"/>
            <w:noWrap/>
            <w:hideMark/>
          </w:tcPr>
          <w:p w14:paraId="1438B56C" w14:textId="77777777" w:rsidR="00F04B1B" w:rsidRPr="00702181" w:rsidRDefault="00F04B1B" w:rsidP="00C50896">
            <w:pPr>
              <w:contextualSpacing/>
              <w:rPr>
                <w:rFonts w:eastAsia="Times New Roman" w:cstheme="minorHAnsi"/>
                <w:b w:val="0"/>
                <w:sz w:val="20"/>
                <w:szCs w:val="20"/>
              </w:rPr>
            </w:pPr>
            <w:r w:rsidRPr="00702181">
              <w:rPr>
                <w:rFonts w:eastAsia="Times New Roman" w:cstheme="minorHAnsi"/>
                <w:b w:val="0"/>
                <w:sz w:val="20"/>
                <w:szCs w:val="20"/>
              </w:rPr>
              <w:t>National</w:t>
            </w:r>
          </w:p>
        </w:tc>
        <w:tc>
          <w:tcPr>
            <w:tcW w:w="1170" w:type="dxa"/>
            <w:shd w:val="clear" w:color="auto" w:fill="auto"/>
            <w:noWrap/>
            <w:hideMark/>
          </w:tcPr>
          <w:p w14:paraId="5E94AC66" w14:textId="77777777" w:rsidR="00F04B1B" w:rsidRPr="00702181"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rPr>
            </w:pPr>
          </w:p>
        </w:tc>
        <w:tc>
          <w:tcPr>
            <w:tcW w:w="1170" w:type="dxa"/>
            <w:shd w:val="clear" w:color="auto" w:fill="auto"/>
            <w:noWrap/>
            <w:hideMark/>
          </w:tcPr>
          <w:p w14:paraId="08A6BFCA" w14:textId="77777777" w:rsidR="00F04B1B" w:rsidRPr="00702181"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rPr>
            </w:pPr>
          </w:p>
        </w:tc>
        <w:tc>
          <w:tcPr>
            <w:tcW w:w="1170" w:type="dxa"/>
            <w:shd w:val="clear" w:color="auto" w:fill="auto"/>
            <w:noWrap/>
            <w:hideMark/>
          </w:tcPr>
          <w:p w14:paraId="00187018" w14:textId="77777777" w:rsidR="00F04B1B" w:rsidRPr="00702181"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rPr>
            </w:pPr>
          </w:p>
        </w:tc>
        <w:tc>
          <w:tcPr>
            <w:tcW w:w="1170" w:type="dxa"/>
            <w:shd w:val="clear" w:color="auto" w:fill="auto"/>
            <w:noWrap/>
            <w:hideMark/>
          </w:tcPr>
          <w:p w14:paraId="4490F5AD" w14:textId="77777777" w:rsidR="00F04B1B" w:rsidRPr="00702181"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rPr>
            </w:pPr>
          </w:p>
        </w:tc>
        <w:tc>
          <w:tcPr>
            <w:tcW w:w="1170" w:type="dxa"/>
            <w:shd w:val="clear" w:color="auto" w:fill="auto"/>
            <w:noWrap/>
            <w:hideMark/>
          </w:tcPr>
          <w:p w14:paraId="082DC718" w14:textId="77777777" w:rsidR="00F04B1B" w:rsidRPr="00702181"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rPr>
            </w:pPr>
          </w:p>
        </w:tc>
        <w:tc>
          <w:tcPr>
            <w:tcW w:w="1170" w:type="dxa"/>
            <w:shd w:val="clear" w:color="auto" w:fill="auto"/>
            <w:noWrap/>
            <w:hideMark/>
          </w:tcPr>
          <w:p w14:paraId="5F3B8B48" w14:textId="77777777" w:rsidR="00F04B1B" w:rsidRPr="00702181"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rPr>
            </w:pPr>
          </w:p>
        </w:tc>
        <w:tc>
          <w:tcPr>
            <w:tcW w:w="1260" w:type="dxa"/>
            <w:shd w:val="clear" w:color="auto" w:fill="auto"/>
            <w:noWrap/>
            <w:hideMark/>
          </w:tcPr>
          <w:p w14:paraId="0A5B1F67" w14:textId="77777777" w:rsidR="00F04B1B" w:rsidRPr="00702181"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rPr>
            </w:pPr>
          </w:p>
        </w:tc>
      </w:tr>
      <w:tr w:rsidR="00F04B1B" w:rsidRPr="00702181" w14:paraId="1D6A450A" w14:textId="77777777" w:rsidTr="00C50896">
        <w:trPr>
          <w:trHeight w:val="280"/>
        </w:trPr>
        <w:tc>
          <w:tcPr>
            <w:cnfStyle w:val="001000000000" w:firstRow="0" w:lastRow="0" w:firstColumn="1" w:lastColumn="0" w:oddVBand="0" w:evenVBand="0" w:oddHBand="0" w:evenHBand="0" w:firstRowFirstColumn="0" w:firstRowLastColumn="0" w:lastRowFirstColumn="0" w:lastRowLastColumn="0"/>
            <w:tcW w:w="1165" w:type="dxa"/>
            <w:shd w:val="clear" w:color="auto" w:fill="auto"/>
            <w:noWrap/>
            <w:hideMark/>
          </w:tcPr>
          <w:p w14:paraId="2A466F57" w14:textId="77777777" w:rsidR="00F04B1B" w:rsidRPr="00702181" w:rsidRDefault="00F04B1B" w:rsidP="00C50896">
            <w:pPr>
              <w:contextualSpacing/>
              <w:rPr>
                <w:rFonts w:eastAsia="Times New Roman" w:cstheme="minorHAnsi"/>
                <w:b w:val="0"/>
                <w:sz w:val="20"/>
                <w:szCs w:val="20"/>
              </w:rPr>
            </w:pPr>
            <w:r w:rsidRPr="00702181">
              <w:rPr>
                <w:rFonts w:eastAsia="Times New Roman" w:cstheme="minorHAnsi"/>
                <w:b w:val="0"/>
                <w:sz w:val="20"/>
                <w:szCs w:val="20"/>
              </w:rPr>
              <w:t xml:space="preserve">  Events</w:t>
            </w:r>
          </w:p>
        </w:tc>
        <w:tc>
          <w:tcPr>
            <w:tcW w:w="1170" w:type="dxa"/>
            <w:shd w:val="clear" w:color="auto" w:fill="auto"/>
            <w:noWrap/>
            <w:hideMark/>
          </w:tcPr>
          <w:p w14:paraId="6B2A18D8" w14:textId="77777777" w:rsidR="00F04B1B" w:rsidRPr="00702181"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1038 (17.8)</w:t>
            </w:r>
          </w:p>
        </w:tc>
        <w:tc>
          <w:tcPr>
            <w:tcW w:w="1170" w:type="dxa"/>
            <w:shd w:val="clear" w:color="auto" w:fill="auto"/>
            <w:noWrap/>
            <w:hideMark/>
          </w:tcPr>
          <w:p w14:paraId="4908182B" w14:textId="77777777" w:rsidR="00F04B1B" w:rsidRPr="00702181"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834 (14.3)</w:t>
            </w:r>
          </w:p>
        </w:tc>
        <w:tc>
          <w:tcPr>
            <w:tcW w:w="1170" w:type="dxa"/>
            <w:shd w:val="clear" w:color="auto" w:fill="auto"/>
            <w:noWrap/>
            <w:hideMark/>
          </w:tcPr>
          <w:p w14:paraId="569413A5" w14:textId="77777777" w:rsidR="00F04B1B" w:rsidRPr="00702181"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1053 (18.1)</w:t>
            </w:r>
          </w:p>
        </w:tc>
        <w:tc>
          <w:tcPr>
            <w:tcW w:w="1170" w:type="dxa"/>
            <w:shd w:val="clear" w:color="auto" w:fill="auto"/>
            <w:noWrap/>
            <w:hideMark/>
          </w:tcPr>
          <w:p w14:paraId="09C27B9C" w14:textId="77777777" w:rsidR="00F04B1B" w:rsidRPr="00702181"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827 (14.2)</w:t>
            </w:r>
          </w:p>
        </w:tc>
        <w:tc>
          <w:tcPr>
            <w:tcW w:w="1170" w:type="dxa"/>
            <w:shd w:val="clear" w:color="auto" w:fill="auto"/>
            <w:noWrap/>
            <w:hideMark/>
          </w:tcPr>
          <w:p w14:paraId="050CBAE9" w14:textId="77777777" w:rsidR="00F04B1B" w:rsidRPr="00702181"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969 (16.7)</w:t>
            </w:r>
          </w:p>
        </w:tc>
        <w:tc>
          <w:tcPr>
            <w:tcW w:w="1170" w:type="dxa"/>
            <w:shd w:val="clear" w:color="auto" w:fill="auto"/>
            <w:noWrap/>
            <w:hideMark/>
          </w:tcPr>
          <w:p w14:paraId="546B28B4" w14:textId="77777777" w:rsidR="00F04B1B" w:rsidRPr="00702181"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1098 (18.9)</w:t>
            </w:r>
          </w:p>
        </w:tc>
        <w:tc>
          <w:tcPr>
            <w:tcW w:w="1260" w:type="dxa"/>
            <w:shd w:val="clear" w:color="auto" w:fill="auto"/>
            <w:noWrap/>
            <w:hideMark/>
          </w:tcPr>
          <w:p w14:paraId="2E0553BD" w14:textId="77777777" w:rsidR="00F04B1B" w:rsidRPr="00702181"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5819 (100)</w:t>
            </w:r>
          </w:p>
        </w:tc>
      </w:tr>
      <w:tr w:rsidR="00F04B1B" w:rsidRPr="00702181" w14:paraId="5A67F26C" w14:textId="77777777" w:rsidTr="00C5089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65" w:type="dxa"/>
            <w:shd w:val="clear" w:color="auto" w:fill="auto"/>
            <w:noWrap/>
            <w:hideMark/>
          </w:tcPr>
          <w:p w14:paraId="10E76023" w14:textId="77777777" w:rsidR="00F04B1B" w:rsidRPr="00702181" w:rsidRDefault="00F04B1B" w:rsidP="00C50896">
            <w:pPr>
              <w:contextualSpacing/>
              <w:rPr>
                <w:rFonts w:eastAsia="Times New Roman" w:cstheme="minorHAnsi"/>
                <w:b w:val="0"/>
                <w:sz w:val="20"/>
                <w:szCs w:val="20"/>
              </w:rPr>
            </w:pPr>
            <w:r w:rsidRPr="00702181">
              <w:rPr>
                <w:rFonts w:eastAsia="Times New Roman" w:cstheme="minorHAnsi"/>
                <w:b w:val="0"/>
                <w:sz w:val="20"/>
                <w:szCs w:val="20"/>
              </w:rPr>
              <w:t xml:space="preserve">  Fatalities</w:t>
            </w:r>
          </w:p>
        </w:tc>
        <w:tc>
          <w:tcPr>
            <w:tcW w:w="1170" w:type="dxa"/>
            <w:shd w:val="clear" w:color="auto" w:fill="auto"/>
            <w:noWrap/>
            <w:hideMark/>
          </w:tcPr>
          <w:p w14:paraId="175FC77B" w14:textId="77777777" w:rsidR="00F04B1B" w:rsidRPr="00702181"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1453 (12.5)</w:t>
            </w:r>
          </w:p>
        </w:tc>
        <w:tc>
          <w:tcPr>
            <w:tcW w:w="1170" w:type="dxa"/>
            <w:shd w:val="clear" w:color="auto" w:fill="auto"/>
            <w:noWrap/>
            <w:hideMark/>
          </w:tcPr>
          <w:p w14:paraId="507465F7" w14:textId="77777777" w:rsidR="00F04B1B" w:rsidRPr="00702181"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1977 (17.0)</w:t>
            </w:r>
          </w:p>
        </w:tc>
        <w:tc>
          <w:tcPr>
            <w:tcW w:w="1170" w:type="dxa"/>
            <w:shd w:val="clear" w:color="auto" w:fill="auto"/>
            <w:noWrap/>
            <w:hideMark/>
          </w:tcPr>
          <w:p w14:paraId="1C789BFC" w14:textId="77777777" w:rsidR="00F04B1B" w:rsidRPr="00702181"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1237 (10.7)</w:t>
            </w:r>
          </w:p>
        </w:tc>
        <w:tc>
          <w:tcPr>
            <w:tcW w:w="1170" w:type="dxa"/>
            <w:shd w:val="clear" w:color="auto" w:fill="auto"/>
            <w:noWrap/>
            <w:hideMark/>
          </w:tcPr>
          <w:p w14:paraId="5A04D18F" w14:textId="77777777" w:rsidR="00F04B1B" w:rsidRPr="00702181"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1749 (15.1)</w:t>
            </w:r>
          </w:p>
        </w:tc>
        <w:tc>
          <w:tcPr>
            <w:tcW w:w="1170" w:type="dxa"/>
            <w:shd w:val="clear" w:color="auto" w:fill="auto"/>
            <w:noWrap/>
            <w:hideMark/>
          </w:tcPr>
          <w:p w14:paraId="05E851F0" w14:textId="77777777" w:rsidR="00F04B1B" w:rsidRPr="00702181"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1741 (15.0)</w:t>
            </w:r>
          </w:p>
        </w:tc>
        <w:tc>
          <w:tcPr>
            <w:tcW w:w="1170" w:type="dxa"/>
            <w:shd w:val="clear" w:color="auto" w:fill="auto"/>
            <w:noWrap/>
            <w:hideMark/>
          </w:tcPr>
          <w:p w14:paraId="3C9C28BF" w14:textId="77777777" w:rsidR="00F04B1B" w:rsidRPr="00702181"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3452 (39.7)</w:t>
            </w:r>
          </w:p>
        </w:tc>
        <w:tc>
          <w:tcPr>
            <w:tcW w:w="1260" w:type="dxa"/>
            <w:shd w:val="clear" w:color="auto" w:fill="auto"/>
            <w:noWrap/>
            <w:hideMark/>
          </w:tcPr>
          <w:p w14:paraId="4DD408F1" w14:textId="77777777" w:rsidR="00F04B1B" w:rsidRPr="00702181"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rPr>
            </w:pPr>
            <w:r w:rsidRPr="00702181">
              <w:rPr>
                <w:rFonts w:eastAsia="Times New Roman" w:cstheme="minorHAnsi"/>
                <w:sz w:val="20"/>
                <w:szCs w:val="20"/>
              </w:rPr>
              <w:t>11609 (100)</w:t>
            </w:r>
          </w:p>
        </w:tc>
      </w:tr>
    </w:tbl>
    <w:p w14:paraId="60CBF026" w14:textId="77777777" w:rsidR="00F04B1B" w:rsidRPr="000F7C77" w:rsidRDefault="00F04B1B" w:rsidP="00F04B1B">
      <w:pPr>
        <w:rPr>
          <w:sz w:val="18"/>
          <w:szCs w:val="18"/>
        </w:rPr>
      </w:pPr>
      <w:r w:rsidRPr="000F7C77">
        <w:rPr>
          <w:sz w:val="18"/>
          <w:szCs w:val="18"/>
        </w:rPr>
        <w:t xml:space="preserve">Data are n (%). Row percentages are presented for North and South Kivu with national numbers as denominators. </w:t>
      </w:r>
    </w:p>
    <w:p w14:paraId="28F50FE8" w14:textId="77777777" w:rsidR="00702181" w:rsidRDefault="00702181" w:rsidP="00F04B1B">
      <w:pPr>
        <w:pStyle w:val="Caption"/>
        <w:keepNext/>
      </w:pPr>
      <w:bookmarkStart w:id="1" w:name="_Toc532286587"/>
    </w:p>
    <w:p w14:paraId="0AC8D69F" w14:textId="2AC6D563" w:rsidR="00F04B1B" w:rsidRDefault="00F04B1B" w:rsidP="00F04B1B">
      <w:pPr>
        <w:pStyle w:val="Caption"/>
        <w:keepNext/>
      </w:pPr>
      <w:r>
        <w:t xml:space="preserve">Table </w:t>
      </w:r>
      <w:r>
        <w:rPr>
          <w:noProof/>
        </w:rPr>
        <w:fldChar w:fldCharType="begin"/>
      </w:r>
      <w:r>
        <w:rPr>
          <w:noProof/>
        </w:rPr>
        <w:instrText xml:space="preserve"> SEQ Table \* ARABIC </w:instrText>
      </w:r>
      <w:r>
        <w:rPr>
          <w:noProof/>
        </w:rPr>
        <w:fldChar w:fldCharType="separate"/>
      </w:r>
      <w:r>
        <w:rPr>
          <w:noProof/>
        </w:rPr>
        <w:t>2</w:t>
      </w:r>
      <w:r>
        <w:rPr>
          <w:noProof/>
        </w:rPr>
        <w:fldChar w:fldCharType="end"/>
      </w:r>
      <w:r>
        <w:t>: Violent Events disaggregated by Type between January 2012 and June 2017 (North Kivu, South Kivu and National Level)</w:t>
      </w:r>
      <w:bookmarkEnd w:id="1"/>
    </w:p>
    <w:tbl>
      <w:tblPr>
        <w:tblStyle w:val="ListTable6Colorful"/>
        <w:tblW w:w="9206" w:type="dxa"/>
        <w:tblLayout w:type="fixed"/>
        <w:tblLook w:val="04A0" w:firstRow="1" w:lastRow="0" w:firstColumn="1" w:lastColumn="0" w:noHBand="0" w:noVBand="1"/>
      </w:tblPr>
      <w:tblGrid>
        <w:gridCol w:w="4854"/>
        <w:gridCol w:w="1619"/>
        <w:gridCol w:w="1417"/>
        <w:gridCol w:w="1316"/>
      </w:tblGrid>
      <w:tr w:rsidR="00F04B1B" w:rsidRPr="00C97CEB" w14:paraId="01F2EF15" w14:textId="77777777" w:rsidTr="00C50896">
        <w:trPr>
          <w:cnfStyle w:val="100000000000" w:firstRow="1" w:lastRow="0" w:firstColumn="0" w:lastColumn="0" w:oddVBand="0" w:evenVBand="0" w:oddHBand="0"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4854" w:type="dxa"/>
            <w:shd w:val="clear" w:color="auto" w:fill="auto"/>
            <w:noWrap/>
            <w:hideMark/>
          </w:tcPr>
          <w:p w14:paraId="55DE4C0E" w14:textId="77777777" w:rsidR="00F04B1B" w:rsidRPr="00C97CEB" w:rsidRDefault="00F04B1B" w:rsidP="00C50896">
            <w:pPr>
              <w:contextualSpacing/>
              <w:rPr>
                <w:rFonts w:eastAsia="Times New Roman" w:cstheme="minorHAnsi"/>
                <w:b w:val="0"/>
                <w:color w:val="000000"/>
                <w:sz w:val="22"/>
                <w:szCs w:val="22"/>
              </w:rPr>
            </w:pPr>
            <w:r w:rsidRPr="00C97CEB">
              <w:rPr>
                <w:rFonts w:eastAsia="Times New Roman" w:cstheme="minorHAnsi"/>
                <w:b w:val="0"/>
                <w:color w:val="000000"/>
                <w:sz w:val="22"/>
                <w:szCs w:val="22"/>
              </w:rPr>
              <w:t>Events types</w:t>
            </w:r>
          </w:p>
        </w:tc>
        <w:tc>
          <w:tcPr>
            <w:tcW w:w="1619" w:type="dxa"/>
            <w:shd w:val="clear" w:color="auto" w:fill="auto"/>
            <w:noWrap/>
            <w:hideMark/>
          </w:tcPr>
          <w:p w14:paraId="4C189B10" w14:textId="77777777" w:rsidR="00F04B1B" w:rsidRPr="00C97CEB" w:rsidRDefault="00F04B1B" w:rsidP="00C50896">
            <w:pPr>
              <w:contextualSpacing/>
              <w:cnfStyle w:val="100000000000" w:firstRow="1" w:lastRow="0" w:firstColumn="0" w:lastColumn="0" w:oddVBand="0" w:evenVBand="0" w:oddHBand="0" w:evenHBand="0" w:firstRowFirstColumn="0" w:firstRowLastColumn="0" w:lastRowFirstColumn="0" w:lastRowLastColumn="0"/>
              <w:rPr>
                <w:rFonts w:eastAsia="Times New Roman" w:cstheme="minorHAnsi"/>
                <w:b w:val="0"/>
                <w:color w:val="000000"/>
                <w:sz w:val="22"/>
                <w:szCs w:val="22"/>
              </w:rPr>
            </w:pPr>
            <w:r w:rsidRPr="00C97CEB">
              <w:rPr>
                <w:rFonts w:eastAsia="Times New Roman" w:cstheme="minorHAnsi"/>
                <w:b w:val="0"/>
                <w:color w:val="000000"/>
                <w:sz w:val="22"/>
                <w:szCs w:val="22"/>
              </w:rPr>
              <w:t>North Kivu</w:t>
            </w:r>
          </w:p>
        </w:tc>
        <w:tc>
          <w:tcPr>
            <w:tcW w:w="1417" w:type="dxa"/>
            <w:shd w:val="clear" w:color="auto" w:fill="auto"/>
            <w:noWrap/>
            <w:hideMark/>
          </w:tcPr>
          <w:p w14:paraId="670196D1" w14:textId="77777777" w:rsidR="00F04B1B" w:rsidRPr="00C97CEB" w:rsidRDefault="00F04B1B" w:rsidP="00C50896">
            <w:pPr>
              <w:contextualSpacing/>
              <w:cnfStyle w:val="100000000000" w:firstRow="1" w:lastRow="0" w:firstColumn="0" w:lastColumn="0" w:oddVBand="0" w:evenVBand="0" w:oddHBand="0" w:evenHBand="0" w:firstRowFirstColumn="0" w:firstRowLastColumn="0" w:lastRowFirstColumn="0" w:lastRowLastColumn="0"/>
              <w:rPr>
                <w:rFonts w:eastAsia="Times New Roman" w:cstheme="minorHAnsi"/>
                <w:b w:val="0"/>
                <w:color w:val="000000"/>
                <w:sz w:val="22"/>
                <w:szCs w:val="22"/>
              </w:rPr>
            </w:pPr>
            <w:r w:rsidRPr="00C97CEB">
              <w:rPr>
                <w:rFonts w:eastAsia="Times New Roman" w:cstheme="minorHAnsi"/>
                <w:b w:val="0"/>
                <w:color w:val="000000"/>
                <w:sz w:val="22"/>
                <w:szCs w:val="22"/>
              </w:rPr>
              <w:t>South Kivu</w:t>
            </w:r>
          </w:p>
        </w:tc>
        <w:tc>
          <w:tcPr>
            <w:tcW w:w="1316" w:type="dxa"/>
            <w:shd w:val="clear" w:color="auto" w:fill="auto"/>
            <w:noWrap/>
            <w:hideMark/>
          </w:tcPr>
          <w:p w14:paraId="4303C03E" w14:textId="77777777" w:rsidR="00F04B1B" w:rsidRPr="00C97CEB" w:rsidRDefault="00F04B1B" w:rsidP="00C50896">
            <w:pPr>
              <w:contextualSpacing/>
              <w:cnfStyle w:val="100000000000" w:firstRow="1" w:lastRow="0" w:firstColumn="0" w:lastColumn="0" w:oddVBand="0" w:evenVBand="0" w:oddHBand="0" w:evenHBand="0" w:firstRowFirstColumn="0" w:firstRowLastColumn="0" w:lastRowFirstColumn="0" w:lastRowLastColumn="0"/>
              <w:rPr>
                <w:rFonts w:eastAsia="Times New Roman" w:cstheme="minorHAnsi"/>
                <w:b w:val="0"/>
                <w:color w:val="000000"/>
                <w:sz w:val="22"/>
                <w:szCs w:val="22"/>
              </w:rPr>
            </w:pPr>
            <w:r w:rsidRPr="00C97CEB">
              <w:rPr>
                <w:rFonts w:eastAsia="Times New Roman" w:cstheme="minorHAnsi"/>
                <w:b w:val="0"/>
                <w:color w:val="000000"/>
                <w:sz w:val="22"/>
                <w:szCs w:val="22"/>
              </w:rPr>
              <w:t>National</w:t>
            </w:r>
          </w:p>
        </w:tc>
      </w:tr>
      <w:tr w:rsidR="00F04B1B" w:rsidRPr="00C97CEB" w14:paraId="0EB9C6E7" w14:textId="77777777" w:rsidTr="00C50896">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854" w:type="dxa"/>
            <w:shd w:val="clear" w:color="auto" w:fill="auto"/>
            <w:noWrap/>
            <w:hideMark/>
          </w:tcPr>
          <w:p w14:paraId="5FCAA2F6" w14:textId="77777777" w:rsidR="00F04B1B" w:rsidRPr="00C97CEB" w:rsidRDefault="00F04B1B" w:rsidP="00C50896">
            <w:pPr>
              <w:contextualSpacing/>
              <w:rPr>
                <w:rFonts w:eastAsia="Times New Roman" w:cstheme="minorHAnsi"/>
                <w:b w:val="0"/>
                <w:color w:val="000000"/>
                <w:sz w:val="22"/>
                <w:szCs w:val="22"/>
              </w:rPr>
            </w:pPr>
            <w:r w:rsidRPr="00C97CEB">
              <w:rPr>
                <w:rFonts w:eastAsia="Times New Roman" w:cstheme="minorHAnsi"/>
                <w:b w:val="0"/>
                <w:color w:val="000000"/>
                <w:sz w:val="22"/>
                <w:szCs w:val="22"/>
                <w:lang w:val="en-GB"/>
              </w:rPr>
              <w:t>Battle-Government regains territory</w:t>
            </w:r>
          </w:p>
        </w:tc>
        <w:tc>
          <w:tcPr>
            <w:tcW w:w="1619" w:type="dxa"/>
            <w:shd w:val="clear" w:color="auto" w:fill="auto"/>
            <w:noWrap/>
            <w:hideMark/>
          </w:tcPr>
          <w:p w14:paraId="7BDAA942" w14:textId="77777777" w:rsidR="00F04B1B" w:rsidRPr="00C97CEB"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2"/>
                <w:szCs w:val="22"/>
              </w:rPr>
            </w:pPr>
            <w:r w:rsidRPr="00C97CEB">
              <w:rPr>
                <w:rFonts w:eastAsia="Times New Roman" w:cstheme="minorHAnsi"/>
                <w:color w:val="000000"/>
                <w:sz w:val="22"/>
                <w:szCs w:val="22"/>
              </w:rPr>
              <w:t>136 (5.8)</w:t>
            </w:r>
          </w:p>
        </w:tc>
        <w:tc>
          <w:tcPr>
            <w:tcW w:w="1417" w:type="dxa"/>
            <w:shd w:val="clear" w:color="auto" w:fill="auto"/>
            <w:noWrap/>
            <w:hideMark/>
          </w:tcPr>
          <w:p w14:paraId="0E9C3D6B" w14:textId="77777777" w:rsidR="00F04B1B" w:rsidRPr="00C97CEB"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2"/>
                <w:szCs w:val="22"/>
              </w:rPr>
            </w:pPr>
            <w:r w:rsidRPr="00C97CEB">
              <w:rPr>
                <w:rFonts w:eastAsia="Times New Roman" w:cstheme="minorHAnsi"/>
                <w:color w:val="000000"/>
                <w:sz w:val="22"/>
                <w:szCs w:val="22"/>
              </w:rPr>
              <w:t>63 (7.4)</w:t>
            </w:r>
          </w:p>
        </w:tc>
        <w:tc>
          <w:tcPr>
            <w:tcW w:w="1316" w:type="dxa"/>
            <w:shd w:val="clear" w:color="auto" w:fill="auto"/>
            <w:noWrap/>
            <w:hideMark/>
          </w:tcPr>
          <w:p w14:paraId="1AECEFD7" w14:textId="77777777" w:rsidR="00F04B1B" w:rsidRPr="00C97CEB"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2"/>
                <w:szCs w:val="22"/>
              </w:rPr>
            </w:pPr>
            <w:r w:rsidRPr="00C97CEB">
              <w:rPr>
                <w:rFonts w:eastAsia="Times New Roman" w:cstheme="minorHAnsi"/>
                <w:color w:val="000000"/>
                <w:sz w:val="22"/>
                <w:szCs w:val="22"/>
              </w:rPr>
              <w:t>248 (4.3)</w:t>
            </w:r>
          </w:p>
        </w:tc>
      </w:tr>
      <w:tr w:rsidR="00F04B1B" w:rsidRPr="00C97CEB" w14:paraId="29E6B36F" w14:textId="77777777" w:rsidTr="00C50896">
        <w:trPr>
          <w:trHeight w:val="288"/>
        </w:trPr>
        <w:tc>
          <w:tcPr>
            <w:cnfStyle w:val="001000000000" w:firstRow="0" w:lastRow="0" w:firstColumn="1" w:lastColumn="0" w:oddVBand="0" w:evenVBand="0" w:oddHBand="0" w:evenHBand="0" w:firstRowFirstColumn="0" w:firstRowLastColumn="0" w:lastRowFirstColumn="0" w:lastRowLastColumn="0"/>
            <w:tcW w:w="4854" w:type="dxa"/>
            <w:shd w:val="clear" w:color="auto" w:fill="auto"/>
            <w:noWrap/>
            <w:hideMark/>
          </w:tcPr>
          <w:p w14:paraId="08103D73" w14:textId="77777777" w:rsidR="00F04B1B" w:rsidRPr="00C97CEB" w:rsidRDefault="00F04B1B" w:rsidP="00C50896">
            <w:pPr>
              <w:contextualSpacing/>
              <w:rPr>
                <w:rFonts w:eastAsia="Times New Roman" w:cstheme="minorHAnsi"/>
                <w:b w:val="0"/>
                <w:color w:val="000000"/>
                <w:sz w:val="22"/>
                <w:szCs w:val="22"/>
              </w:rPr>
            </w:pPr>
            <w:r w:rsidRPr="00C97CEB">
              <w:rPr>
                <w:rFonts w:eastAsia="Times New Roman" w:cstheme="minorHAnsi"/>
                <w:b w:val="0"/>
                <w:color w:val="000000"/>
                <w:sz w:val="22"/>
                <w:szCs w:val="22"/>
                <w:lang w:val="en-GB"/>
              </w:rPr>
              <w:t>Battle-No change of territory</w:t>
            </w:r>
          </w:p>
        </w:tc>
        <w:tc>
          <w:tcPr>
            <w:tcW w:w="1619" w:type="dxa"/>
            <w:shd w:val="clear" w:color="auto" w:fill="auto"/>
            <w:noWrap/>
            <w:hideMark/>
          </w:tcPr>
          <w:p w14:paraId="72121AB9" w14:textId="77777777" w:rsidR="00F04B1B" w:rsidRPr="00C97CEB"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2"/>
                <w:szCs w:val="22"/>
              </w:rPr>
            </w:pPr>
            <w:r w:rsidRPr="00C97CEB">
              <w:rPr>
                <w:rFonts w:eastAsia="Times New Roman" w:cstheme="minorHAnsi"/>
                <w:color w:val="000000"/>
                <w:sz w:val="22"/>
                <w:szCs w:val="22"/>
              </w:rPr>
              <w:t>852 (36.4)</w:t>
            </w:r>
          </w:p>
        </w:tc>
        <w:tc>
          <w:tcPr>
            <w:tcW w:w="1417" w:type="dxa"/>
            <w:shd w:val="clear" w:color="auto" w:fill="auto"/>
            <w:noWrap/>
            <w:hideMark/>
          </w:tcPr>
          <w:p w14:paraId="3B982305" w14:textId="77777777" w:rsidR="00F04B1B" w:rsidRPr="00C97CEB"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2"/>
                <w:szCs w:val="22"/>
              </w:rPr>
            </w:pPr>
            <w:r w:rsidRPr="00C97CEB">
              <w:rPr>
                <w:rFonts w:eastAsia="Times New Roman" w:cstheme="minorHAnsi"/>
                <w:color w:val="000000"/>
                <w:sz w:val="22"/>
                <w:szCs w:val="22"/>
              </w:rPr>
              <w:t>332 (38.8)</w:t>
            </w:r>
          </w:p>
        </w:tc>
        <w:tc>
          <w:tcPr>
            <w:tcW w:w="1316" w:type="dxa"/>
            <w:shd w:val="clear" w:color="auto" w:fill="auto"/>
            <w:noWrap/>
            <w:hideMark/>
          </w:tcPr>
          <w:p w14:paraId="56843B60" w14:textId="77777777" w:rsidR="00F04B1B" w:rsidRPr="00C97CEB"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2"/>
                <w:szCs w:val="22"/>
              </w:rPr>
            </w:pPr>
            <w:r w:rsidRPr="00C97CEB">
              <w:rPr>
                <w:rFonts w:eastAsia="Times New Roman" w:cstheme="minorHAnsi"/>
                <w:color w:val="000000"/>
                <w:sz w:val="22"/>
                <w:szCs w:val="22"/>
              </w:rPr>
              <w:t>1817 (31.2)</w:t>
            </w:r>
          </w:p>
        </w:tc>
      </w:tr>
      <w:tr w:rsidR="00F04B1B" w:rsidRPr="00C97CEB" w14:paraId="5C8A3CC9" w14:textId="77777777" w:rsidTr="00C50896">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854" w:type="dxa"/>
            <w:shd w:val="clear" w:color="auto" w:fill="auto"/>
            <w:noWrap/>
            <w:hideMark/>
          </w:tcPr>
          <w:p w14:paraId="127E6FD6" w14:textId="77777777" w:rsidR="00F04B1B" w:rsidRPr="00C97CEB" w:rsidRDefault="00F04B1B" w:rsidP="00C50896">
            <w:pPr>
              <w:contextualSpacing/>
              <w:rPr>
                <w:rFonts w:eastAsia="Times New Roman" w:cstheme="minorHAnsi"/>
                <w:b w:val="0"/>
                <w:color w:val="000000"/>
                <w:sz w:val="22"/>
                <w:szCs w:val="22"/>
              </w:rPr>
            </w:pPr>
            <w:r w:rsidRPr="00C97CEB">
              <w:rPr>
                <w:rFonts w:eastAsia="Times New Roman" w:cstheme="minorHAnsi"/>
                <w:b w:val="0"/>
                <w:color w:val="000000"/>
                <w:sz w:val="22"/>
                <w:szCs w:val="22"/>
                <w:lang w:val="en-GB"/>
              </w:rPr>
              <w:t>Battle-Non-state actor overtakes territory</w:t>
            </w:r>
          </w:p>
        </w:tc>
        <w:tc>
          <w:tcPr>
            <w:tcW w:w="1619" w:type="dxa"/>
            <w:shd w:val="clear" w:color="auto" w:fill="auto"/>
            <w:noWrap/>
            <w:hideMark/>
          </w:tcPr>
          <w:p w14:paraId="1795154C" w14:textId="77777777" w:rsidR="00F04B1B" w:rsidRPr="00C97CEB"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2"/>
                <w:szCs w:val="22"/>
              </w:rPr>
            </w:pPr>
            <w:r w:rsidRPr="00C97CEB">
              <w:rPr>
                <w:rFonts w:eastAsia="Times New Roman" w:cstheme="minorHAnsi"/>
                <w:color w:val="000000"/>
                <w:sz w:val="22"/>
                <w:szCs w:val="22"/>
              </w:rPr>
              <w:t>79 (3.4)</w:t>
            </w:r>
          </w:p>
        </w:tc>
        <w:tc>
          <w:tcPr>
            <w:tcW w:w="1417" w:type="dxa"/>
            <w:shd w:val="clear" w:color="auto" w:fill="auto"/>
            <w:noWrap/>
            <w:hideMark/>
          </w:tcPr>
          <w:p w14:paraId="4D5ED30F" w14:textId="77777777" w:rsidR="00F04B1B" w:rsidRPr="00C97CEB"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2"/>
                <w:szCs w:val="22"/>
              </w:rPr>
            </w:pPr>
            <w:r w:rsidRPr="00C97CEB">
              <w:rPr>
                <w:rFonts w:eastAsia="Times New Roman" w:cstheme="minorHAnsi"/>
                <w:color w:val="000000"/>
                <w:sz w:val="22"/>
                <w:szCs w:val="22"/>
              </w:rPr>
              <w:t>13 (1.5)</w:t>
            </w:r>
          </w:p>
        </w:tc>
        <w:tc>
          <w:tcPr>
            <w:tcW w:w="1316" w:type="dxa"/>
            <w:shd w:val="clear" w:color="auto" w:fill="auto"/>
            <w:noWrap/>
            <w:hideMark/>
          </w:tcPr>
          <w:p w14:paraId="49D3C71B" w14:textId="77777777" w:rsidR="00F04B1B" w:rsidRPr="00C97CEB"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2"/>
                <w:szCs w:val="22"/>
              </w:rPr>
            </w:pPr>
            <w:r w:rsidRPr="00C97CEB">
              <w:rPr>
                <w:rFonts w:eastAsia="Times New Roman" w:cstheme="minorHAnsi"/>
                <w:color w:val="000000"/>
                <w:sz w:val="22"/>
                <w:szCs w:val="22"/>
              </w:rPr>
              <w:t>116 (2.0)</w:t>
            </w:r>
          </w:p>
        </w:tc>
      </w:tr>
      <w:tr w:rsidR="00F04B1B" w:rsidRPr="00C97CEB" w14:paraId="0C8F3D88" w14:textId="77777777" w:rsidTr="00C50896">
        <w:trPr>
          <w:trHeight w:val="288"/>
        </w:trPr>
        <w:tc>
          <w:tcPr>
            <w:cnfStyle w:val="001000000000" w:firstRow="0" w:lastRow="0" w:firstColumn="1" w:lastColumn="0" w:oddVBand="0" w:evenVBand="0" w:oddHBand="0" w:evenHBand="0" w:firstRowFirstColumn="0" w:firstRowLastColumn="0" w:lastRowFirstColumn="0" w:lastRowLastColumn="0"/>
            <w:tcW w:w="4854" w:type="dxa"/>
            <w:shd w:val="clear" w:color="auto" w:fill="auto"/>
            <w:noWrap/>
            <w:hideMark/>
          </w:tcPr>
          <w:p w14:paraId="3E4ACD07" w14:textId="77777777" w:rsidR="00F04B1B" w:rsidRPr="00C97CEB" w:rsidRDefault="00F04B1B" w:rsidP="00C50896">
            <w:pPr>
              <w:contextualSpacing/>
              <w:rPr>
                <w:rFonts w:eastAsia="Times New Roman" w:cstheme="minorHAnsi"/>
                <w:b w:val="0"/>
                <w:color w:val="000000"/>
                <w:sz w:val="22"/>
                <w:szCs w:val="22"/>
              </w:rPr>
            </w:pPr>
            <w:r w:rsidRPr="00C97CEB">
              <w:rPr>
                <w:rFonts w:eastAsia="Times New Roman" w:cstheme="minorHAnsi"/>
                <w:b w:val="0"/>
                <w:color w:val="000000"/>
                <w:sz w:val="22"/>
                <w:szCs w:val="22"/>
                <w:lang w:val="en-GB"/>
              </w:rPr>
              <w:t>Headquarters or base established</w:t>
            </w:r>
          </w:p>
        </w:tc>
        <w:tc>
          <w:tcPr>
            <w:tcW w:w="1619" w:type="dxa"/>
            <w:shd w:val="clear" w:color="auto" w:fill="auto"/>
            <w:noWrap/>
            <w:hideMark/>
          </w:tcPr>
          <w:p w14:paraId="56A84F7F" w14:textId="77777777" w:rsidR="00F04B1B" w:rsidRPr="00C97CEB"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2"/>
                <w:szCs w:val="22"/>
              </w:rPr>
            </w:pPr>
            <w:r w:rsidRPr="00C97CEB">
              <w:rPr>
                <w:rFonts w:eastAsia="Times New Roman" w:cstheme="minorHAnsi"/>
                <w:color w:val="000000"/>
                <w:sz w:val="22"/>
                <w:szCs w:val="22"/>
              </w:rPr>
              <w:t>37 (1.6)</w:t>
            </w:r>
          </w:p>
        </w:tc>
        <w:tc>
          <w:tcPr>
            <w:tcW w:w="1417" w:type="dxa"/>
            <w:shd w:val="clear" w:color="auto" w:fill="auto"/>
            <w:noWrap/>
            <w:hideMark/>
          </w:tcPr>
          <w:p w14:paraId="11FE9FB2" w14:textId="77777777" w:rsidR="00F04B1B" w:rsidRPr="00C97CEB"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2"/>
                <w:szCs w:val="22"/>
              </w:rPr>
            </w:pPr>
            <w:r w:rsidRPr="00C97CEB">
              <w:rPr>
                <w:rFonts w:eastAsia="Times New Roman" w:cstheme="minorHAnsi"/>
                <w:color w:val="000000"/>
                <w:sz w:val="22"/>
                <w:szCs w:val="22"/>
              </w:rPr>
              <w:t>9 (1.1)</w:t>
            </w:r>
          </w:p>
        </w:tc>
        <w:tc>
          <w:tcPr>
            <w:tcW w:w="1316" w:type="dxa"/>
            <w:shd w:val="clear" w:color="auto" w:fill="auto"/>
            <w:noWrap/>
            <w:hideMark/>
          </w:tcPr>
          <w:p w14:paraId="704119FF" w14:textId="77777777" w:rsidR="00F04B1B" w:rsidRPr="00C97CEB"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2"/>
                <w:szCs w:val="22"/>
              </w:rPr>
            </w:pPr>
            <w:r w:rsidRPr="00C97CEB">
              <w:rPr>
                <w:rFonts w:eastAsia="Times New Roman" w:cstheme="minorHAnsi"/>
                <w:color w:val="000000"/>
                <w:sz w:val="22"/>
                <w:szCs w:val="22"/>
              </w:rPr>
              <w:t>65 (1.1)</w:t>
            </w:r>
          </w:p>
        </w:tc>
      </w:tr>
      <w:tr w:rsidR="00F04B1B" w:rsidRPr="00C97CEB" w14:paraId="351CD792" w14:textId="77777777" w:rsidTr="00C50896">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854" w:type="dxa"/>
            <w:shd w:val="clear" w:color="auto" w:fill="auto"/>
            <w:noWrap/>
            <w:hideMark/>
          </w:tcPr>
          <w:p w14:paraId="6E38417A" w14:textId="77777777" w:rsidR="00F04B1B" w:rsidRPr="00C97CEB" w:rsidRDefault="00F04B1B" w:rsidP="00C50896">
            <w:pPr>
              <w:contextualSpacing/>
              <w:rPr>
                <w:rFonts w:eastAsia="Times New Roman" w:cstheme="minorHAnsi"/>
                <w:b w:val="0"/>
                <w:color w:val="000000"/>
                <w:sz w:val="22"/>
                <w:szCs w:val="22"/>
              </w:rPr>
            </w:pPr>
            <w:r w:rsidRPr="00C97CEB">
              <w:rPr>
                <w:rFonts w:eastAsia="Times New Roman" w:cstheme="minorHAnsi"/>
                <w:b w:val="0"/>
                <w:color w:val="000000"/>
                <w:sz w:val="22"/>
                <w:szCs w:val="22"/>
                <w:lang w:val="en-GB"/>
              </w:rPr>
              <w:t>Non-violent transfer of territory</w:t>
            </w:r>
          </w:p>
        </w:tc>
        <w:tc>
          <w:tcPr>
            <w:tcW w:w="1619" w:type="dxa"/>
            <w:shd w:val="clear" w:color="auto" w:fill="auto"/>
            <w:noWrap/>
            <w:hideMark/>
          </w:tcPr>
          <w:p w14:paraId="7F34D290" w14:textId="77777777" w:rsidR="00F04B1B" w:rsidRPr="00C97CEB"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2"/>
                <w:szCs w:val="22"/>
              </w:rPr>
            </w:pPr>
            <w:r w:rsidRPr="00C97CEB">
              <w:rPr>
                <w:rFonts w:eastAsia="Times New Roman" w:cstheme="minorHAnsi"/>
                <w:color w:val="000000"/>
                <w:sz w:val="22"/>
                <w:szCs w:val="22"/>
              </w:rPr>
              <w:t>103 (4.4)</w:t>
            </w:r>
          </w:p>
        </w:tc>
        <w:tc>
          <w:tcPr>
            <w:tcW w:w="1417" w:type="dxa"/>
            <w:shd w:val="clear" w:color="auto" w:fill="auto"/>
            <w:noWrap/>
            <w:hideMark/>
          </w:tcPr>
          <w:p w14:paraId="287ED839" w14:textId="77777777" w:rsidR="00F04B1B" w:rsidRPr="00C97CEB"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2"/>
                <w:szCs w:val="22"/>
              </w:rPr>
            </w:pPr>
            <w:r w:rsidRPr="00C97CEB">
              <w:rPr>
                <w:rFonts w:eastAsia="Times New Roman" w:cstheme="minorHAnsi"/>
                <w:color w:val="000000"/>
                <w:sz w:val="22"/>
                <w:szCs w:val="22"/>
              </w:rPr>
              <w:t>24 (2.8)</w:t>
            </w:r>
          </w:p>
        </w:tc>
        <w:tc>
          <w:tcPr>
            <w:tcW w:w="1316" w:type="dxa"/>
            <w:shd w:val="clear" w:color="auto" w:fill="auto"/>
            <w:noWrap/>
            <w:hideMark/>
          </w:tcPr>
          <w:p w14:paraId="2539CA91" w14:textId="77777777" w:rsidR="00F04B1B" w:rsidRPr="00C97CEB"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2"/>
                <w:szCs w:val="22"/>
              </w:rPr>
            </w:pPr>
            <w:r w:rsidRPr="00C97CEB">
              <w:rPr>
                <w:rFonts w:eastAsia="Times New Roman" w:cstheme="minorHAnsi"/>
                <w:color w:val="000000"/>
                <w:sz w:val="22"/>
                <w:szCs w:val="22"/>
              </w:rPr>
              <w:t>151 (2.6)</w:t>
            </w:r>
          </w:p>
        </w:tc>
      </w:tr>
      <w:tr w:rsidR="00F04B1B" w:rsidRPr="00C97CEB" w14:paraId="12F32CDA" w14:textId="77777777" w:rsidTr="00C50896">
        <w:trPr>
          <w:trHeight w:val="288"/>
        </w:trPr>
        <w:tc>
          <w:tcPr>
            <w:cnfStyle w:val="001000000000" w:firstRow="0" w:lastRow="0" w:firstColumn="1" w:lastColumn="0" w:oddVBand="0" w:evenVBand="0" w:oddHBand="0" w:evenHBand="0" w:firstRowFirstColumn="0" w:firstRowLastColumn="0" w:lastRowFirstColumn="0" w:lastRowLastColumn="0"/>
            <w:tcW w:w="4854" w:type="dxa"/>
            <w:shd w:val="clear" w:color="auto" w:fill="auto"/>
            <w:noWrap/>
            <w:hideMark/>
          </w:tcPr>
          <w:p w14:paraId="2E86CD0A" w14:textId="77777777" w:rsidR="00F04B1B" w:rsidRPr="00C97CEB" w:rsidRDefault="00F04B1B" w:rsidP="00C50896">
            <w:pPr>
              <w:contextualSpacing/>
              <w:rPr>
                <w:rFonts w:eastAsia="Times New Roman" w:cstheme="minorHAnsi"/>
                <w:b w:val="0"/>
                <w:color w:val="000000"/>
                <w:sz w:val="22"/>
                <w:szCs w:val="22"/>
              </w:rPr>
            </w:pPr>
            <w:r w:rsidRPr="00C97CEB">
              <w:rPr>
                <w:rFonts w:eastAsia="Times New Roman" w:cstheme="minorHAnsi"/>
                <w:b w:val="0"/>
                <w:color w:val="000000"/>
                <w:sz w:val="22"/>
                <w:szCs w:val="22"/>
                <w:lang w:val="en-GB"/>
              </w:rPr>
              <w:t>Remote violence</w:t>
            </w:r>
          </w:p>
        </w:tc>
        <w:tc>
          <w:tcPr>
            <w:tcW w:w="1619" w:type="dxa"/>
            <w:shd w:val="clear" w:color="auto" w:fill="auto"/>
            <w:noWrap/>
            <w:hideMark/>
          </w:tcPr>
          <w:p w14:paraId="0474B9AD" w14:textId="77777777" w:rsidR="00F04B1B" w:rsidRPr="00C97CEB"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2"/>
                <w:szCs w:val="22"/>
              </w:rPr>
            </w:pPr>
            <w:r w:rsidRPr="00C97CEB">
              <w:rPr>
                <w:rFonts w:eastAsia="Times New Roman" w:cstheme="minorHAnsi"/>
                <w:color w:val="000000"/>
                <w:sz w:val="22"/>
                <w:szCs w:val="22"/>
              </w:rPr>
              <w:t>43 (1.8)</w:t>
            </w:r>
          </w:p>
        </w:tc>
        <w:tc>
          <w:tcPr>
            <w:tcW w:w="1417" w:type="dxa"/>
            <w:shd w:val="clear" w:color="auto" w:fill="auto"/>
            <w:noWrap/>
            <w:hideMark/>
          </w:tcPr>
          <w:p w14:paraId="0D03C870" w14:textId="77777777" w:rsidR="00F04B1B" w:rsidRPr="00C97CEB"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2"/>
                <w:szCs w:val="22"/>
              </w:rPr>
            </w:pPr>
            <w:r w:rsidRPr="00C97CEB">
              <w:rPr>
                <w:rFonts w:eastAsia="Times New Roman" w:cstheme="minorHAnsi"/>
                <w:color w:val="000000"/>
                <w:sz w:val="22"/>
                <w:szCs w:val="22"/>
              </w:rPr>
              <w:t>7 (0.8)</w:t>
            </w:r>
          </w:p>
        </w:tc>
        <w:tc>
          <w:tcPr>
            <w:tcW w:w="1316" w:type="dxa"/>
            <w:shd w:val="clear" w:color="auto" w:fill="auto"/>
            <w:noWrap/>
            <w:hideMark/>
          </w:tcPr>
          <w:p w14:paraId="652D3911" w14:textId="77777777" w:rsidR="00F04B1B" w:rsidRPr="00C97CEB"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2"/>
                <w:szCs w:val="22"/>
              </w:rPr>
            </w:pPr>
            <w:r w:rsidRPr="00C97CEB">
              <w:rPr>
                <w:rFonts w:eastAsia="Times New Roman" w:cstheme="minorHAnsi"/>
                <w:color w:val="000000"/>
                <w:sz w:val="22"/>
                <w:szCs w:val="22"/>
              </w:rPr>
              <w:t>54 (0.9)</w:t>
            </w:r>
          </w:p>
        </w:tc>
      </w:tr>
      <w:tr w:rsidR="00F04B1B" w:rsidRPr="00C97CEB" w14:paraId="2012DB2F" w14:textId="77777777" w:rsidTr="00C50896">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854" w:type="dxa"/>
            <w:shd w:val="clear" w:color="auto" w:fill="auto"/>
            <w:noWrap/>
            <w:hideMark/>
          </w:tcPr>
          <w:p w14:paraId="160C5B59" w14:textId="77777777" w:rsidR="00F04B1B" w:rsidRPr="00C97CEB" w:rsidRDefault="00F04B1B" w:rsidP="00C50896">
            <w:pPr>
              <w:contextualSpacing/>
              <w:rPr>
                <w:rFonts w:eastAsia="Times New Roman" w:cstheme="minorHAnsi"/>
                <w:b w:val="0"/>
                <w:color w:val="000000"/>
                <w:sz w:val="22"/>
                <w:szCs w:val="22"/>
              </w:rPr>
            </w:pPr>
            <w:r w:rsidRPr="00C97CEB">
              <w:rPr>
                <w:rFonts w:eastAsia="Times New Roman" w:cstheme="minorHAnsi"/>
                <w:b w:val="0"/>
                <w:color w:val="000000"/>
                <w:sz w:val="22"/>
                <w:szCs w:val="22"/>
                <w:lang w:val="en-GB"/>
              </w:rPr>
              <w:t>Riots/Protests</w:t>
            </w:r>
          </w:p>
        </w:tc>
        <w:tc>
          <w:tcPr>
            <w:tcW w:w="1619" w:type="dxa"/>
            <w:shd w:val="clear" w:color="auto" w:fill="auto"/>
            <w:noWrap/>
            <w:hideMark/>
          </w:tcPr>
          <w:p w14:paraId="731928FD" w14:textId="77777777" w:rsidR="00F04B1B" w:rsidRPr="00C97CEB"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2"/>
                <w:szCs w:val="22"/>
              </w:rPr>
            </w:pPr>
            <w:r w:rsidRPr="00C97CEB">
              <w:rPr>
                <w:rFonts w:eastAsia="Times New Roman" w:cstheme="minorHAnsi"/>
                <w:color w:val="000000"/>
                <w:sz w:val="22"/>
                <w:szCs w:val="22"/>
              </w:rPr>
              <w:t>228 (9.7)</w:t>
            </w:r>
          </w:p>
        </w:tc>
        <w:tc>
          <w:tcPr>
            <w:tcW w:w="1417" w:type="dxa"/>
            <w:shd w:val="clear" w:color="auto" w:fill="auto"/>
            <w:noWrap/>
            <w:hideMark/>
          </w:tcPr>
          <w:p w14:paraId="274672F0" w14:textId="77777777" w:rsidR="00F04B1B" w:rsidRPr="00C97CEB"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2"/>
                <w:szCs w:val="22"/>
              </w:rPr>
            </w:pPr>
            <w:r w:rsidRPr="00C97CEB">
              <w:rPr>
                <w:rFonts w:eastAsia="Times New Roman" w:cstheme="minorHAnsi"/>
                <w:color w:val="000000"/>
                <w:sz w:val="22"/>
                <w:szCs w:val="22"/>
              </w:rPr>
              <w:t>102 (11.9)</w:t>
            </w:r>
          </w:p>
        </w:tc>
        <w:tc>
          <w:tcPr>
            <w:tcW w:w="1316" w:type="dxa"/>
            <w:shd w:val="clear" w:color="auto" w:fill="auto"/>
            <w:noWrap/>
            <w:hideMark/>
          </w:tcPr>
          <w:p w14:paraId="54B432EF" w14:textId="77777777" w:rsidR="00F04B1B" w:rsidRPr="00C97CEB"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2"/>
                <w:szCs w:val="22"/>
              </w:rPr>
            </w:pPr>
            <w:r w:rsidRPr="00C97CEB">
              <w:rPr>
                <w:rFonts w:eastAsia="Times New Roman" w:cstheme="minorHAnsi"/>
                <w:color w:val="000000"/>
                <w:sz w:val="22"/>
                <w:szCs w:val="22"/>
              </w:rPr>
              <w:t>997 (17.1)</w:t>
            </w:r>
          </w:p>
        </w:tc>
      </w:tr>
      <w:tr w:rsidR="00F04B1B" w:rsidRPr="00C97CEB" w14:paraId="33446B40" w14:textId="77777777" w:rsidTr="00C50896">
        <w:trPr>
          <w:trHeight w:val="288"/>
        </w:trPr>
        <w:tc>
          <w:tcPr>
            <w:cnfStyle w:val="001000000000" w:firstRow="0" w:lastRow="0" w:firstColumn="1" w:lastColumn="0" w:oddVBand="0" w:evenVBand="0" w:oddHBand="0" w:evenHBand="0" w:firstRowFirstColumn="0" w:firstRowLastColumn="0" w:lastRowFirstColumn="0" w:lastRowLastColumn="0"/>
            <w:tcW w:w="4854" w:type="dxa"/>
            <w:shd w:val="clear" w:color="auto" w:fill="auto"/>
            <w:noWrap/>
            <w:hideMark/>
          </w:tcPr>
          <w:p w14:paraId="0E6F642F" w14:textId="77777777" w:rsidR="00F04B1B" w:rsidRPr="00C97CEB" w:rsidRDefault="00F04B1B" w:rsidP="00C50896">
            <w:pPr>
              <w:contextualSpacing/>
              <w:rPr>
                <w:rFonts w:eastAsia="Times New Roman" w:cstheme="minorHAnsi"/>
                <w:b w:val="0"/>
                <w:color w:val="000000"/>
                <w:sz w:val="22"/>
                <w:szCs w:val="22"/>
              </w:rPr>
            </w:pPr>
            <w:r w:rsidRPr="00C97CEB">
              <w:rPr>
                <w:rFonts w:eastAsia="Times New Roman" w:cstheme="minorHAnsi"/>
                <w:b w:val="0"/>
                <w:color w:val="000000"/>
                <w:sz w:val="22"/>
                <w:szCs w:val="22"/>
                <w:lang w:val="en-GB"/>
              </w:rPr>
              <w:t>Strategic development</w:t>
            </w:r>
          </w:p>
        </w:tc>
        <w:tc>
          <w:tcPr>
            <w:tcW w:w="1619" w:type="dxa"/>
            <w:shd w:val="clear" w:color="auto" w:fill="auto"/>
            <w:noWrap/>
            <w:hideMark/>
          </w:tcPr>
          <w:p w14:paraId="626304D6" w14:textId="77777777" w:rsidR="00F04B1B" w:rsidRPr="00C97CEB"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2"/>
                <w:szCs w:val="22"/>
              </w:rPr>
            </w:pPr>
            <w:r w:rsidRPr="00C97CEB">
              <w:rPr>
                <w:rFonts w:eastAsia="Times New Roman" w:cstheme="minorHAnsi"/>
                <w:color w:val="000000"/>
                <w:sz w:val="22"/>
                <w:szCs w:val="22"/>
              </w:rPr>
              <w:t>159 (6.8)</w:t>
            </w:r>
          </w:p>
        </w:tc>
        <w:tc>
          <w:tcPr>
            <w:tcW w:w="1417" w:type="dxa"/>
            <w:shd w:val="clear" w:color="auto" w:fill="auto"/>
            <w:noWrap/>
            <w:hideMark/>
          </w:tcPr>
          <w:p w14:paraId="0BBD7491" w14:textId="77777777" w:rsidR="00F04B1B" w:rsidRPr="00C97CEB"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2"/>
                <w:szCs w:val="22"/>
              </w:rPr>
            </w:pPr>
            <w:r w:rsidRPr="00C97CEB">
              <w:rPr>
                <w:rFonts w:eastAsia="Times New Roman" w:cstheme="minorHAnsi"/>
                <w:color w:val="000000"/>
                <w:sz w:val="22"/>
                <w:szCs w:val="22"/>
              </w:rPr>
              <w:t>67 (7.8)</w:t>
            </w:r>
          </w:p>
        </w:tc>
        <w:tc>
          <w:tcPr>
            <w:tcW w:w="1316" w:type="dxa"/>
            <w:shd w:val="clear" w:color="auto" w:fill="auto"/>
            <w:noWrap/>
            <w:hideMark/>
          </w:tcPr>
          <w:p w14:paraId="7E2D8496" w14:textId="77777777" w:rsidR="00F04B1B" w:rsidRPr="00C97CEB" w:rsidRDefault="00F04B1B" w:rsidP="00C50896">
            <w:pPr>
              <w:contextualSpacing/>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2"/>
                <w:szCs w:val="22"/>
              </w:rPr>
            </w:pPr>
            <w:r w:rsidRPr="00C97CEB">
              <w:rPr>
                <w:rFonts w:eastAsia="Times New Roman" w:cstheme="minorHAnsi"/>
                <w:color w:val="000000"/>
                <w:sz w:val="22"/>
                <w:szCs w:val="22"/>
              </w:rPr>
              <w:t>441 (7.6)</w:t>
            </w:r>
          </w:p>
        </w:tc>
      </w:tr>
      <w:tr w:rsidR="00F04B1B" w:rsidRPr="00C97CEB" w14:paraId="083DF978" w14:textId="77777777" w:rsidTr="00C50896">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854" w:type="dxa"/>
            <w:shd w:val="clear" w:color="auto" w:fill="auto"/>
            <w:noWrap/>
            <w:hideMark/>
          </w:tcPr>
          <w:p w14:paraId="62D33A5C" w14:textId="77777777" w:rsidR="00F04B1B" w:rsidRPr="00C97CEB" w:rsidRDefault="00F04B1B" w:rsidP="00C50896">
            <w:pPr>
              <w:contextualSpacing/>
              <w:rPr>
                <w:rFonts w:eastAsia="Times New Roman" w:cstheme="minorHAnsi"/>
                <w:b w:val="0"/>
                <w:color w:val="000000"/>
                <w:sz w:val="22"/>
                <w:szCs w:val="22"/>
              </w:rPr>
            </w:pPr>
            <w:r w:rsidRPr="00C97CEB">
              <w:rPr>
                <w:rFonts w:eastAsia="Times New Roman" w:cstheme="minorHAnsi"/>
                <w:b w:val="0"/>
                <w:color w:val="000000"/>
                <w:sz w:val="22"/>
                <w:szCs w:val="22"/>
                <w:lang w:val="en-GB"/>
              </w:rPr>
              <w:t>Violence against civilians</w:t>
            </w:r>
          </w:p>
        </w:tc>
        <w:tc>
          <w:tcPr>
            <w:tcW w:w="1619" w:type="dxa"/>
            <w:shd w:val="clear" w:color="auto" w:fill="auto"/>
            <w:noWrap/>
            <w:hideMark/>
          </w:tcPr>
          <w:p w14:paraId="5C72B988" w14:textId="77777777" w:rsidR="00F04B1B" w:rsidRPr="00C97CEB"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2"/>
                <w:szCs w:val="22"/>
              </w:rPr>
            </w:pPr>
            <w:r w:rsidRPr="00C97CEB">
              <w:rPr>
                <w:rFonts w:eastAsia="Times New Roman" w:cstheme="minorHAnsi"/>
                <w:color w:val="000000"/>
                <w:sz w:val="22"/>
                <w:szCs w:val="22"/>
              </w:rPr>
              <w:t>706 (30.1)</w:t>
            </w:r>
          </w:p>
        </w:tc>
        <w:tc>
          <w:tcPr>
            <w:tcW w:w="1417" w:type="dxa"/>
            <w:shd w:val="clear" w:color="auto" w:fill="auto"/>
            <w:noWrap/>
            <w:hideMark/>
          </w:tcPr>
          <w:p w14:paraId="384475A4" w14:textId="77777777" w:rsidR="00F04B1B" w:rsidRPr="00C97CEB"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2"/>
                <w:szCs w:val="22"/>
              </w:rPr>
            </w:pPr>
            <w:r w:rsidRPr="00C97CEB">
              <w:rPr>
                <w:rFonts w:eastAsia="Times New Roman" w:cstheme="minorHAnsi"/>
                <w:color w:val="000000"/>
                <w:sz w:val="22"/>
                <w:szCs w:val="22"/>
              </w:rPr>
              <w:t>238 (27.8)</w:t>
            </w:r>
          </w:p>
        </w:tc>
        <w:tc>
          <w:tcPr>
            <w:tcW w:w="1316" w:type="dxa"/>
            <w:shd w:val="clear" w:color="auto" w:fill="auto"/>
            <w:noWrap/>
            <w:hideMark/>
          </w:tcPr>
          <w:p w14:paraId="3561E940" w14:textId="77777777" w:rsidR="00F04B1B" w:rsidRPr="00C97CEB" w:rsidRDefault="00F04B1B" w:rsidP="00C50896">
            <w:pPr>
              <w:contextualSpacing/>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2"/>
                <w:szCs w:val="22"/>
              </w:rPr>
            </w:pPr>
            <w:r w:rsidRPr="00C97CEB">
              <w:rPr>
                <w:rFonts w:eastAsia="Times New Roman" w:cstheme="minorHAnsi"/>
                <w:color w:val="000000"/>
                <w:sz w:val="22"/>
                <w:szCs w:val="22"/>
              </w:rPr>
              <w:t>1930 (33.2)</w:t>
            </w:r>
          </w:p>
        </w:tc>
      </w:tr>
    </w:tbl>
    <w:p w14:paraId="4C98336E" w14:textId="77777777" w:rsidR="00F04B1B" w:rsidRDefault="00F04B1B" w:rsidP="00F04B1B">
      <w:pPr>
        <w:rPr>
          <w:rFonts w:cstheme="minorHAnsi"/>
        </w:rPr>
      </w:pPr>
    </w:p>
    <w:p w14:paraId="05F9DDB4" w14:textId="2B5FD073" w:rsidR="00F04B1B" w:rsidRDefault="00F04B1B" w:rsidP="00702181">
      <w:pPr>
        <w:spacing w:line="360" w:lineRule="auto"/>
        <w:rPr>
          <w:rFonts w:cstheme="minorHAnsi"/>
        </w:rPr>
      </w:pPr>
      <w:commentRangeStart w:id="2"/>
      <w:r w:rsidRPr="00236491">
        <w:rPr>
          <w:rFonts w:cstheme="minorHAnsi"/>
        </w:rPr>
        <w:t xml:space="preserve">Figures </w:t>
      </w:r>
      <w:r w:rsidR="00702181">
        <w:rPr>
          <w:rFonts w:cstheme="minorHAnsi"/>
        </w:rPr>
        <w:t>1</w:t>
      </w:r>
      <w:r w:rsidRPr="00236491">
        <w:rPr>
          <w:rFonts w:cstheme="minorHAnsi"/>
        </w:rPr>
        <w:t xml:space="preserve"> and </w:t>
      </w:r>
      <w:r w:rsidR="00702181">
        <w:rPr>
          <w:rFonts w:cstheme="minorHAnsi"/>
        </w:rPr>
        <w:t>2</w:t>
      </w:r>
      <w:r w:rsidRPr="00236491">
        <w:rPr>
          <w:rFonts w:cstheme="minorHAnsi"/>
        </w:rPr>
        <w:t xml:space="preserve"> </w:t>
      </w:r>
      <w:commentRangeEnd w:id="2"/>
      <w:r w:rsidR="00BF0048">
        <w:rPr>
          <w:rStyle w:val="CommentReference"/>
          <w:lang w:val="en-GB"/>
        </w:rPr>
        <w:commentReference w:id="2"/>
      </w:r>
      <w:r w:rsidRPr="00236491">
        <w:rPr>
          <w:rFonts w:cstheme="minorHAnsi"/>
        </w:rPr>
        <w:t>show</w:t>
      </w:r>
      <w:r>
        <w:rPr>
          <w:rFonts w:cstheme="minorHAnsi"/>
        </w:rPr>
        <w:t xml:space="preserve"> the number of violence related fatalities and the number of violent events between 2012 and 2018, respectively. North Kivu has experienced higher intensity in violence than South Kivu, both in terms of casualties and events. North Kivu alone suffered more casualties than all other DRC provinces until 2016. This was no longer the case in 2017 due to the insurgence in violence in Kasai. Few fatalities have occurred in south Kivu since 2012 despite the occurrence of violent events throughout the years. </w:t>
      </w:r>
    </w:p>
    <w:p w14:paraId="5DBAF497" w14:textId="77777777" w:rsidR="00F04B1B" w:rsidRDefault="00F04B1B" w:rsidP="00F04B1B">
      <w:pPr>
        <w:rPr>
          <w:rFonts w:cstheme="minorHAnsi"/>
        </w:rPr>
      </w:pPr>
    </w:p>
    <w:p w14:paraId="68463984" w14:textId="77777777" w:rsidR="00F04B1B" w:rsidRDefault="00F04B1B" w:rsidP="00F04B1B">
      <w:pPr>
        <w:keepNext/>
      </w:pPr>
      <w:r w:rsidRPr="00037A18">
        <w:rPr>
          <w:rFonts w:cstheme="minorHAnsi"/>
          <w:noProof/>
        </w:rPr>
        <w:lastRenderedPageBreak/>
        <w:drawing>
          <wp:inline distT="0" distB="0" distL="0" distR="0" wp14:anchorId="43913F4E" wp14:editId="3E1F933A">
            <wp:extent cx="3798277" cy="2910254"/>
            <wp:effectExtent l="0" t="0" r="12065" b="10795"/>
            <wp:docPr id="3" name="Chart 3">
              <a:extLst xmlns:a="http://schemas.openxmlformats.org/drawingml/2006/main">
                <a:ext uri="{FF2B5EF4-FFF2-40B4-BE49-F238E27FC236}">
                  <a16:creationId xmlns:a16="http://schemas.microsoft.com/office/drawing/2014/main" id="{8CCA03DC-B4C9-D54B-822D-2FD319FC78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9197609" w14:textId="77777777" w:rsidR="00F04B1B" w:rsidRDefault="00F04B1B" w:rsidP="00F04B1B">
      <w:pPr>
        <w:pStyle w:val="Caption"/>
        <w:rPr>
          <w:rFonts w:cstheme="minorHAnsi"/>
        </w:rPr>
      </w:pPr>
      <w:bookmarkStart w:id="3" w:name="_Toc532286558"/>
      <w:r>
        <w:t xml:space="preserve">Figure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r>
        <w:t xml:space="preserve">: Number of violence related fatalities in north, south and in the other 9 </w:t>
      </w:r>
      <w:proofErr w:type="spellStart"/>
      <w:r>
        <w:t>drc</w:t>
      </w:r>
      <w:proofErr w:type="spellEnd"/>
      <w:r>
        <w:t xml:space="preserve"> provinces between 2012 and 2018. Source: ACLED</w:t>
      </w:r>
      <w:bookmarkEnd w:id="3"/>
    </w:p>
    <w:p w14:paraId="10D2257E" w14:textId="77777777" w:rsidR="00F04B1B" w:rsidRDefault="00F04B1B" w:rsidP="00F04B1B">
      <w:pPr>
        <w:rPr>
          <w:rFonts w:cstheme="minorHAnsi"/>
        </w:rPr>
      </w:pPr>
    </w:p>
    <w:p w14:paraId="68F50DAA" w14:textId="77777777" w:rsidR="00F04B1B" w:rsidRDefault="00F04B1B" w:rsidP="00F04B1B">
      <w:pPr>
        <w:rPr>
          <w:rFonts w:cstheme="minorHAnsi"/>
        </w:rPr>
      </w:pPr>
    </w:p>
    <w:p w14:paraId="1C1A2A1F" w14:textId="77777777" w:rsidR="00F04B1B" w:rsidRDefault="00F04B1B" w:rsidP="00F04B1B">
      <w:pPr>
        <w:keepNext/>
      </w:pPr>
      <w:r w:rsidRPr="00037A18">
        <w:rPr>
          <w:rFonts w:cstheme="minorHAnsi"/>
          <w:noProof/>
        </w:rPr>
        <w:drawing>
          <wp:inline distT="0" distB="0" distL="0" distR="0" wp14:anchorId="63295072" wp14:editId="07F0665A">
            <wp:extent cx="4724400" cy="2997200"/>
            <wp:effectExtent l="0" t="0" r="12700" b="12700"/>
            <wp:docPr id="4" name="Chart 4">
              <a:extLst xmlns:a="http://schemas.openxmlformats.org/drawingml/2006/main">
                <a:ext uri="{FF2B5EF4-FFF2-40B4-BE49-F238E27FC236}">
                  <a16:creationId xmlns:a16="http://schemas.microsoft.com/office/drawing/2014/main" id="{946C7EB6-EDB3-144B-82E0-1E4A16DFF8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2CEA84D" w14:textId="77777777" w:rsidR="00F04B1B" w:rsidRDefault="00F04B1B" w:rsidP="00F04B1B">
      <w:pPr>
        <w:pStyle w:val="Caption"/>
        <w:rPr>
          <w:rFonts w:cstheme="minorHAnsi"/>
        </w:rPr>
      </w:pPr>
      <w:bookmarkStart w:id="4" w:name="_Toc532286559"/>
      <w:r>
        <w:t xml:space="preserve">Figure </w:t>
      </w:r>
      <w:r>
        <w:rPr>
          <w:noProof/>
        </w:rPr>
        <w:fldChar w:fldCharType="begin"/>
      </w:r>
      <w:r>
        <w:rPr>
          <w:noProof/>
        </w:rPr>
        <w:instrText xml:space="preserve"> SEQ Figure \* ARABIC </w:instrText>
      </w:r>
      <w:r>
        <w:rPr>
          <w:noProof/>
        </w:rPr>
        <w:fldChar w:fldCharType="separate"/>
      </w:r>
      <w:r>
        <w:rPr>
          <w:noProof/>
        </w:rPr>
        <w:t>2</w:t>
      </w:r>
      <w:r>
        <w:rPr>
          <w:noProof/>
        </w:rPr>
        <w:fldChar w:fldCharType="end"/>
      </w:r>
      <w:r>
        <w:t>: Number of violent events in North Kivu, South Kivu and in the other 9 DRC provinces between 2012 and 2017. Source: ACLED</w:t>
      </w:r>
      <w:bookmarkEnd w:id="4"/>
      <w:r>
        <w:t xml:space="preserve"> </w:t>
      </w:r>
    </w:p>
    <w:p w14:paraId="3D1B5EED" w14:textId="77777777" w:rsidR="00F04B1B" w:rsidRDefault="00F04B1B" w:rsidP="00F04B1B">
      <w:pPr>
        <w:rPr>
          <w:rFonts w:cstheme="minorHAnsi"/>
        </w:rPr>
      </w:pPr>
    </w:p>
    <w:p w14:paraId="5E15727A" w14:textId="77777777" w:rsidR="00F04B1B" w:rsidRPr="00236491" w:rsidRDefault="00F04B1B" w:rsidP="00702181">
      <w:pPr>
        <w:spacing w:line="360" w:lineRule="auto"/>
        <w:rPr>
          <w:rFonts w:cstheme="minorHAnsi"/>
        </w:rPr>
      </w:pPr>
      <w:r>
        <w:rPr>
          <w:rFonts w:cstheme="minorHAnsi"/>
        </w:rPr>
        <w:t xml:space="preserve">Variation in conflict-related events and deaths at the sub provincial level is </w:t>
      </w:r>
      <w:r w:rsidRPr="00236491">
        <w:rPr>
          <w:rFonts w:cstheme="minorHAnsi"/>
        </w:rPr>
        <w:t xml:space="preserve">important. </w:t>
      </w:r>
    </w:p>
    <w:p w14:paraId="77D59DFD" w14:textId="1EE7B09C" w:rsidR="00F04B1B" w:rsidRPr="00CA12D2" w:rsidRDefault="00F04B1B" w:rsidP="00702181">
      <w:pPr>
        <w:spacing w:line="360" w:lineRule="auto"/>
        <w:rPr>
          <w:rFonts w:cstheme="minorHAnsi"/>
        </w:rPr>
      </w:pPr>
      <w:r w:rsidRPr="00236491">
        <w:rPr>
          <w:rFonts w:cstheme="minorHAnsi"/>
          <w:lang w:val="en-CA"/>
        </w:rPr>
        <w:t xml:space="preserve">In North Kivu, the estimated provincial population was </w:t>
      </w:r>
      <w:r w:rsidRPr="00236491">
        <w:rPr>
          <w:rFonts w:cstheme="minorHAnsi"/>
        </w:rPr>
        <w:t xml:space="preserve">8,861,797 people in 2017 (Figure </w:t>
      </w:r>
      <w:r w:rsidR="00702181">
        <w:rPr>
          <w:rFonts w:cstheme="minorHAnsi"/>
        </w:rPr>
        <w:t>3</w:t>
      </w:r>
      <w:r w:rsidRPr="00236491">
        <w:rPr>
          <w:rFonts w:cstheme="minorHAnsi"/>
        </w:rPr>
        <w:t xml:space="preserve">). The province has 7 administrative units (territories) organized in 33 health zones. </w:t>
      </w:r>
      <w:proofErr w:type="spellStart"/>
      <w:r w:rsidRPr="00236491">
        <w:rPr>
          <w:rFonts w:cstheme="minorHAnsi"/>
        </w:rPr>
        <w:t>Lubero</w:t>
      </w:r>
      <w:proofErr w:type="spellEnd"/>
      <w:r w:rsidRPr="00236491">
        <w:rPr>
          <w:rFonts w:cstheme="minorHAnsi"/>
        </w:rPr>
        <w:t xml:space="preserve"> and Beni </w:t>
      </w:r>
      <w:r w:rsidRPr="00236491">
        <w:rPr>
          <w:rFonts w:cstheme="minorHAnsi"/>
        </w:rPr>
        <w:lastRenderedPageBreak/>
        <w:t xml:space="preserve">territories have the highest numbers of health zones (9 and 7 respectively) while </w:t>
      </w:r>
      <w:proofErr w:type="spellStart"/>
      <w:r w:rsidRPr="00236491">
        <w:rPr>
          <w:rFonts w:cstheme="minorHAnsi"/>
        </w:rPr>
        <w:t>Nyiragongo</w:t>
      </w:r>
      <w:proofErr w:type="spellEnd"/>
      <w:r w:rsidRPr="00236491">
        <w:rPr>
          <w:rFonts w:cstheme="minorHAnsi"/>
        </w:rPr>
        <w:t xml:space="preserve"> has only one health zone. </w:t>
      </w:r>
      <w:r w:rsidRPr="00236491">
        <w:rPr>
          <w:rFonts w:cstheme="minorHAnsi"/>
        </w:rPr>
        <w:br/>
      </w:r>
      <w:r w:rsidRPr="00236491">
        <w:rPr>
          <w:rFonts w:cstheme="minorHAnsi"/>
          <w:lang w:val="en-CA"/>
        </w:rPr>
        <w:t>Based on the ACLED data for 2012-2017, t</w:t>
      </w:r>
      <w:r w:rsidRPr="00236491">
        <w:rPr>
          <w:rFonts w:cstheme="minorHAnsi"/>
        </w:rPr>
        <w:t xml:space="preserve">he annual absolute number of deaths ranged from 33 in </w:t>
      </w:r>
      <w:proofErr w:type="spellStart"/>
      <w:r w:rsidRPr="00236491">
        <w:rPr>
          <w:rFonts w:cstheme="minorHAnsi"/>
        </w:rPr>
        <w:t>Nyiragongo</w:t>
      </w:r>
      <w:proofErr w:type="spellEnd"/>
      <w:r w:rsidRPr="00236491">
        <w:rPr>
          <w:rFonts w:cstheme="minorHAnsi"/>
        </w:rPr>
        <w:t xml:space="preserve"> to 291 in Beni territory. Two territories (</w:t>
      </w:r>
      <w:proofErr w:type="spellStart"/>
      <w:r w:rsidRPr="00236491">
        <w:rPr>
          <w:rFonts w:cstheme="minorHAnsi"/>
        </w:rPr>
        <w:t>Walikale</w:t>
      </w:r>
      <w:proofErr w:type="spellEnd"/>
      <w:r w:rsidRPr="00236491">
        <w:rPr>
          <w:rFonts w:cstheme="minorHAnsi"/>
        </w:rPr>
        <w:t xml:space="preserve"> and Beni) had conflict intensity higher than 20 deaths per 100,000 population per year and were deemed most insecure (Figure </w:t>
      </w:r>
      <w:r w:rsidR="00702181">
        <w:rPr>
          <w:rFonts w:cstheme="minorHAnsi"/>
        </w:rPr>
        <w:t>3</w:t>
      </w:r>
      <w:r w:rsidRPr="00236491">
        <w:rPr>
          <w:rFonts w:cstheme="minorHAnsi"/>
        </w:rPr>
        <w:t>). Apart</w:t>
      </w:r>
      <w:r w:rsidRPr="00CA12D2">
        <w:rPr>
          <w:rFonts w:cstheme="minorHAnsi"/>
        </w:rPr>
        <w:t xml:space="preserve"> from </w:t>
      </w:r>
      <w:proofErr w:type="spellStart"/>
      <w:r w:rsidRPr="00CA12D2">
        <w:rPr>
          <w:rFonts w:cstheme="minorHAnsi"/>
        </w:rPr>
        <w:t>Nyiragongo</w:t>
      </w:r>
      <w:proofErr w:type="spellEnd"/>
      <w:r w:rsidRPr="00CA12D2">
        <w:rPr>
          <w:rFonts w:cstheme="minorHAnsi"/>
        </w:rPr>
        <w:t xml:space="preserve"> with an annual conflict death rate of 17.3 per 100</w:t>
      </w:r>
      <w:r>
        <w:rPr>
          <w:rFonts w:cstheme="minorHAnsi"/>
        </w:rPr>
        <w:t>,</w:t>
      </w:r>
      <w:r w:rsidRPr="00CA12D2">
        <w:rPr>
          <w:rFonts w:cstheme="minorHAnsi"/>
        </w:rPr>
        <w:t xml:space="preserve">000, all the other territories had a conflict death rate lower than 8.4. In fact, </w:t>
      </w:r>
      <w:proofErr w:type="spellStart"/>
      <w:r w:rsidRPr="00CA12D2">
        <w:rPr>
          <w:rFonts w:cstheme="minorHAnsi"/>
        </w:rPr>
        <w:t>Nyiragongo</w:t>
      </w:r>
      <w:proofErr w:type="spellEnd"/>
      <w:r w:rsidRPr="00CA12D2">
        <w:rPr>
          <w:rFonts w:cstheme="minorHAnsi"/>
        </w:rPr>
        <w:t xml:space="preserve"> territory, with the lowest annual population size (1</w:t>
      </w:r>
      <w:r>
        <w:rPr>
          <w:rFonts w:cstheme="minorHAnsi"/>
        </w:rPr>
        <w:t>,</w:t>
      </w:r>
      <w:r w:rsidRPr="00CA12D2">
        <w:rPr>
          <w:rFonts w:cstheme="minorHAnsi"/>
        </w:rPr>
        <w:t>915</w:t>
      </w:r>
      <w:r>
        <w:rPr>
          <w:rFonts w:cstheme="minorHAnsi"/>
        </w:rPr>
        <w:t>,</w:t>
      </w:r>
      <w:r w:rsidRPr="00CA12D2">
        <w:rPr>
          <w:rFonts w:cstheme="minorHAnsi"/>
        </w:rPr>
        <w:t>161), experienced a burst of violence in 2013, but remained relatively stable with conflict deaths not exceeding 6 in the other years.</w:t>
      </w:r>
    </w:p>
    <w:p w14:paraId="591AF3C9" w14:textId="77777777" w:rsidR="00F04B1B" w:rsidRDefault="00F04B1B" w:rsidP="00F04B1B">
      <w:pPr>
        <w:keepNext/>
      </w:pPr>
      <w:r w:rsidRPr="00CA12D2">
        <w:rPr>
          <w:noProof/>
        </w:rPr>
        <w:drawing>
          <wp:inline distT="0" distB="0" distL="0" distR="0" wp14:anchorId="75430C00" wp14:editId="2830638C">
            <wp:extent cx="5604632" cy="4815191"/>
            <wp:effectExtent l="0" t="0" r="0" b="0"/>
            <wp:docPr id="7" name="Picture 8">
              <a:extLst xmlns:a="http://schemas.openxmlformats.org/drawingml/2006/main">
                <a:ext uri="{FF2B5EF4-FFF2-40B4-BE49-F238E27FC236}">
                  <a16:creationId xmlns:a16="http://schemas.microsoft.com/office/drawing/2014/main" id="{9387EF3F-BC6C-894C-8E64-836D395ACE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9387EF3F-BC6C-894C-8E64-836D395ACE65}"/>
                        </a:ext>
                      </a:extLst>
                    </pic:cNvPr>
                    <pic:cNvPicPr>
                      <a:picLocks noChangeAspect="1"/>
                    </pic:cNvPicPr>
                  </pic:nvPicPr>
                  <pic:blipFill rotWithShape="1">
                    <a:blip r:embed="rId11"/>
                    <a:srcRect t="4051" b="4773"/>
                    <a:stretch/>
                  </pic:blipFill>
                  <pic:spPr bwMode="auto">
                    <a:xfrm>
                      <a:off x="0" y="0"/>
                      <a:ext cx="5615205" cy="4824274"/>
                    </a:xfrm>
                    <a:prstGeom prst="rect">
                      <a:avLst/>
                    </a:prstGeom>
                    <a:ln>
                      <a:noFill/>
                    </a:ln>
                    <a:extLst>
                      <a:ext uri="{53640926-AAD7-44D8-BBD7-CCE9431645EC}">
                        <a14:shadowObscured xmlns:a14="http://schemas.microsoft.com/office/drawing/2010/main"/>
                      </a:ext>
                    </a:extLst>
                  </pic:spPr>
                </pic:pic>
              </a:graphicData>
            </a:graphic>
          </wp:inline>
        </w:drawing>
      </w:r>
    </w:p>
    <w:p w14:paraId="7A07500A" w14:textId="77777777" w:rsidR="00F04B1B" w:rsidRDefault="00F04B1B" w:rsidP="00F04B1B">
      <w:pPr>
        <w:pStyle w:val="Caption"/>
        <w:rPr>
          <w:rFonts w:cstheme="minorHAnsi"/>
        </w:rPr>
      </w:pPr>
      <w:bookmarkStart w:id="5" w:name="_Toc532286560"/>
      <w:r>
        <w:t xml:space="preserve">Figure </w:t>
      </w:r>
      <w:r>
        <w:rPr>
          <w:noProof/>
        </w:rPr>
        <w:fldChar w:fldCharType="begin"/>
      </w:r>
      <w:r>
        <w:rPr>
          <w:noProof/>
        </w:rPr>
        <w:instrText xml:space="preserve"> SEQ Figure \* ARABIC </w:instrText>
      </w:r>
      <w:r>
        <w:rPr>
          <w:noProof/>
        </w:rPr>
        <w:fldChar w:fldCharType="separate"/>
      </w:r>
      <w:r>
        <w:rPr>
          <w:noProof/>
        </w:rPr>
        <w:t>3</w:t>
      </w:r>
      <w:r>
        <w:rPr>
          <w:noProof/>
        </w:rPr>
        <w:fldChar w:fldCharType="end"/>
      </w:r>
      <w:r>
        <w:t xml:space="preserve">: Violence In North Kivu. Panel A: </w:t>
      </w:r>
      <w:r w:rsidRPr="00E269F1">
        <w:t>Annual conflict deaths and violent events between 2012-2017 in North Kivu</w:t>
      </w:r>
      <w:r>
        <w:t>, by territory; Panel B: Conflict Intensity by Territory; Panel c: Population estimates.</w:t>
      </w:r>
      <w:bookmarkEnd w:id="5"/>
      <w:r>
        <w:t xml:space="preserve"> </w:t>
      </w:r>
    </w:p>
    <w:p w14:paraId="059690AA" w14:textId="77777777" w:rsidR="00F04B1B" w:rsidRPr="00E269F1" w:rsidRDefault="00F04B1B" w:rsidP="00F04B1B">
      <w:pPr>
        <w:rPr>
          <w:b/>
        </w:rPr>
      </w:pPr>
    </w:p>
    <w:p w14:paraId="7C387523" w14:textId="77777777" w:rsidR="00F04B1B" w:rsidRDefault="00F04B1B" w:rsidP="00F04B1B">
      <w:pPr>
        <w:rPr>
          <w:rFonts w:cstheme="minorHAnsi"/>
        </w:rPr>
      </w:pPr>
    </w:p>
    <w:p w14:paraId="1CF2C670" w14:textId="77777777" w:rsidR="00F04B1B" w:rsidRDefault="00F04B1B" w:rsidP="00F04B1B">
      <w:pPr>
        <w:keepNext/>
      </w:pPr>
      <w:r>
        <w:rPr>
          <w:noProof/>
        </w:rPr>
        <w:lastRenderedPageBreak/>
        <w:drawing>
          <wp:inline distT="0" distB="0" distL="0" distR="0" wp14:anchorId="6367BBF6" wp14:editId="5540513F">
            <wp:extent cx="4737735" cy="2424727"/>
            <wp:effectExtent l="0" t="0" r="12065" b="13970"/>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8B380F1" w14:textId="77777777" w:rsidR="00F04B1B" w:rsidRDefault="00F04B1B" w:rsidP="007F3DDA">
      <w:pPr>
        <w:pStyle w:val="Caption"/>
        <w:outlineLvl w:val="0"/>
        <w:rPr>
          <w:rFonts w:cstheme="minorHAnsi"/>
        </w:rPr>
      </w:pPr>
      <w:bookmarkStart w:id="6" w:name="_Toc532286561"/>
      <w:r>
        <w:t xml:space="preserve">Figure </w:t>
      </w:r>
      <w:r>
        <w:rPr>
          <w:noProof/>
        </w:rPr>
        <w:fldChar w:fldCharType="begin"/>
      </w:r>
      <w:r>
        <w:rPr>
          <w:noProof/>
        </w:rPr>
        <w:instrText xml:space="preserve"> SEQ Figure \* ARABIC </w:instrText>
      </w:r>
      <w:r>
        <w:rPr>
          <w:noProof/>
        </w:rPr>
        <w:fldChar w:fldCharType="separate"/>
      </w:r>
      <w:r>
        <w:rPr>
          <w:noProof/>
        </w:rPr>
        <w:t>4</w:t>
      </w:r>
      <w:r>
        <w:rPr>
          <w:noProof/>
        </w:rPr>
        <w:fldChar w:fldCharType="end"/>
      </w:r>
      <w:r>
        <w:t xml:space="preserve">: </w:t>
      </w:r>
      <w:r w:rsidRPr="00A945C0">
        <w:t>Trends in armed conflicts fatalities in North-Kivu between 2013 and 2018</w:t>
      </w:r>
      <w:bookmarkEnd w:id="6"/>
    </w:p>
    <w:p w14:paraId="0966779E" w14:textId="77777777" w:rsidR="00F04B1B" w:rsidRDefault="00F04B1B" w:rsidP="00F04B1B">
      <w:pPr>
        <w:rPr>
          <w:rFonts w:cstheme="minorHAnsi"/>
        </w:rPr>
      </w:pPr>
    </w:p>
    <w:p w14:paraId="3B07A89D" w14:textId="77777777" w:rsidR="00F04B1B" w:rsidRPr="004F2796" w:rsidRDefault="00F04B1B" w:rsidP="00702181">
      <w:pPr>
        <w:spacing w:line="360" w:lineRule="auto"/>
      </w:pPr>
      <w:r w:rsidRPr="004F2796">
        <w:t xml:space="preserve">The estimated population of South Kivu province in 2017 was </w:t>
      </w:r>
      <w:r w:rsidRPr="004F2796">
        <w:rPr>
          <w:rFonts w:eastAsia="Times New Roman" w:cs="Times New Roman"/>
        </w:rPr>
        <w:t xml:space="preserve">6,914,296 </w:t>
      </w:r>
      <w:r w:rsidRPr="004F2796">
        <w:t xml:space="preserve">people. South Kivu comprises 9 territories, each of which includes 3-5 health zones (for a total of 34 in South Kivu). Between 2012 and 2017, population size varies among territories ranging from 250,000 in </w:t>
      </w:r>
      <w:proofErr w:type="spellStart"/>
      <w:r w:rsidRPr="004F2796">
        <w:t>Idjwi</w:t>
      </w:r>
      <w:proofErr w:type="spellEnd"/>
      <w:r w:rsidRPr="004F2796">
        <w:t xml:space="preserve"> island to 874,000 in </w:t>
      </w:r>
      <w:proofErr w:type="spellStart"/>
      <w:r w:rsidRPr="004F2796">
        <w:t>Kalehe</w:t>
      </w:r>
      <w:proofErr w:type="spellEnd"/>
      <w:r w:rsidRPr="004F2796">
        <w:t xml:space="preserve"> territory. </w:t>
      </w:r>
    </w:p>
    <w:p w14:paraId="2FDC5C10" w14:textId="77777777" w:rsidR="00F04B1B" w:rsidRDefault="00F04B1B" w:rsidP="00702181">
      <w:pPr>
        <w:spacing w:line="360" w:lineRule="auto"/>
        <w:rPr>
          <w:rFonts w:cstheme="minorHAnsi"/>
        </w:rPr>
      </w:pPr>
      <w:r>
        <w:rPr>
          <w:rFonts w:cstheme="minorHAnsi"/>
        </w:rPr>
        <w:t xml:space="preserve">In south Kivu, </w:t>
      </w:r>
      <w:r w:rsidRPr="001A24B9">
        <w:rPr>
          <w:rFonts w:cstheme="minorHAnsi"/>
        </w:rPr>
        <w:t xml:space="preserve">the average annual numbers of violent episodes and fatalities were 15.8 and 22.4, ranging from 0.3 (in </w:t>
      </w:r>
      <w:proofErr w:type="spellStart"/>
      <w:r w:rsidRPr="001A24B9">
        <w:rPr>
          <w:rFonts w:cstheme="minorHAnsi"/>
        </w:rPr>
        <w:t>Idjwi</w:t>
      </w:r>
      <w:proofErr w:type="spellEnd"/>
      <w:r w:rsidRPr="001A24B9">
        <w:rPr>
          <w:rFonts w:cstheme="minorHAnsi"/>
        </w:rPr>
        <w:t xml:space="preserve">) and 28.7 (in </w:t>
      </w:r>
      <w:proofErr w:type="spellStart"/>
      <w:r w:rsidRPr="001A24B9">
        <w:rPr>
          <w:rFonts w:cstheme="minorHAnsi"/>
        </w:rPr>
        <w:t>Uvira</w:t>
      </w:r>
      <w:proofErr w:type="spellEnd"/>
      <w:r w:rsidRPr="001A24B9">
        <w:rPr>
          <w:rFonts w:cstheme="minorHAnsi"/>
        </w:rPr>
        <w:t xml:space="preserve">) and from 0 (in </w:t>
      </w:r>
      <w:proofErr w:type="spellStart"/>
      <w:r w:rsidRPr="001A24B9">
        <w:rPr>
          <w:rFonts w:cstheme="minorHAnsi"/>
        </w:rPr>
        <w:t>Idjwi</w:t>
      </w:r>
      <w:proofErr w:type="spellEnd"/>
      <w:r w:rsidRPr="001A24B9">
        <w:rPr>
          <w:rFonts w:cstheme="minorHAnsi"/>
        </w:rPr>
        <w:t>) to 40.8 (</w:t>
      </w:r>
      <w:proofErr w:type="spellStart"/>
      <w:r w:rsidRPr="001A24B9">
        <w:rPr>
          <w:rFonts w:cstheme="minorHAnsi"/>
        </w:rPr>
        <w:t>Uvira</w:t>
      </w:r>
      <w:proofErr w:type="spellEnd"/>
      <w:r w:rsidRPr="001A24B9">
        <w:rPr>
          <w:rFonts w:cstheme="minorHAnsi"/>
        </w:rPr>
        <w:t xml:space="preserve">) respectively.  Five territories had annual average number of fatalities greater than 20, of which four had on average more than 20 events per year. </w:t>
      </w:r>
    </w:p>
    <w:p w14:paraId="33C4A12A" w14:textId="2E069B79" w:rsidR="00F04B1B" w:rsidRPr="004548DB" w:rsidRDefault="00F04B1B" w:rsidP="00702181">
      <w:pPr>
        <w:spacing w:line="360" w:lineRule="auto"/>
        <w:rPr>
          <w:rFonts w:cstheme="minorHAnsi"/>
        </w:rPr>
      </w:pPr>
      <w:r w:rsidRPr="001A24B9">
        <w:rPr>
          <w:rFonts w:cstheme="minorHAnsi"/>
        </w:rPr>
        <w:t>Six out of 9 territories in south Kivu had annual conflict fatality rates between 24.3 and 33.8 per 100,000 population and were classified as most affected territories in South Kivu. Three territories (</w:t>
      </w:r>
      <w:proofErr w:type="spellStart"/>
      <w:r w:rsidRPr="001A24B9">
        <w:rPr>
          <w:rFonts w:cstheme="minorHAnsi"/>
        </w:rPr>
        <w:t>Idjwi</w:t>
      </w:r>
      <w:proofErr w:type="spellEnd"/>
      <w:r w:rsidRPr="001A24B9">
        <w:rPr>
          <w:rFonts w:cstheme="minorHAnsi"/>
        </w:rPr>
        <w:t xml:space="preserve">, </w:t>
      </w:r>
      <w:proofErr w:type="spellStart"/>
      <w:r w:rsidRPr="001A24B9">
        <w:rPr>
          <w:rFonts w:cstheme="minorHAnsi"/>
        </w:rPr>
        <w:t>Kalehe</w:t>
      </w:r>
      <w:proofErr w:type="spellEnd"/>
      <w:r w:rsidRPr="001A24B9">
        <w:rPr>
          <w:rFonts w:cstheme="minorHAnsi"/>
        </w:rPr>
        <w:t xml:space="preserve"> and </w:t>
      </w:r>
      <w:proofErr w:type="spellStart"/>
      <w:r w:rsidRPr="001A24B9">
        <w:rPr>
          <w:rFonts w:cstheme="minorHAnsi"/>
        </w:rPr>
        <w:t>Bukavu</w:t>
      </w:r>
      <w:proofErr w:type="spellEnd"/>
      <w:r w:rsidRPr="001A24B9">
        <w:rPr>
          <w:rFonts w:cstheme="minorHAnsi"/>
        </w:rPr>
        <w:t xml:space="preserve">) had an </w:t>
      </w:r>
      <w:r w:rsidRPr="004548DB">
        <w:rPr>
          <w:rFonts w:cstheme="minorHAnsi"/>
        </w:rPr>
        <w:t xml:space="preserve">average fatality rate below 9 deaths per 100,000 population and were classified as least affected territories (Figure </w:t>
      </w:r>
      <w:r w:rsidR="00702181">
        <w:rPr>
          <w:rFonts w:cstheme="minorHAnsi"/>
        </w:rPr>
        <w:t>5</w:t>
      </w:r>
      <w:r w:rsidRPr="004548DB">
        <w:rPr>
          <w:rFonts w:cstheme="minorHAnsi"/>
        </w:rPr>
        <w:t xml:space="preserve">). </w:t>
      </w:r>
      <w:proofErr w:type="spellStart"/>
      <w:r w:rsidRPr="004548DB">
        <w:rPr>
          <w:rFonts w:cstheme="minorHAnsi"/>
        </w:rPr>
        <w:t>Kalehe</w:t>
      </w:r>
      <w:proofErr w:type="spellEnd"/>
      <w:r w:rsidRPr="004548DB">
        <w:rPr>
          <w:rFonts w:cstheme="minorHAnsi"/>
        </w:rPr>
        <w:t xml:space="preserve"> territory also had a low conflict fatality rate, but given its high number of internal displacements, it was regarded as an intermediate territory.</w:t>
      </w:r>
    </w:p>
    <w:p w14:paraId="19678973" w14:textId="35649BC5" w:rsidR="00F04B1B" w:rsidRPr="00D85C4F" w:rsidRDefault="00F04B1B" w:rsidP="00702181">
      <w:pPr>
        <w:spacing w:line="360" w:lineRule="auto"/>
      </w:pPr>
      <w:r w:rsidRPr="004548DB">
        <w:t xml:space="preserve">The territories of </w:t>
      </w:r>
      <w:proofErr w:type="spellStart"/>
      <w:r w:rsidRPr="004548DB">
        <w:t>Uvira</w:t>
      </w:r>
      <w:proofErr w:type="spellEnd"/>
      <w:r w:rsidRPr="004548DB">
        <w:t xml:space="preserve"> and </w:t>
      </w:r>
      <w:proofErr w:type="spellStart"/>
      <w:r w:rsidRPr="004548DB">
        <w:t>Fizi</w:t>
      </w:r>
      <w:proofErr w:type="spellEnd"/>
      <w:r w:rsidRPr="004548DB">
        <w:t xml:space="preserve"> present with higher annual fatalities rates between January 2013 and June 2018 with peaks observed in 2014 and 2018 (Figure </w:t>
      </w:r>
      <w:r w:rsidR="00702181">
        <w:t>6</w:t>
      </w:r>
      <w:r w:rsidRPr="004548DB">
        <w:t>).</w:t>
      </w:r>
    </w:p>
    <w:p w14:paraId="3410B54E" w14:textId="77777777" w:rsidR="00F04B1B" w:rsidRDefault="00F04B1B" w:rsidP="00F04B1B">
      <w:pPr>
        <w:rPr>
          <w:rFonts w:cstheme="minorHAnsi"/>
        </w:rPr>
      </w:pPr>
    </w:p>
    <w:p w14:paraId="0008317B" w14:textId="77777777" w:rsidR="00F04B1B" w:rsidRDefault="00F04B1B" w:rsidP="00F04B1B">
      <w:pPr>
        <w:keepNext/>
      </w:pPr>
      <w:r w:rsidRPr="00AA72D8">
        <w:rPr>
          <w:noProof/>
        </w:rPr>
        <w:lastRenderedPageBreak/>
        <w:drawing>
          <wp:inline distT="0" distB="0" distL="0" distR="0" wp14:anchorId="0780C662" wp14:editId="72474383">
            <wp:extent cx="5943600" cy="5283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b="5239"/>
                    <a:stretch/>
                  </pic:blipFill>
                  <pic:spPr bwMode="auto">
                    <a:xfrm>
                      <a:off x="0" y="0"/>
                      <a:ext cx="5943600" cy="5283200"/>
                    </a:xfrm>
                    <a:prstGeom prst="rect">
                      <a:avLst/>
                    </a:prstGeom>
                    <a:ln>
                      <a:noFill/>
                    </a:ln>
                    <a:extLst>
                      <a:ext uri="{53640926-AAD7-44D8-BBD7-CCE9431645EC}">
                        <a14:shadowObscured xmlns:a14="http://schemas.microsoft.com/office/drawing/2010/main"/>
                      </a:ext>
                    </a:extLst>
                  </pic:spPr>
                </pic:pic>
              </a:graphicData>
            </a:graphic>
          </wp:inline>
        </w:drawing>
      </w:r>
    </w:p>
    <w:p w14:paraId="555EDB61" w14:textId="77777777" w:rsidR="00F04B1B" w:rsidRDefault="00F04B1B" w:rsidP="00F04B1B">
      <w:pPr>
        <w:pStyle w:val="Caption"/>
        <w:rPr>
          <w:rFonts w:cstheme="minorHAnsi"/>
        </w:rPr>
      </w:pPr>
      <w:bookmarkStart w:id="7" w:name="_Toc532286562"/>
      <w:r>
        <w:t xml:space="preserve">Figure </w:t>
      </w:r>
      <w:r>
        <w:rPr>
          <w:noProof/>
        </w:rPr>
        <w:fldChar w:fldCharType="begin"/>
      </w:r>
      <w:r>
        <w:rPr>
          <w:noProof/>
        </w:rPr>
        <w:instrText xml:space="preserve"> SEQ Figure \* ARABIC </w:instrText>
      </w:r>
      <w:r>
        <w:rPr>
          <w:noProof/>
        </w:rPr>
        <w:fldChar w:fldCharType="separate"/>
      </w:r>
      <w:r>
        <w:rPr>
          <w:noProof/>
        </w:rPr>
        <w:t>5</w:t>
      </w:r>
      <w:r>
        <w:rPr>
          <w:noProof/>
        </w:rPr>
        <w:fldChar w:fldCharType="end"/>
      </w:r>
      <w:r>
        <w:t>: Violence in South Kivu. Panel a: Annual violent fatalities by territory; Panel B: Annual Average Violent Episodes; Panel C: Population Estimates; Panel D: Conflict Intensity</w:t>
      </w:r>
      <w:bookmarkEnd w:id="7"/>
      <w:r>
        <w:t xml:space="preserve"> </w:t>
      </w:r>
    </w:p>
    <w:p w14:paraId="3312EBB6" w14:textId="77777777" w:rsidR="00F04B1B" w:rsidRDefault="00F04B1B" w:rsidP="00F04B1B">
      <w:pPr>
        <w:rPr>
          <w:rFonts w:cstheme="minorHAnsi"/>
        </w:rPr>
      </w:pPr>
    </w:p>
    <w:p w14:paraId="77E97390" w14:textId="77777777" w:rsidR="00F04B1B" w:rsidRDefault="00F04B1B" w:rsidP="00F04B1B">
      <w:pPr>
        <w:rPr>
          <w:rFonts w:cstheme="minorHAnsi"/>
        </w:rPr>
      </w:pPr>
    </w:p>
    <w:p w14:paraId="52036255" w14:textId="77777777" w:rsidR="00F04B1B" w:rsidRDefault="00F04B1B" w:rsidP="00F04B1B">
      <w:pPr>
        <w:keepNext/>
      </w:pPr>
      <w:bookmarkStart w:id="8" w:name="_GoBack"/>
      <w:r>
        <w:rPr>
          <w:noProof/>
        </w:rPr>
        <w:lastRenderedPageBreak/>
        <w:drawing>
          <wp:inline distT="0" distB="0" distL="0" distR="0" wp14:anchorId="32F5F559" wp14:editId="3A4F0C2A">
            <wp:extent cx="4572000" cy="2743200"/>
            <wp:effectExtent l="0" t="0" r="12700" b="12700"/>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bookmarkEnd w:id="8"/>
    </w:p>
    <w:p w14:paraId="66E03D01" w14:textId="77777777" w:rsidR="00F04B1B" w:rsidRDefault="00F04B1B" w:rsidP="007F3DDA">
      <w:pPr>
        <w:pStyle w:val="Caption"/>
        <w:outlineLvl w:val="0"/>
        <w:rPr>
          <w:rFonts w:cstheme="minorHAnsi"/>
        </w:rPr>
      </w:pPr>
      <w:bookmarkStart w:id="9" w:name="_Toc532286563"/>
      <w:r>
        <w:t xml:space="preserve">Figure </w:t>
      </w:r>
      <w:r>
        <w:rPr>
          <w:noProof/>
        </w:rPr>
        <w:fldChar w:fldCharType="begin"/>
      </w:r>
      <w:r>
        <w:rPr>
          <w:noProof/>
        </w:rPr>
        <w:instrText xml:space="preserve"> SEQ Figure \* ARABIC </w:instrText>
      </w:r>
      <w:r>
        <w:rPr>
          <w:noProof/>
        </w:rPr>
        <w:fldChar w:fldCharType="separate"/>
      </w:r>
      <w:r>
        <w:rPr>
          <w:noProof/>
        </w:rPr>
        <w:t>6</w:t>
      </w:r>
      <w:r>
        <w:rPr>
          <w:noProof/>
        </w:rPr>
        <w:fldChar w:fldCharType="end"/>
      </w:r>
      <w:r>
        <w:t xml:space="preserve">: </w:t>
      </w:r>
      <w:r w:rsidRPr="006C329A">
        <w:t>Trends in absolute number of armed conflict fatalities in South Kivu between 2012 and 2017</w:t>
      </w:r>
      <w:bookmarkEnd w:id="9"/>
    </w:p>
    <w:p w14:paraId="15C0ABB4" w14:textId="77777777" w:rsidR="00F04B1B" w:rsidRDefault="00F04B1B"/>
    <w:p w14:paraId="53F2F0FA" w14:textId="77777777" w:rsidR="00E372B8" w:rsidRDefault="00E372B8" w:rsidP="007F0B71">
      <w:pPr>
        <w:ind w:left="360"/>
      </w:pPr>
    </w:p>
    <w:sectPr w:rsidR="00E372B8" w:rsidSect="002E1DD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Chiara Altare" w:date="2019-01-04T18:53:00Z" w:initials="CA">
    <w:p w14:paraId="2DA2674D" w14:textId="4FF58224" w:rsidR="00BF0048" w:rsidRDefault="00BF0048">
      <w:pPr>
        <w:pStyle w:val="CommentText"/>
      </w:pPr>
      <w:r>
        <w:rPr>
          <w:rStyle w:val="CommentReference"/>
        </w:rPr>
        <w:annotationRef/>
      </w:r>
      <w:r>
        <w:t>Layout can be improved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DA2674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DA2674D" w16cid:durableId="1FDA2A1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730B02"/>
    <w:multiLevelType w:val="hybridMultilevel"/>
    <w:tmpl w:val="3BAA3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hiara Altare">
    <w15:presenceInfo w15:providerId="AD" w15:userId="S::caltare1@jh.edu::e32d325b-0a1e-4d20-9126-145792f00d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5E6E"/>
    <w:rsid w:val="00031BD3"/>
    <w:rsid w:val="0005373F"/>
    <w:rsid w:val="00087B3E"/>
    <w:rsid w:val="000A31BB"/>
    <w:rsid w:val="000C0EF7"/>
    <w:rsid w:val="000C1DDE"/>
    <w:rsid w:val="000D4707"/>
    <w:rsid w:val="000F3E4E"/>
    <w:rsid w:val="0010549E"/>
    <w:rsid w:val="0011083A"/>
    <w:rsid w:val="001311CC"/>
    <w:rsid w:val="00143F03"/>
    <w:rsid w:val="00166ACB"/>
    <w:rsid w:val="00170B0F"/>
    <w:rsid w:val="001774E9"/>
    <w:rsid w:val="00194C6B"/>
    <w:rsid w:val="001A5741"/>
    <w:rsid w:val="001B004E"/>
    <w:rsid w:val="001C4966"/>
    <w:rsid w:val="001C4B73"/>
    <w:rsid w:val="001D1996"/>
    <w:rsid w:val="001D309E"/>
    <w:rsid w:val="001E3E99"/>
    <w:rsid w:val="001F1544"/>
    <w:rsid w:val="00202C68"/>
    <w:rsid w:val="00220C02"/>
    <w:rsid w:val="002368CF"/>
    <w:rsid w:val="00240EA0"/>
    <w:rsid w:val="00243AD4"/>
    <w:rsid w:val="00261293"/>
    <w:rsid w:val="0028118B"/>
    <w:rsid w:val="0029166A"/>
    <w:rsid w:val="00293A03"/>
    <w:rsid w:val="00295F0B"/>
    <w:rsid w:val="002A0759"/>
    <w:rsid w:val="002E1DD5"/>
    <w:rsid w:val="003124E8"/>
    <w:rsid w:val="00326E9D"/>
    <w:rsid w:val="0033276A"/>
    <w:rsid w:val="00343274"/>
    <w:rsid w:val="00343343"/>
    <w:rsid w:val="00354E38"/>
    <w:rsid w:val="003651CE"/>
    <w:rsid w:val="00373451"/>
    <w:rsid w:val="003801E3"/>
    <w:rsid w:val="00384DFA"/>
    <w:rsid w:val="00396D17"/>
    <w:rsid w:val="003A3C95"/>
    <w:rsid w:val="003B5B02"/>
    <w:rsid w:val="003C0712"/>
    <w:rsid w:val="00414273"/>
    <w:rsid w:val="0042327A"/>
    <w:rsid w:val="00425AE6"/>
    <w:rsid w:val="00445832"/>
    <w:rsid w:val="004532DD"/>
    <w:rsid w:val="00461C92"/>
    <w:rsid w:val="00471C63"/>
    <w:rsid w:val="0047575C"/>
    <w:rsid w:val="004E62C3"/>
    <w:rsid w:val="004F6636"/>
    <w:rsid w:val="00501233"/>
    <w:rsid w:val="00502EDF"/>
    <w:rsid w:val="00562DBE"/>
    <w:rsid w:val="0059034C"/>
    <w:rsid w:val="005916C1"/>
    <w:rsid w:val="005A26E9"/>
    <w:rsid w:val="005A742E"/>
    <w:rsid w:val="005B0689"/>
    <w:rsid w:val="005D1A51"/>
    <w:rsid w:val="005D48F9"/>
    <w:rsid w:val="005E225B"/>
    <w:rsid w:val="00610A1B"/>
    <w:rsid w:val="006179BA"/>
    <w:rsid w:val="00642884"/>
    <w:rsid w:val="00645229"/>
    <w:rsid w:val="00647F0A"/>
    <w:rsid w:val="00652F11"/>
    <w:rsid w:val="00671B96"/>
    <w:rsid w:val="00682897"/>
    <w:rsid w:val="00683C56"/>
    <w:rsid w:val="006B4D2F"/>
    <w:rsid w:val="006C7D73"/>
    <w:rsid w:val="006E1506"/>
    <w:rsid w:val="00702181"/>
    <w:rsid w:val="00717A28"/>
    <w:rsid w:val="00733792"/>
    <w:rsid w:val="0073649F"/>
    <w:rsid w:val="00751778"/>
    <w:rsid w:val="00753714"/>
    <w:rsid w:val="00762FA2"/>
    <w:rsid w:val="00793C81"/>
    <w:rsid w:val="007A155B"/>
    <w:rsid w:val="007A7D61"/>
    <w:rsid w:val="007B15DB"/>
    <w:rsid w:val="007F0B71"/>
    <w:rsid w:val="007F3DDA"/>
    <w:rsid w:val="008008C4"/>
    <w:rsid w:val="008214CA"/>
    <w:rsid w:val="0083096E"/>
    <w:rsid w:val="00831E94"/>
    <w:rsid w:val="00843CCC"/>
    <w:rsid w:val="008640E5"/>
    <w:rsid w:val="00883C10"/>
    <w:rsid w:val="008B6917"/>
    <w:rsid w:val="008D4046"/>
    <w:rsid w:val="008E2D5D"/>
    <w:rsid w:val="008F14F7"/>
    <w:rsid w:val="008F75E8"/>
    <w:rsid w:val="00903CAE"/>
    <w:rsid w:val="00942726"/>
    <w:rsid w:val="00947AA4"/>
    <w:rsid w:val="00962CE1"/>
    <w:rsid w:val="009878AE"/>
    <w:rsid w:val="009B51B7"/>
    <w:rsid w:val="009E1DEC"/>
    <w:rsid w:val="009E258B"/>
    <w:rsid w:val="00A320B0"/>
    <w:rsid w:val="00A3637B"/>
    <w:rsid w:val="00A43723"/>
    <w:rsid w:val="00A50970"/>
    <w:rsid w:val="00A54B63"/>
    <w:rsid w:val="00A660A0"/>
    <w:rsid w:val="00A70A27"/>
    <w:rsid w:val="00A9488B"/>
    <w:rsid w:val="00AD4437"/>
    <w:rsid w:val="00AD7459"/>
    <w:rsid w:val="00AE1929"/>
    <w:rsid w:val="00AF1A14"/>
    <w:rsid w:val="00AF51AC"/>
    <w:rsid w:val="00B37AC7"/>
    <w:rsid w:val="00BC62EE"/>
    <w:rsid w:val="00BC7ECC"/>
    <w:rsid w:val="00BF0048"/>
    <w:rsid w:val="00BF3CC3"/>
    <w:rsid w:val="00C42B78"/>
    <w:rsid w:val="00C54961"/>
    <w:rsid w:val="00C56930"/>
    <w:rsid w:val="00C63FAA"/>
    <w:rsid w:val="00C71583"/>
    <w:rsid w:val="00C734D1"/>
    <w:rsid w:val="00C92984"/>
    <w:rsid w:val="00CA7A90"/>
    <w:rsid w:val="00CB28E2"/>
    <w:rsid w:val="00CB7B5C"/>
    <w:rsid w:val="00CE6C0F"/>
    <w:rsid w:val="00CF5ABA"/>
    <w:rsid w:val="00D0594B"/>
    <w:rsid w:val="00D12C5E"/>
    <w:rsid w:val="00D148BE"/>
    <w:rsid w:val="00D307EE"/>
    <w:rsid w:val="00D3404A"/>
    <w:rsid w:val="00D45019"/>
    <w:rsid w:val="00D4672E"/>
    <w:rsid w:val="00D46FCA"/>
    <w:rsid w:val="00D74552"/>
    <w:rsid w:val="00D779CC"/>
    <w:rsid w:val="00D77DD1"/>
    <w:rsid w:val="00D82F7B"/>
    <w:rsid w:val="00DA3273"/>
    <w:rsid w:val="00DB2FF9"/>
    <w:rsid w:val="00DC33E1"/>
    <w:rsid w:val="00DC6A13"/>
    <w:rsid w:val="00DF5E6E"/>
    <w:rsid w:val="00E07F58"/>
    <w:rsid w:val="00E35052"/>
    <w:rsid w:val="00E36A2F"/>
    <w:rsid w:val="00E372B8"/>
    <w:rsid w:val="00E621CD"/>
    <w:rsid w:val="00E66FAD"/>
    <w:rsid w:val="00E71673"/>
    <w:rsid w:val="00EB057B"/>
    <w:rsid w:val="00ED0AD2"/>
    <w:rsid w:val="00EF098D"/>
    <w:rsid w:val="00EF5E9A"/>
    <w:rsid w:val="00F04B1B"/>
    <w:rsid w:val="00F075C3"/>
    <w:rsid w:val="00F105E1"/>
    <w:rsid w:val="00F10FE0"/>
    <w:rsid w:val="00F24C33"/>
    <w:rsid w:val="00F251B1"/>
    <w:rsid w:val="00F410F6"/>
    <w:rsid w:val="00F4637D"/>
    <w:rsid w:val="00F65BCD"/>
    <w:rsid w:val="00F8132C"/>
    <w:rsid w:val="00F8585D"/>
    <w:rsid w:val="00F9566C"/>
    <w:rsid w:val="00F96629"/>
    <w:rsid w:val="00FA1E5D"/>
    <w:rsid w:val="00FB3100"/>
    <w:rsid w:val="00FB71F3"/>
    <w:rsid w:val="00FC6129"/>
    <w:rsid w:val="00FF3B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1185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F04B1B"/>
    <w:pPr>
      <w:spacing w:after="160"/>
      <w:jc w:val="both"/>
    </w:pPr>
    <w:rPr>
      <w:rFonts w:eastAsiaTheme="minorEastAsia"/>
      <w:b/>
      <w:bCs/>
      <w:smallCaps/>
      <w:color w:val="44546A" w:themeColor="text2"/>
      <w:sz w:val="22"/>
      <w:szCs w:val="22"/>
    </w:rPr>
  </w:style>
  <w:style w:type="paragraph" w:styleId="CommentText">
    <w:name w:val="annotation text"/>
    <w:basedOn w:val="Normal"/>
    <w:link w:val="CommentTextChar"/>
    <w:uiPriority w:val="99"/>
    <w:unhideWhenUsed/>
    <w:rsid w:val="00F04B1B"/>
    <w:pPr>
      <w:spacing w:after="160"/>
      <w:jc w:val="both"/>
    </w:pPr>
    <w:rPr>
      <w:lang w:val="en-GB"/>
    </w:rPr>
  </w:style>
  <w:style w:type="character" w:customStyle="1" w:styleId="CommentTextChar">
    <w:name w:val="Comment Text Char"/>
    <w:basedOn w:val="DefaultParagraphFont"/>
    <w:link w:val="CommentText"/>
    <w:uiPriority w:val="99"/>
    <w:rsid w:val="00F04B1B"/>
    <w:rPr>
      <w:lang w:val="en-GB"/>
    </w:rPr>
  </w:style>
  <w:style w:type="character" w:styleId="CommentReference">
    <w:name w:val="annotation reference"/>
    <w:basedOn w:val="DefaultParagraphFont"/>
    <w:uiPriority w:val="99"/>
    <w:semiHidden/>
    <w:unhideWhenUsed/>
    <w:rsid w:val="00F04B1B"/>
    <w:rPr>
      <w:sz w:val="16"/>
      <w:szCs w:val="16"/>
    </w:rPr>
  </w:style>
  <w:style w:type="table" w:styleId="ListTable6Colorful">
    <w:name w:val="List Table 6 Colorful"/>
    <w:basedOn w:val="TableNormal"/>
    <w:uiPriority w:val="51"/>
    <w:rsid w:val="00F04B1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Paragraph">
    <w:name w:val="List Paragraph"/>
    <w:basedOn w:val="Normal"/>
    <w:uiPriority w:val="34"/>
    <w:qFormat/>
    <w:rsid w:val="007F0B71"/>
    <w:pPr>
      <w:ind w:left="720"/>
      <w:contextualSpacing/>
    </w:pPr>
  </w:style>
  <w:style w:type="paragraph" w:styleId="BalloonText">
    <w:name w:val="Balloon Text"/>
    <w:basedOn w:val="Normal"/>
    <w:link w:val="BalloonTextChar"/>
    <w:uiPriority w:val="99"/>
    <w:semiHidden/>
    <w:unhideWhenUsed/>
    <w:rsid w:val="007F3DD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F3DDA"/>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BF0048"/>
    <w:pPr>
      <w:spacing w:after="0"/>
      <w:jc w:val="left"/>
    </w:pPr>
    <w:rPr>
      <w:b/>
      <w:bCs/>
      <w:sz w:val="20"/>
      <w:szCs w:val="20"/>
      <w:lang w:val="en-US"/>
    </w:rPr>
  </w:style>
  <w:style w:type="character" w:customStyle="1" w:styleId="CommentSubjectChar">
    <w:name w:val="Comment Subject Char"/>
    <w:basedOn w:val="CommentTextChar"/>
    <w:link w:val="CommentSubject"/>
    <w:uiPriority w:val="99"/>
    <w:semiHidden/>
    <w:rsid w:val="00BF0048"/>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2.emf"/><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chart" Target="charts/chart3.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openxmlformats.org/officeDocument/2006/relationships/oleObject" Target="file:////Users/bwengeespoir/Desktop/Trends%20analysis%20South%20Kivu_Conflict%20defined%20by%20intensity%20and%20Kaleh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bwengeespoir/Desktop/Trends%20analysis%20South%20Kivu_Conflict%20defined%20by%20intensity%20and%20Kaleh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bwengeespoir/Desktop/North%20Kivu/North%20Kivu%20data%20analysis%2020181205_EBM.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bwengeespoir/Desktop/North%20Kivu/North%20Kivu%20data%20analysis%2020181205_EBM.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lineChart>
        <c:grouping val="standard"/>
        <c:varyColors val="0"/>
        <c:ser>
          <c:idx val="0"/>
          <c:order val="0"/>
          <c:tx>
            <c:v>South Kivu</c:v>
          </c:tx>
          <c:spPr>
            <a:ln w="31750" cap="rnd">
              <a:solidFill>
                <a:schemeClr val="dk1">
                  <a:tint val="88500"/>
                </a:schemeClr>
              </a:solidFill>
              <a:round/>
            </a:ln>
            <a:effectLst/>
          </c:spPr>
          <c:marker>
            <c:symbol val="none"/>
          </c:marker>
          <c:cat>
            <c:numRef>
              <c:f>conflict!$C$86:$I$86</c:f>
              <c:numCache>
                <c:formatCode>General</c:formatCode>
                <c:ptCount val="7"/>
                <c:pt idx="0">
                  <c:v>2012</c:v>
                </c:pt>
                <c:pt idx="1">
                  <c:v>2013</c:v>
                </c:pt>
                <c:pt idx="2">
                  <c:v>2014</c:v>
                </c:pt>
                <c:pt idx="3">
                  <c:v>2015</c:v>
                </c:pt>
                <c:pt idx="4">
                  <c:v>2016</c:v>
                </c:pt>
                <c:pt idx="5">
                  <c:v>2017</c:v>
                </c:pt>
                <c:pt idx="6">
                  <c:v>2018</c:v>
                </c:pt>
              </c:numCache>
            </c:numRef>
          </c:cat>
          <c:val>
            <c:numRef>
              <c:f>conflict!$C$96:$H$96</c:f>
              <c:numCache>
                <c:formatCode>General</c:formatCode>
                <c:ptCount val="6"/>
                <c:pt idx="0">
                  <c:v>491</c:v>
                </c:pt>
                <c:pt idx="1">
                  <c:v>82</c:v>
                </c:pt>
                <c:pt idx="2">
                  <c:v>204</c:v>
                </c:pt>
                <c:pt idx="3">
                  <c:v>112</c:v>
                </c:pt>
                <c:pt idx="4">
                  <c:v>112</c:v>
                </c:pt>
                <c:pt idx="5">
                  <c:v>208</c:v>
                </c:pt>
              </c:numCache>
            </c:numRef>
          </c:val>
          <c:smooth val="0"/>
          <c:extLst>
            <c:ext xmlns:c16="http://schemas.microsoft.com/office/drawing/2014/chart" uri="{C3380CC4-5D6E-409C-BE32-E72D297353CC}">
              <c16:uniqueId val="{00000000-BFD8-3243-A02D-575022CF23A6}"/>
            </c:ext>
          </c:extLst>
        </c:ser>
        <c:ser>
          <c:idx val="1"/>
          <c:order val="1"/>
          <c:tx>
            <c:v>North Kivu</c:v>
          </c:tx>
          <c:spPr>
            <a:ln w="31750" cap="rnd">
              <a:solidFill>
                <a:schemeClr val="dk1">
                  <a:tint val="55000"/>
                </a:schemeClr>
              </a:solidFill>
              <a:round/>
            </a:ln>
            <a:effectLst/>
          </c:spPr>
          <c:marker>
            <c:symbol val="none"/>
          </c:marker>
          <c:cat>
            <c:numRef>
              <c:f>conflict!$C$86:$I$86</c:f>
              <c:numCache>
                <c:formatCode>General</c:formatCode>
                <c:ptCount val="7"/>
                <c:pt idx="0">
                  <c:v>2012</c:v>
                </c:pt>
                <c:pt idx="1">
                  <c:v>2013</c:v>
                </c:pt>
                <c:pt idx="2">
                  <c:v>2014</c:v>
                </c:pt>
                <c:pt idx="3">
                  <c:v>2015</c:v>
                </c:pt>
                <c:pt idx="4">
                  <c:v>2016</c:v>
                </c:pt>
                <c:pt idx="5">
                  <c:v>2017</c:v>
                </c:pt>
                <c:pt idx="6">
                  <c:v>2018</c:v>
                </c:pt>
              </c:numCache>
            </c:numRef>
          </c:cat>
          <c:val>
            <c:numRef>
              <c:f>conflict!$C$79:$H$79</c:f>
              <c:numCache>
                <c:formatCode>General</c:formatCode>
                <c:ptCount val="6"/>
                <c:pt idx="0">
                  <c:v>707</c:v>
                </c:pt>
                <c:pt idx="1">
                  <c:v>939</c:v>
                </c:pt>
                <c:pt idx="2">
                  <c:v>674</c:v>
                </c:pt>
                <c:pt idx="3">
                  <c:v>760</c:v>
                </c:pt>
                <c:pt idx="4">
                  <c:v>911</c:v>
                </c:pt>
                <c:pt idx="5">
                  <c:v>795</c:v>
                </c:pt>
              </c:numCache>
            </c:numRef>
          </c:val>
          <c:smooth val="0"/>
          <c:extLst>
            <c:ext xmlns:c16="http://schemas.microsoft.com/office/drawing/2014/chart" uri="{C3380CC4-5D6E-409C-BE32-E72D297353CC}">
              <c16:uniqueId val="{00000001-BFD8-3243-A02D-575022CF23A6}"/>
            </c:ext>
          </c:extLst>
        </c:ser>
        <c:ser>
          <c:idx val="2"/>
          <c:order val="2"/>
          <c:tx>
            <c:v>Other provinces</c:v>
          </c:tx>
          <c:spPr>
            <a:ln w="31750" cap="rnd">
              <a:solidFill>
                <a:schemeClr val="dk1">
                  <a:tint val="75000"/>
                </a:schemeClr>
              </a:solidFill>
              <a:prstDash val="dash"/>
              <a:round/>
            </a:ln>
            <a:effectLst/>
          </c:spPr>
          <c:marker>
            <c:symbol val="none"/>
          </c:marker>
          <c:val>
            <c:numRef>
              <c:f>conflict!$C$99:$H$99</c:f>
              <c:numCache>
                <c:formatCode>General</c:formatCode>
                <c:ptCount val="6"/>
                <c:pt idx="0">
                  <c:v>255</c:v>
                </c:pt>
                <c:pt idx="1">
                  <c:v>373</c:v>
                </c:pt>
                <c:pt idx="2">
                  <c:v>459</c:v>
                </c:pt>
                <c:pt idx="3">
                  <c:v>864</c:v>
                </c:pt>
                <c:pt idx="4">
                  <c:v>687</c:v>
                </c:pt>
                <c:pt idx="5">
                  <c:v>2449</c:v>
                </c:pt>
              </c:numCache>
            </c:numRef>
          </c:val>
          <c:smooth val="0"/>
          <c:extLst>
            <c:ext xmlns:c16="http://schemas.microsoft.com/office/drawing/2014/chart" uri="{C3380CC4-5D6E-409C-BE32-E72D297353CC}">
              <c16:uniqueId val="{00000002-BFD8-3243-A02D-575022CF23A6}"/>
            </c:ext>
          </c:extLst>
        </c:ser>
        <c:dLbls>
          <c:showLegendKey val="0"/>
          <c:showVal val="0"/>
          <c:showCatName val="0"/>
          <c:showSerName val="0"/>
          <c:showPercent val="0"/>
          <c:showBubbleSize val="0"/>
        </c:dLbls>
        <c:smooth val="0"/>
        <c:axId val="344584832"/>
        <c:axId val="413357904"/>
      </c:lineChart>
      <c:catAx>
        <c:axId val="344584832"/>
        <c:scaling>
          <c:orientation val="minMax"/>
        </c:scaling>
        <c:delete val="0"/>
        <c:axPos val="b"/>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413357904"/>
        <c:crosses val="autoZero"/>
        <c:auto val="1"/>
        <c:lblAlgn val="ctr"/>
        <c:lblOffset val="100"/>
        <c:noMultiLvlLbl val="0"/>
      </c:catAx>
      <c:valAx>
        <c:axId val="413357904"/>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3445848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lineChart>
        <c:grouping val="standard"/>
        <c:varyColors val="0"/>
        <c:ser>
          <c:idx val="0"/>
          <c:order val="0"/>
          <c:tx>
            <c:strRef>
              <c:f>conflict!$B$118</c:f>
              <c:strCache>
                <c:ptCount val="1"/>
                <c:pt idx="0">
                  <c:v>North Kivu</c:v>
                </c:pt>
              </c:strCache>
            </c:strRef>
          </c:tx>
          <c:spPr>
            <a:ln w="38100" cap="rnd">
              <a:solidFill>
                <a:schemeClr val="bg2">
                  <a:lumMod val="75000"/>
                </a:schemeClr>
              </a:solidFill>
              <a:round/>
            </a:ln>
            <a:effectLst/>
          </c:spPr>
          <c:marker>
            <c:symbol val="none"/>
          </c:marker>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41B-CF4E-ABCE-B10979DF84E1}"/>
                </c:ext>
              </c:extLst>
            </c:dLbl>
            <c:dLbl>
              <c:idx val="5"/>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41B-CF4E-ABCE-B10979DF84E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conflict!$C$108:$H$108</c:f>
              <c:numCache>
                <c:formatCode>General</c:formatCode>
                <c:ptCount val="6"/>
                <c:pt idx="0">
                  <c:v>2012</c:v>
                </c:pt>
                <c:pt idx="1">
                  <c:v>2013</c:v>
                </c:pt>
                <c:pt idx="2">
                  <c:v>2014</c:v>
                </c:pt>
                <c:pt idx="3">
                  <c:v>2015</c:v>
                </c:pt>
                <c:pt idx="4">
                  <c:v>2016</c:v>
                </c:pt>
                <c:pt idx="5">
                  <c:v>2017</c:v>
                </c:pt>
              </c:numCache>
            </c:numRef>
          </c:cat>
          <c:val>
            <c:numRef>
              <c:f>conflict!$C$118:$H$118</c:f>
              <c:numCache>
                <c:formatCode>General</c:formatCode>
                <c:ptCount val="6"/>
                <c:pt idx="0">
                  <c:v>561</c:v>
                </c:pt>
                <c:pt idx="1">
                  <c:v>362</c:v>
                </c:pt>
                <c:pt idx="2">
                  <c:v>369</c:v>
                </c:pt>
                <c:pt idx="3">
                  <c:v>334</c:v>
                </c:pt>
                <c:pt idx="4">
                  <c:v>380</c:v>
                </c:pt>
                <c:pt idx="5">
                  <c:v>335</c:v>
                </c:pt>
              </c:numCache>
            </c:numRef>
          </c:val>
          <c:smooth val="0"/>
          <c:extLst>
            <c:ext xmlns:c16="http://schemas.microsoft.com/office/drawing/2014/chart" uri="{C3380CC4-5D6E-409C-BE32-E72D297353CC}">
              <c16:uniqueId val="{00000002-441B-CF4E-ABCE-B10979DF84E1}"/>
            </c:ext>
          </c:extLst>
        </c:ser>
        <c:ser>
          <c:idx val="1"/>
          <c:order val="1"/>
          <c:tx>
            <c:v>South Kivu</c:v>
          </c:tx>
          <c:spPr>
            <a:ln w="38100" cap="rnd">
              <a:solidFill>
                <a:schemeClr val="tx1">
                  <a:lumMod val="65000"/>
                  <a:lumOff val="35000"/>
                </a:schemeClr>
              </a:solidFill>
              <a:round/>
            </a:ln>
            <a:effectLst/>
          </c:spPr>
          <c:marker>
            <c:symbol val="none"/>
          </c:marker>
          <c:dLbls>
            <c:dLbl>
              <c:idx val="0"/>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41B-CF4E-ABCE-B10979DF84E1}"/>
                </c:ext>
              </c:extLst>
            </c:dLbl>
            <c:dLbl>
              <c:idx val="5"/>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41B-CF4E-ABCE-B10979DF84E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
            <c:showLegendKey val="0"/>
            <c:showVal val="0"/>
            <c:showCatName val="0"/>
            <c:showSerName val="0"/>
            <c:showPercent val="0"/>
            <c:showBubbleSize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conflict!$C$108:$H$108</c:f>
              <c:numCache>
                <c:formatCode>General</c:formatCode>
                <c:ptCount val="6"/>
                <c:pt idx="0">
                  <c:v>2012</c:v>
                </c:pt>
                <c:pt idx="1">
                  <c:v>2013</c:v>
                </c:pt>
                <c:pt idx="2">
                  <c:v>2014</c:v>
                </c:pt>
                <c:pt idx="3">
                  <c:v>2015</c:v>
                </c:pt>
                <c:pt idx="4">
                  <c:v>2016</c:v>
                </c:pt>
                <c:pt idx="5">
                  <c:v>2017</c:v>
                </c:pt>
              </c:numCache>
            </c:numRef>
          </c:cat>
          <c:val>
            <c:numRef>
              <c:f>conflict!$C$103:$H$103</c:f>
              <c:numCache>
                <c:formatCode>General</c:formatCode>
                <c:ptCount val="6"/>
                <c:pt idx="0">
                  <c:v>203</c:v>
                </c:pt>
                <c:pt idx="1">
                  <c:v>93</c:v>
                </c:pt>
                <c:pt idx="2">
                  <c:v>146</c:v>
                </c:pt>
                <c:pt idx="3">
                  <c:v>108</c:v>
                </c:pt>
                <c:pt idx="4">
                  <c:v>137</c:v>
                </c:pt>
                <c:pt idx="5">
                  <c:v>168</c:v>
                </c:pt>
              </c:numCache>
            </c:numRef>
          </c:val>
          <c:smooth val="0"/>
          <c:extLst>
            <c:ext xmlns:c16="http://schemas.microsoft.com/office/drawing/2014/chart" uri="{C3380CC4-5D6E-409C-BE32-E72D297353CC}">
              <c16:uniqueId val="{00000005-441B-CF4E-ABCE-B10979DF84E1}"/>
            </c:ext>
          </c:extLst>
        </c:ser>
        <c:ser>
          <c:idx val="2"/>
          <c:order val="2"/>
          <c:tx>
            <c:v>Other provinces</c:v>
          </c:tx>
          <c:spPr>
            <a:ln w="38100" cap="rnd">
              <a:solidFill>
                <a:schemeClr val="dk1">
                  <a:tint val="75000"/>
                </a:schemeClr>
              </a:solidFill>
              <a:prstDash val="dash"/>
              <a:round/>
            </a:ln>
            <a:effectLst/>
          </c:spPr>
          <c:marker>
            <c:symbol val="none"/>
          </c:marker>
          <c:dLbls>
            <c:dLbl>
              <c:idx val="0"/>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441B-CF4E-ABCE-B10979DF84E1}"/>
                </c:ext>
              </c:extLst>
            </c:dLbl>
            <c:dLbl>
              <c:idx val="5"/>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41B-CF4E-ABCE-B10979DF84E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0"/>
            <c:showCatName val="0"/>
            <c:showSerName val="0"/>
            <c:showPercent val="0"/>
            <c:showBubbleSize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conflict!$C$108:$H$108</c:f>
              <c:numCache>
                <c:formatCode>General</c:formatCode>
                <c:ptCount val="6"/>
                <c:pt idx="0">
                  <c:v>2012</c:v>
                </c:pt>
                <c:pt idx="1">
                  <c:v>2013</c:v>
                </c:pt>
                <c:pt idx="2">
                  <c:v>2014</c:v>
                </c:pt>
                <c:pt idx="3">
                  <c:v>2015</c:v>
                </c:pt>
                <c:pt idx="4">
                  <c:v>2016</c:v>
                </c:pt>
                <c:pt idx="5">
                  <c:v>2017</c:v>
                </c:pt>
              </c:numCache>
            </c:numRef>
          </c:cat>
          <c:val>
            <c:numRef>
              <c:f>conflict!$C$120:$H$120</c:f>
              <c:numCache>
                <c:formatCode>General</c:formatCode>
                <c:ptCount val="6"/>
                <c:pt idx="0">
                  <c:v>284</c:v>
                </c:pt>
                <c:pt idx="1">
                  <c:v>372</c:v>
                </c:pt>
                <c:pt idx="2">
                  <c:v>532</c:v>
                </c:pt>
                <c:pt idx="3">
                  <c:v>380</c:v>
                </c:pt>
                <c:pt idx="4">
                  <c:v>463</c:v>
                </c:pt>
                <c:pt idx="5">
                  <c:v>590</c:v>
                </c:pt>
              </c:numCache>
            </c:numRef>
          </c:val>
          <c:smooth val="0"/>
          <c:extLst>
            <c:ext xmlns:c16="http://schemas.microsoft.com/office/drawing/2014/chart" uri="{C3380CC4-5D6E-409C-BE32-E72D297353CC}">
              <c16:uniqueId val="{00000008-441B-CF4E-ABCE-B10979DF84E1}"/>
            </c:ext>
          </c:extLst>
        </c:ser>
        <c:dLbls>
          <c:showLegendKey val="0"/>
          <c:showVal val="0"/>
          <c:showCatName val="0"/>
          <c:showSerName val="0"/>
          <c:showPercent val="0"/>
          <c:showBubbleSize val="0"/>
        </c:dLbls>
        <c:smooth val="0"/>
        <c:axId val="416298896"/>
        <c:axId val="27646016"/>
      </c:lineChart>
      <c:catAx>
        <c:axId val="416298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27646016"/>
        <c:crosses val="autoZero"/>
        <c:auto val="1"/>
        <c:lblAlgn val="ctr"/>
        <c:lblOffset val="100"/>
        <c:noMultiLvlLbl val="0"/>
      </c:catAx>
      <c:valAx>
        <c:axId val="27646016"/>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629889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lineChart>
        <c:grouping val="standard"/>
        <c:varyColors val="0"/>
        <c:ser>
          <c:idx val="1"/>
          <c:order val="0"/>
          <c:tx>
            <c:strRef>
              <c:f>Sheet3!$B$4</c:f>
              <c:strCache>
                <c:ptCount val="1"/>
                <c:pt idx="0">
                  <c:v>Beni</c:v>
                </c:pt>
              </c:strCache>
            </c:strRef>
          </c:tx>
          <c:spPr>
            <a:ln w="28575" cap="rnd">
              <a:solidFill>
                <a:schemeClr val="dk1">
                  <a:tint val="55000"/>
                </a:schemeClr>
              </a:solidFill>
              <a:prstDash val="dash"/>
              <a:round/>
            </a:ln>
            <a:effectLst/>
          </c:spPr>
          <c:marker>
            <c:symbol val="circle"/>
            <c:size val="5"/>
            <c:spPr>
              <a:solidFill>
                <a:schemeClr val="dk1">
                  <a:tint val="55000"/>
                </a:schemeClr>
              </a:solidFill>
              <a:ln w="9525">
                <a:solidFill>
                  <a:schemeClr val="dk1">
                    <a:tint val="55000"/>
                  </a:schemeClr>
                </a:solidFill>
                <a:prstDash val="dash"/>
              </a:ln>
              <a:effectLst/>
            </c:spPr>
          </c:marker>
          <c:cat>
            <c:numRef>
              <c:f>Sheet3!$C$3:$H$3</c:f>
              <c:numCache>
                <c:formatCode>General</c:formatCode>
                <c:ptCount val="6"/>
                <c:pt idx="0">
                  <c:v>2012</c:v>
                </c:pt>
                <c:pt idx="1">
                  <c:v>2013</c:v>
                </c:pt>
                <c:pt idx="2">
                  <c:v>2014</c:v>
                </c:pt>
                <c:pt idx="3">
                  <c:v>2015</c:v>
                </c:pt>
                <c:pt idx="4">
                  <c:v>2016</c:v>
                </c:pt>
                <c:pt idx="5">
                  <c:v>2017</c:v>
                </c:pt>
              </c:numCache>
            </c:numRef>
          </c:cat>
          <c:val>
            <c:numRef>
              <c:f>Sheet3!$C$4:$H$4</c:f>
              <c:numCache>
                <c:formatCode>0</c:formatCode>
                <c:ptCount val="6"/>
                <c:pt idx="0">
                  <c:v>42</c:v>
                </c:pt>
                <c:pt idx="1">
                  <c:v>150</c:v>
                </c:pt>
                <c:pt idx="2">
                  <c:v>421</c:v>
                </c:pt>
                <c:pt idx="3">
                  <c:v>343</c:v>
                </c:pt>
                <c:pt idx="4">
                  <c:v>455</c:v>
                </c:pt>
                <c:pt idx="5">
                  <c:v>332</c:v>
                </c:pt>
              </c:numCache>
            </c:numRef>
          </c:val>
          <c:smooth val="0"/>
          <c:extLst>
            <c:ext xmlns:c16="http://schemas.microsoft.com/office/drawing/2014/chart" uri="{C3380CC4-5D6E-409C-BE32-E72D297353CC}">
              <c16:uniqueId val="{00000000-A518-934D-B657-68D5A3694BAF}"/>
            </c:ext>
          </c:extLst>
        </c:ser>
        <c:ser>
          <c:idx val="2"/>
          <c:order val="1"/>
          <c:tx>
            <c:strRef>
              <c:f>Sheet3!$B$5</c:f>
              <c:strCache>
                <c:ptCount val="1"/>
                <c:pt idx="0">
                  <c:v>Goma</c:v>
                </c:pt>
              </c:strCache>
            </c:strRef>
          </c:tx>
          <c:spPr>
            <a:ln w="28575" cap="rnd">
              <a:solidFill>
                <a:schemeClr val="tx1"/>
              </a:solidFill>
              <a:prstDash val="sysDash"/>
              <a:round/>
            </a:ln>
            <a:effectLst/>
          </c:spPr>
          <c:marker>
            <c:symbol val="circle"/>
            <c:size val="5"/>
            <c:spPr>
              <a:solidFill>
                <a:schemeClr val="dk1">
                  <a:tint val="75000"/>
                </a:schemeClr>
              </a:solidFill>
              <a:ln w="9525">
                <a:solidFill>
                  <a:schemeClr val="tx1"/>
                </a:solidFill>
                <a:prstDash val="sysDash"/>
              </a:ln>
              <a:effectLst/>
            </c:spPr>
          </c:marker>
          <c:cat>
            <c:numRef>
              <c:f>Sheet3!$C$3:$H$3</c:f>
              <c:numCache>
                <c:formatCode>General</c:formatCode>
                <c:ptCount val="6"/>
                <c:pt idx="0">
                  <c:v>2012</c:v>
                </c:pt>
                <c:pt idx="1">
                  <c:v>2013</c:v>
                </c:pt>
                <c:pt idx="2">
                  <c:v>2014</c:v>
                </c:pt>
                <c:pt idx="3">
                  <c:v>2015</c:v>
                </c:pt>
                <c:pt idx="4">
                  <c:v>2016</c:v>
                </c:pt>
                <c:pt idx="5">
                  <c:v>2017</c:v>
                </c:pt>
              </c:numCache>
            </c:numRef>
          </c:cat>
          <c:val>
            <c:numRef>
              <c:f>Sheet3!$C$5:$H$5</c:f>
              <c:numCache>
                <c:formatCode>0</c:formatCode>
                <c:ptCount val="6"/>
                <c:pt idx="0">
                  <c:v>147</c:v>
                </c:pt>
                <c:pt idx="1">
                  <c:v>95</c:v>
                </c:pt>
                <c:pt idx="2">
                  <c:v>76</c:v>
                </c:pt>
                <c:pt idx="3">
                  <c:v>16</c:v>
                </c:pt>
                <c:pt idx="4">
                  <c:v>24</c:v>
                </c:pt>
                <c:pt idx="5">
                  <c:v>28</c:v>
                </c:pt>
              </c:numCache>
            </c:numRef>
          </c:val>
          <c:smooth val="0"/>
          <c:extLst>
            <c:ext xmlns:c16="http://schemas.microsoft.com/office/drawing/2014/chart" uri="{C3380CC4-5D6E-409C-BE32-E72D297353CC}">
              <c16:uniqueId val="{00000001-A518-934D-B657-68D5A3694BAF}"/>
            </c:ext>
          </c:extLst>
        </c:ser>
        <c:ser>
          <c:idx val="3"/>
          <c:order val="2"/>
          <c:tx>
            <c:strRef>
              <c:f>Sheet3!$B$6</c:f>
              <c:strCache>
                <c:ptCount val="1"/>
                <c:pt idx="0">
                  <c:v>Lubero</c:v>
                </c:pt>
              </c:strCache>
            </c:strRef>
          </c:tx>
          <c:spPr>
            <a:ln w="28575" cap="rnd">
              <a:solidFill>
                <a:schemeClr val="dk1">
                  <a:tint val="98500"/>
                </a:schemeClr>
              </a:solidFill>
              <a:round/>
            </a:ln>
            <a:effectLst/>
          </c:spPr>
          <c:marker>
            <c:symbol val="circle"/>
            <c:size val="5"/>
            <c:spPr>
              <a:solidFill>
                <a:schemeClr val="dk1">
                  <a:tint val="98500"/>
                </a:schemeClr>
              </a:solidFill>
              <a:ln w="9525">
                <a:solidFill>
                  <a:schemeClr val="dk1">
                    <a:tint val="98500"/>
                  </a:schemeClr>
                </a:solidFill>
              </a:ln>
              <a:effectLst/>
            </c:spPr>
          </c:marker>
          <c:cat>
            <c:numRef>
              <c:f>Sheet3!$C$3:$H$3</c:f>
              <c:numCache>
                <c:formatCode>General</c:formatCode>
                <c:ptCount val="6"/>
                <c:pt idx="0">
                  <c:v>2012</c:v>
                </c:pt>
                <c:pt idx="1">
                  <c:v>2013</c:v>
                </c:pt>
                <c:pt idx="2">
                  <c:v>2014</c:v>
                </c:pt>
                <c:pt idx="3">
                  <c:v>2015</c:v>
                </c:pt>
                <c:pt idx="4">
                  <c:v>2016</c:v>
                </c:pt>
                <c:pt idx="5">
                  <c:v>2017</c:v>
                </c:pt>
              </c:numCache>
            </c:numRef>
          </c:cat>
          <c:val>
            <c:numRef>
              <c:f>Sheet3!$C$6:$H$6</c:f>
              <c:numCache>
                <c:formatCode>0</c:formatCode>
                <c:ptCount val="6"/>
                <c:pt idx="0">
                  <c:v>37</c:v>
                </c:pt>
                <c:pt idx="1">
                  <c:v>28</c:v>
                </c:pt>
                <c:pt idx="2">
                  <c:v>15</c:v>
                </c:pt>
                <c:pt idx="3">
                  <c:v>82</c:v>
                </c:pt>
                <c:pt idx="4">
                  <c:v>152</c:v>
                </c:pt>
                <c:pt idx="5">
                  <c:v>118</c:v>
                </c:pt>
              </c:numCache>
            </c:numRef>
          </c:val>
          <c:smooth val="0"/>
          <c:extLst>
            <c:ext xmlns:c16="http://schemas.microsoft.com/office/drawing/2014/chart" uri="{C3380CC4-5D6E-409C-BE32-E72D297353CC}">
              <c16:uniqueId val="{00000002-A518-934D-B657-68D5A3694BAF}"/>
            </c:ext>
          </c:extLst>
        </c:ser>
        <c:ser>
          <c:idx val="4"/>
          <c:order val="3"/>
          <c:tx>
            <c:strRef>
              <c:f>Sheet3!$B$7</c:f>
              <c:strCache>
                <c:ptCount val="1"/>
                <c:pt idx="0">
                  <c:v>Masisi</c:v>
                </c:pt>
              </c:strCache>
            </c:strRef>
          </c:tx>
          <c:spPr>
            <a:ln w="28575" cap="rnd">
              <a:solidFill>
                <a:schemeClr val="tx1"/>
              </a:solidFill>
              <a:prstDash val="sysDot"/>
              <a:round/>
            </a:ln>
            <a:effectLst/>
          </c:spPr>
          <c:marker>
            <c:symbol val="circle"/>
            <c:size val="5"/>
            <c:spPr>
              <a:solidFill>
                <a:schemeClr val="dk1">
                  <a:tint val="30000"/>
                </a:schemeClr>
              </a:solidFill>
              <a:ln w="9525">
                <a:solidFill>
                  <a:schemeClr val="tx1"/>
                </a:solidFill>
                <a:prstDash val="sysDot"/>
              </a:ln>
              <a:effectLst/>
            </c:spPr>
          </c:marker>
          <c:cat>
            <c:numRef>
              <c:f>Sheet3!$C$3:$H$3</c:f>
              <c:numCache>
                <c:formatCode>General</c:formatCode>
                <c:ptCount val="6"/>
                <c:pt idx="0">
                  <c:v>2012</c:v>
                </c:pt>
                <c:pt idx="1">
                  <c:v>2013</c:v>
                </c:pt>
                <c:pt idx="2">
                  <c:v>2014</c:v>
                </c:pt>
                <c:pt idx="3">
                  <c:v>2015</c:v>
                </c:pt>
                <c:pt idx="4">
                  <c:v>2016</c:v>
                </c:pt>
                <c:pt idx="5">
                  <c:v>2017</c:v>
                </c:pt>
              </c:numCache>
            </c:numRef>
          </c:cat>
          <c:val>
            <c:numRef>
              <c:f>Sheet3!$C$7:$H$7</c:f>
              <c:numCache>
                <c:formatCode>0</c:formatCode>
                <c:ptCount val="6"/>
                <c:pt idx="0">
                  <c:v>132</c:v>
                </c:pt>
                <c:pt idx="1">
                  <c:v>45</c:v>
                </c:pt>
                <c:pt idx="2">
                  <c:v>49</c:v>
                </c:pt>
                <c:pt idx="3">
                  <c:v>32</c:v>
                </c:pt>
                <c:pt idx="4">
                  <c:v>32</c:v>
                </c:pt>
                <c:pt idx="5">
                  <c:v>88</c:v>
                </c:pt>
              </c:numCache>
            </c:numRef>
          </c:val>
          <c:smooth val="0"/>
          <c:extLst>
            <c:ext xmlns:c16="http://schemas.microsoft.com/office/drawing/2014/chart" uri="{C3380CC4-5D6E-409C-BE32-E72D297353CC}">
              <c16:uniqueId val="{00000003-A518-934D-B657-68D5A3694BAF}"/>
            </c:ext>
          </c:extLst>
        </c:ser>
        <c:ser>
          <c:idx val="5"/>
          <c:order val="4"/>
          <c:tx>
            <c:strRef>
              <c:f>Sheet3!$B$8</c:f>
              <c:strCache>
                <c:ptCount val="1"/>
                <c:pt idx="0">
                  <c:v>Nyiragongo</c:v>
                </c:pt>
              </c:strCache>
            </c:strRef>
          </c:tx>
          <c:spPr>
            <a:ln w="28575" cap="rnd">
              <a:solidFill>
                <a:schemeClr val="tx1"/>
              </a:solidFill>
              <a:prstDash val="lgDashDotDot"/>
              <a:round/>
            </a:ln>
            <a:effectLst/>
          </c:spPr>
          <c:marker>
            <c:symbol val="circle"/>
            <c:size val="5"/>
            <c:spPr>
              <a:solidFill>
                <a:schemeClr val="dk1">
                  <a:tint val="60000"/>
                </a:schemeClr>
              </a:solidFill>
              <a:ln w="9525">
                <a:solidFill>
                  <a:schemeClr val="tx1"/>
                </a:solidFill>
              </a:ln>
              <a:effectLst/>
            </c:spPr>
          </c:marker>
          <c:cat>
            <c:numRef>
              <c:f>Sheet3!$C$3:$H$3</c:f>
              <c:numCache>
                <c:formatCode>General</c:formatCode>
                <c:ptCount val="6"/>
                <c:pt idx="0">
                  <c:v>2012</c:v>
                </c:pt>
                <c:pt idx="1">
                  <c:v>2013</c:v>
                </c:pt>
                <c:pt idx="2">
                  <c:v>2014</c:v>
                </c:pt>
                <c:pt idx="3">
                  <c:v>2015</c:v>
                </c:pt>
                <c:pt idx="4">
                  <c:v>2016</c:v>
                </c:pt>
                <c:pt idx="5">
                  <c:v>2017</c:v>
                </c:pt>
              </c:numCache>
            </c:numRef>
          </c:cat>
          <c:val>
            <c:numRef>
              <c:f>Sheet3!$C$8:$H$8</c:f>
              <c:numCache>
                <c:formatCode>0</c:formatCode>
                <c:ptCount val="6"/>
                <c:pt idx="0">
                  <c:v>2</c:v>
                </c:pt>
                <c:pt idx="1">
                  <c:v>176</c:v>
                </c:pt>
                <c:pt idx="2">
                  <c:v>11</c:v>
                </c:pt>
                <c:pt idx="3">
                  <c:v>6</c:v>
                </c:pt>
                <c:pt idx="4">
                  <c:v>3</c:v>
                </c:pt>
                <c:pt idx="5">
                  <c:v>1</c:v>
                </c:pt>
              </c:numCache>
            </c:numRef>
          </c:val>
          <c:smooth val="0"/>
          <c:extLst>
            <c:ext xmlns:c16="http://schemas.microsoft.com/office/drawing/2014/chart" uri="{C3380CC4-5D6E-409C-BE32-E72D297353CC}">
              <c16:uniqueId val="{00000004-A518-934D-B657-68D5A3694BAF}"/>
            </c:ext>
          </c:extLst>
        </c:ser>
        <c:ser>
          <c:idx val="6"/>
          <c:order val="5"/>
          <c:tx>
            <c:strRef>
              <c:f>Sheet3!$B$9</c:f>
              <c:strCache>
                <c:ptCount val="1"/>
                <c:pt idx="0">
                  <c:v>Rutshuru</c:v>
                </c:pt>
              </c:strCache>
            </c:strRef>
          </c:tx>
          <c:spPr>
            <a:ln w="28575" cap="rnd">
              <a:solidFill>
                <a:schemeClr val="bg1">
                  <a:lumMod val="65000"/>
                </a:schemeClr>
              </a:solidFill>
              <a:round/>
            </a:ln>
            <a:effectLst/>
          </c:spPr>
          <c:marker>
            <c:symbol val="circle"/>
            <c:size val="5"/>
            <c:spPr>
              <a:solidFill>
                <a:schemeClr val="dk1">
                  <a:tint val="80000"/>
                </a:schemeClr>
              </a:solidFill>
              <a:ln w="9525">
                <a:solidFill>
                  <a:schemeClr val="bg1">
                    <a:lumMod val="65000"/>
                  </a:schemeClr>
                </a:solidFill>
              </a:ln>
              <a:effectLst/>
            </c:spPr>
          </c:marker>
          <c:cat>
            <c:numRef>
              <c:f>Sheet3!$C$3:$H$3</c:f>
              <c:numCache>
                <c:formatCode>General</c:formatCode>
                <c:ptCount val="6"/>
                <c:pt idx="0">
                  <c:v>2012</c:v>
                </c:pt>
                <c:pt idx="1">
                  <c:v>2013</c:v>
                </c:pt>
                <c:pt idx="2">
                  <c:v>2014</c:v>
                </c:pt>
                <c:pt idx="3">
                  <c:v>2015</c:v>
                </c:pt>
                <c:pt idx="4">
                  <c:v>2016</c:v>
                </c:pt>
                <c:pt idx="5">
                  <c:v>2017</c:v>
                </c:pt>
              </c:numCache>
            </c:numRef>
          </c:cat>
          <c:val>
            <c:numRef>
              <c:f>Sheet3!$C$9:$H$9</c:f>
              <c:numCache>
                <c:formatCode>0</c:formatCode>
                <c:ptCount val="6"/>
                <c:pt idx="0">
                  <c:v>189</c:v>
                </c:pt>
                <c:pt idx="1">
                  <c:v>167</c:v>
                </c:pt>
                <c:pt idx="2">
                  <c:v>43</c:v>
                </c:pt>
                <c:pt idx="3">
                  <c:v>127</c:v>
                </c:pt>
                <c:pt idx="4">
                  <c:v>190</c:v>
                </c:pt>
                <c:pt idx="5">
                  <c:v>172</c:v>
                </c:pt>
              </c:numCache>
            </c:numRef>
          </c:val>
          <c:smooth val="0"/>
          <c:extLst>
            <c:ext xmlns:c16="http://schemas.microsoft.com/office/drawing/2014/chart" uri="{C3380CC4-5D6E-409C-BE32-E72D297353CC}">
              <c16:uniqueId val="{00000006-A518-934D-B657-68D5A3694BAF}"/>
            </c:ext>
          </c:extLst>
        </c:ser>
        <c:ser>
          <c:idx val="7"/>
          <c:order val="6"/>
          <c:tx>
            <c:strRef>
              <c:f>Sheet3!$B$10</c:f>
              <c:strCache>
                <c:ptCount val="1"/>
                <c:pt idx="0">
                  <c:v>Walikale</c:v>
                </c:pt>
              </c:strCache>
            </c:strRef>
          </c:tx>
          <c:spPr>
            <a:ln w="28575" cap="rnd">
              <a:solidFill>
                <a:schemeClr val="dk1">
                  <a:tint val="88500"/>
                </a:schemeClr>
              </a:solidFill>
              <a:round/>
            </a:ln>
            <a:effectLst/>
          </c:spPr>
          <c:marker>
            <c:symbol val="circle"/>
            <c:size val="5"/>
            <c:spPr>
              <a:solidFill>
                <a:schemeClr val="dk1">
                  <a:tint val="88500"/>
                </a:schemeClr>
              </a:solidFill>
              <a:ln w="9525">
                <a:solidFill>
                  <a:schemeClr val="dk1">
                    <a:tint val="88500"/>
                  </a:schemeClr>
                </a:solidFill>
              </a:ln>
              <a:effectLst/>
            </c:spPr>
          </c:marker>
          <c:cat>
            <c:numRef>
              <c:f>Sheet3!$C$3:$H$3</c:f>
              <c:numCache>
                <c:formatCode>General</c:formatCode>
                <c:ptCount val="6"/>
                <c:pt idx="0">
                  <c:v>2012</c:v>
                </c:pt>
                <c:pt idx="1">
                  <c:v>2013</c:v>
                </c:pt>
                <c:pt idx="2">
                  <c:v>2014</c:v>
                </c:pt>
                <c:pt idx="3">
                  <c:v>2015</c:v>
                </c:pt>
                <c:pt idx="4">
                  <c:v>2016</c:v>
                </c:pt>
                <c:pt idx="5">
                  <c:v>2017</c:v>
                </c:pt>
              </c:numCache>
            </c:numRef>
          </c:cat>
          <c:val>
            <c:numRef>
              <c:f>Sheet3!$C$10:$H$10</c:f>
              <c:numCache>
                <c:formatCode>0</c:formatCode>
                <c:ptCount val="6"/>
                <c:pt idx="0">
                  <c:v>158</c:v>
                </c:pt>
                <c:pt idx="1">
                  <c:v>278</c:v>
                </c:pt>
                <c:pt idx="2">
                  <c:v>59</c:v>
                </c:pt>
                <c:pt idx="3">
                  <c:v>154</c:v>
                </c:pt>
                <c:pt idx="4">
                  <c:v>55</c:v>
                </c:pt>
                <c:pt idx="5">
                  <c:v>56</c:v>
                </c:pt>
              </c:numCache>
            </c:numRef>
          </c:val>
          <c:smooth val="0"/>
          <c:extLst>
            <c:ext xmlns:c16="http://schemas.microsoft.com/office/drawing/2014/chart" uri="{C3380CC4-5D6E-409C-BE32-E72D297353CC}">
              <c16:uniqueId val="{00000007-A518-934D-B657-68D5A3694BAF}"/>
            </c:ext>
          </c:extLst>
        </c:ser>
        <c:dLbls>
          <c:showLegendKey val="0"/>
          <c:showVal val="0"/>
          <c:showCatName val="0"/>
          <c:showSerName val="0"/>
          <c:showPercent val="0"/>
          <c:showBubbleSize val="0"/>
        </c:dLbls>
        <c:marker val="1"/>
        <c:smooth val="0"/>
        <c:axId val="27405648"/>
        <c:axId val="27408480"/>
      </c:lineChart>
      <c:catAx>
        <c:axId val="27405648"/>
        <c:scaling>
          <c:orientation val="minMax"/>
        </c:scaling>
        <c:delete val="0"/>
        <c:axPos val="b"/>
        <c:numFmt formatCode="General" sourceLinked="1"/>
        <c:majorTickMark val="none"/>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408480"/>
        <c:crosses val="autoZero"/>
        <c:auto val="1"/>
        <c:lblAlgn val="ctr"/>
        <c:lblOffset val="100"/>
        <c:noMultiLvlLbl val="0"/>
      </c:catAx>
      <c:valAx>
        <c:axId val="274084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405648"/>
        <c:crosses val="autoZero"/>
        <c:crossBetween val="between"/>
      </c:valAx>
      <c:spPr>
        <a:noFill/>
        <a:ln>
          <a:noFill/>
        </a:ln>
        <a:effectLst/>
      </c:spPr>
    </c:plotArea>
    <c:legend>
      <c:legendPos val="b"/>
      <c:layout>
        <c:manualLayout>
          <c:xMode val="edge"/>
          <c:yMode val="edge"/>
          <c:x val="0.14567741758456301"/>
          <c:y val="0.77082118271098798"/>
          <c:w val="0.78102131081624404"/>
          <c:h val="0.1872720598243710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bg1">
          <a:lumMod val="9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lineChart>
        <c:grouping val="standard"/>
        <c:varyColors val="0"/>
        <c:ser>
          <c:idx val="0"/>
          <c:order val="0"/>
          <c:tx>
            <c:strRef>
              <c:f>Sheet3!$B$18</c:f>
              <c:strCache>
                <c:ptCount val="1"/>
                <c:pt idx="0">
                  <c:v>Uvira</c:v>
                </c:pt>
              </c:strCache>
            </c:strRef>
          </c:tx>
          <c:spPr>
            <a:ln w="28575" cap="rnd">
              <a:solidFill>
                <a:schemeClr val="dk1">
                  <a:tint val="88500"/>
                </a:schemeClr>
              </a:solidFill>
              <a:round/>
            </a:ln>
            <a:effectLst/>
          </c:spPr>
          <c:marker>
            <c:symbol val="none"/>
          </c:marker>
          <c:cat>
            <c:numRef>
              <c:f>Sheet3!$C$17:$H$17</c:f>
              <c:numCache>
                <c:formatCode>General</c:formatCode>
                <c:ptCount val="6"/>
                <c:pt idx="0">
                  <c:v>2012</c:v>
                </c:pt>
                <c:pt idx="1">
                  <c:v>2013</c:v>
                </c:pt>
                <c:pt idx="2">
                  <c:v>2014</c:v>
                </c:pt>
                <c:pt idx="3">
                  <c:v>2015</c:v>
                </c:pt>
                <c:pt idx="4">
                  <c:v>2016</c:v>
                </c:pt>
                <c:pt idx="5">
                  <c:v>2017</c:v>
                </c:pt>
              </c:numCache>
            </c:numRef>
          </c:cat>
          <c:val>
            <c:numRef>
              <c:f>Sheet3!$C$18:$H$18</c:f>
              <c:numCache>
                <c:formatCode>General</c:formatCode>
                <c:ptCount val="6"/>
                <c:pt idx="0">
                  <c:v>46</c:v>
                </c:pt>
                <c:pt idx="1">
                  <c:v>29</c:v>
                </c:pt>
                <c:pt idx="2">
                  <c:v>82</c:v>
                </c:pt>
                <c:pt idx="3">
                  <c:v>28</c:v>
                </c:pt>
                <c:pt idx="4">
                  <c:v>23</c:v>
                </c:pt>
                <c:pt idx="5">
                  <c:v>37</c:v>
                </c:pt>
              </c:numCache>
            </c:numRef>
          </c:val>
          <c:smooth val="0"/>
          <c:extLst>
            <c:ext xmlns:c16="http://schemas.microsoft.com/office/drawing/2014/chart" uri="{C3380CC4-5D6E-409C-BE32-E72D297353CC}">
              <c16:uniqueId val="{00000000-4702-A944-A65C-91E7F55836E0}"/>
            </c:ext>
          </c:extLst>
        </c:ser>
        <c:ser>
          <c:idx val="1"/>
          <c:order val="1"/>
          <c:tx>
            <c:strRef>
              <c:f>Sheet3!$B$19</c:f>
              <c:strCache>
                <c:ptCount val="1"/>
                <c:pt idx="0">
                  <c:v>Fizi</c:v>
                </c:pt>
              </c:strCache>
            </c:strRef>
          </c:tx>
          <c:spPr>
            <a:ln w="28575" cap="rnd">
              <a:solidFill>
                <a:schemeClr val="dk1">
                  <a:tint val="55000"/>
                </a:schemeClr>
              </a:solidFill>
              <a:round/>
            </a:ln>
            <a:effectLst/>
          </c:spPr>
          <c:marker>
            <c:symbol val="none"/>
          </c:marker>
          <c:cat>
            <c:numRef>
              <c:f>Sheet3!$C$17:$H$17</c:f>
              <c:numCache>
                <c:formatCode>General</c:formatCode>
                <c:ptCount val="6"/>
                <c:pt idx="0">
                  <c:v>2012</c:v>
                </c:pt>
                <c:pt idx="1">
                  <c:v>2013</c:v>
                </c:pt>
                <c:pt idx="2">
                  <c:v>2014</c:v>
                </c:pt>
                <c:pt idx="3">
                  <c:v>2015</c:v>
                </c:pt>
                <c:pt idx="4">
                  <c:v>2016</c:v>
                </c:pt>
                <c:pt idx="5">
                  <c:v>2017</c:v>
                </c:pt>
              </c:numCache>
            </c:numRef>
          </c:cat>
          <c:val>
            <c:numRef>
              <c:f>Sheet3!$C$19:$H$19</c:f>
              <c:numCache>
                <c:formatCode>General</c:formatCode>
                <c:ptCount val="6"/>
                <c:pt idx="0">
                  <c:v>34</c:v>
                </c:pt>
                <c:pt idx="1">
                  <c:v>21</c:v>
                </c:pt>
                <c:pt idx="2">
                  <c:v>55</c:v>
                </c:pt>
                <c:pt idx="3">
                  <c:v>14</c:v>
                </c:pt>
                <c:pt idx="4">
                  <c:v>24</c:v>
                </c:pt>
                <c:pt idx="5">
                  <c:v>56</c:v>
                </c:pt>
              </c:numCache>
            </c:numRef>
          </c:val>
          <c:smooth val="0"/>
          <c:extLst>
            <c:ext xmlns:c16="http://schemas.microsoft.com/office/drawing/2014/chart" uri="{C3380CC4-5D6E-409C-BE32-E72D297353CC}">
              <c16:uniqueId val="{00000001-4702-A944-A65C-91E7F55836E0}"/>
            </c:ext>
          </c:extLst>
        </c:ser>
        <c:ser>
          <c:idx val="3"/>
          <c:order val="3"/>
          <c:tx>
            <c:strRef>
              <c:f>Sheet3!$B$21</c:f>
              <c:strCache>
                <c:ptCount val="1"/>
                <c:pt idx="0">
                  <c:v>Kalehe</c:v>
                </c:pt>
              </c:strCache>
            </c:strRef>
          </c:tx>
          <c:spPr>
            <a:ln w="28575" cap="rnd">
              <a:solidFill>
                <a:schemeClr val="dk1">
                  <a:tint val="98500"/>
                </a:schemeClr>
              </a:solidFill>
              <a:round/>
            </a:ln>
            <a:effectLst/>
          </c:spPr>
          <c:marker>
            <c:symbol val="none"/>
          </c:marker>
          <c:cat>
            <c:numRef>
              <c:f>Sheet3!$C$17:$H$17</c:f>
              <c:numCache>
                <c:formatCode>General</c:formatCode>
                <c:ptCount val="6"/>
                <c:pt idx="0">
                  <c:v>2012</c:v>
                </c:pt>
                <c:pt idx="1">
                  <c:v>2013</c:v>
                </c:pt>
                <c:pt idx="2">
                  <c:v>2014</c:v>
                </c:pt>
                <c:pt idx="3">
                  <c:v>2015</c:v>
                </c:pt>
                <c:pt idx="4">
                  <c:v>2016</c:v>
                </c:pt>
                <c:pt idx="5">
                  <c:v>2017</c:v>
                </c:pt>
              </c:numCache>
            </c:numRef>
          </c:cat>
          <c:val>
            <c:numRef>
              <c:f>Sheet3!$C$21:$H$21</c:f>
              <c:numCache>
                <c:formatCode>General</c:formatCode>
                <c:ptCount val="6"/>
                <c:pt idx="0">
                  <c:v>123</c:v>
                </c:pt>
                <c:pt idx="1">
                  <c:v>3</c:v>
                </c:pt>
                <c:pt idx="2">
                  <c:v>12</c:v>
                </c:pt>
                <c:pt idx="3">
                  <c:v>39</c:v>
                </c:pt>
                <c:pt idx="4">
                  <c:v>18</c:v>
                </c:pt>
                <c:pt idx="5">
                  <c:v>12</c:v>
                </c:pt>
              </c:numCache>
            </c:numRef>
          </c:val>
          <c:smooth val="0"/>
          <c:extLst>
            <c:ext xmlns:c16="http://schemas.microsoft.com/office/drawing/2014/chart" uri="{C3380CC4-5D6E-409C-BE32-E72D297353CC}">
              <c16:uniqueId val="{00000002-4702-A944-A65C-91E7F55836E0}"/>
            </c:ext>
          </c:extLst>
        </c:ser>
        <c:ser>
          <c:idx val="4"/>
          <c:order val="4"/>
          <c:tx>
            <c:strRef>
              <c:f>Sheet3!$B$22</c:f>
              <c:strCache>
                <c:ptCount val="1"/>
                <c:pt idx="0">
                  <c:v>Shabunda</c:v>
                </c:pt>
              </c:strCache>
            </c:strRef>
          </c:tx>
          <c:spPr>
            <a:ln w="28575" cap="rnd">
              <a:solidFill>
                <a:schemeClr val="dk1">
                  <a:tint val="30000"/>
                </a:schemeClr>
              </a:solidFill>
              <a:round/>
            </a:ln>
            <a:effectLst/>
          </c:spPr>
          <c:marker>
            <c:symbol val="none"/>
          </c:marker>
          <c:cat>
            <c:numRef>
              <c:f>Sheet3!$C$17:$H$17</c:f>
              <c:numCache>
                <c:formatCode>General</c:formatCode>
                <c:ptCount val="6"/>
                <c:pt idx="0">
                  <c:v>2012</c:v>
                </c:pt>
                <c:pt idx="1">
                  <c:v>2013</c:v>
                </c:pt>
                <c:pt idx="2">
                  <c:v>2014</c:v>
                </c:pt>
                <c:pt idx="3">
                  <c:v>2015</c:v>
                </c:pt>
                <c:pt idx="4">
                  <c:v>2016</c:v>
                </c:pt>
                <c:pt idx="5">
                  <c:v>2017</c:v>
                </c:pt>
              </c:numCache>
            </c:numRef>
          </c:cat>
          <c:val>
            <c:numRef>
              <c:f>Sheet3!$C$22:$H$22</c:f>
              <c:numCache>
                <c:formatCode>General</c:formatCode>
                <c:ptCount val="6"/>
                <c:pt idx="0">
                  <c:v>51</c:v>
                </c:pt>
                <c:pt idx="1">
                  <c:v>13</c:v>
                </c:pt>
                <c:pt idx="2">
                  <c:v>40</c:v>
                </c:pt>
                <c:pt idx="3">
                  <c:v>5</c:v>
                </c:pt>
                <c:pt idx="4">
                  <c:v>15</c:v>
                </c:pt>
                <c:pt idx="5">
                  <c:v>14</c:v>
                </c:pt>
              </c:numCache>
            </c:numRef>
          </c:val>
          <c:smooth val="0"/>
          <c:extLst>
            <c:ext xmlns:c16="http://schemas.microsoft.com/office/drawing/2014/chart" uri="{C3380CC4-5D6E-409C-BE32-E72D297353CC}">
              <c16:uniqueId val="{00000003-4702-A944-A65C-91E7F55836E0}"/>
            </c:ext>
          </c:extLst>
        </c:ser>
        <c:ser>
          <c:idx val="6"/>
          <c:order val="6"/>
          <c:tx>
            <c:strRef>
              <c:f>Sheet3!$B$24</c:f>
              <c:strCache>
                <c:ptCount val="1"/>
                <c:pt idx="0">
                  <c:v>Kabare</c:v>
                </c:pt>
              </c:strCache>
            </c:strRef>
          </c:tx>
          <c:spPr>
            <a:ln w="28575" cap="rnd">
              <a:solidFill>
                <a:schemeClr val="dk1">
                  <a:tint val="80000"/>
                </a:schemeClr>
              </a:solidFill>
              <a:round/>
            </a:ln>
            <a:effectLst/>
          </c:spPr>
          <c:marker>
            <c:symbol val="none"/>
          </c:marker>
          <c:cat>
            <c:numRef>
              <c:f>Sheet3!$C$17:$H$17</c:f>
              <c:numCache>
                <c:formatCode>General</c:formatCode>
                <c:ptCount val="6"/>
                <c:pt idx="0">
                  <c:v>2012</c:v>
                </c:pt>
                <c:pt idx="1">
                  <c:v>2013</c:v>
                </c:pt>
                <c:pt idx="2">
                  <c:v>2014</c:v>
                </c:pt>
                <c:pt idx="3">
                  <c:v>2015</c:v>
                </c:pt>
                <c:pt idx="4">
                  <c:v>2016</c:v>
                </c:pt>
                <c:pt idx="5">
                  <c:v>2017</c:v>
                </c:pt>
              </c:numCache>
            </c:numRef>
          </c:cat>
          <c:val>
            <c:numRef>
              <c:f>Sheet3!$C$24:$H$24</c:f>
              <c:numCache>
                <c:formatCode>General</c:formatCode>
                <c:ptCount val="6"/>
                <c:pt idx="0">
                  <c:v>4</c:v>
                </c:pt>
                <c:pt idx="1">
                  <c:v>1</c:v>
                </c:pt>
                <c:pt idx="2">
                  <c:v>0</c:v>
                </c:pt>
                <c:pt idx="3">
                  <c:v>6</c:v>
                </c:pt>
                <c:pt idx="4">
                  <c:v>19</c:v>
                </c:pt>
                <c:pt idx="5">
                  <c:v>8</c:v>
                </c:pt>
              </c:numCache>
            </c:numRef>
          </c:val>
          <c:smooth val="0"/>
          <c:extLst>
            <c:ext xmlns:c16="http://schemas.microsoft.com/office/drawing/2014/chart" uri="{C3380CC4-5D6E-409C-BE32-E72D297353CC}">
              <c16:uniqueId val="{00000004-4702-A944-A65C-91E7F55836E0}"/>
            </c:ext>
          </c:extLst>
        </c:ser>
        <c:ser>
          <c:idx val="7"/>
          <c:order val="7"/>
          <c:tx>
            <c:strRef>
              <c:f>Sheet3!$B$25</c:f>
              <c:strCache>
                <c:ptCount val="1"/>
                <c:pt idx="0">
                  <c:v>Mwenga</c:v>
                </c:pt>
              </c:strCache>
            </c:strRef>
          </c:tx>
          <c:spPr>
            <a:ln w="28575" cap="rnd">
              <a:solidFill>
                <a:schemeClr val="dk1">
                  <a:tint val="88500"/>
                </a:schemeClr>
              </a:solidFill>
              <a:round/>
            </a:ln>
            <a:effectLst/>
          </c:spPr>
          <c:marker>
            <c:symbol val="none"/>
          </c:marker>
          <c:cat>
            <c:numRef>
              <c:f>Sheet3!$C$17:$H$17</c:f>
              <c:numCache>
                <c:formatCode>General</c:formatCode>
                <c:ptCount val="6"/>
                <c:pt idx="0">
                  <c:v>2012</c:v>
                </c:pt>
                <c:pt idx="1">
                  <c:v>2013</c:v>
                </c:pt>
                <c:pt idx="2">
                  <c:v>2014</c:v>
                </c:pt>
                <c:pt idx="3">
                  <c:v>2015</c:v>
                </c:pt>
                <c:pt idx="4">
                  <c:v>2016</c:v>
                </c:pt>
                <c:pt idx="5">
                  <c:v>2017</c:v>
                </c:pt>
              </c:numCache>
            </c:numRef>
          </c:cat>
          <c:val>
            <c:numRef>
              <c:f>Sheet3!$C$25:$H$25</c:f>
              <c:numCache>
                <c:formatCode>General</c:formatCode>
                <c:ptCount val="6"/>
                <c:pt idx="0">
                  <c:v>190</c:v>
                </c:pt>
                <c:pt idx="1">
                  <c:v>6</c:v>
                </c:pt>
                <c:pt idx="2">
                  <c:v>0</c:v>
                </c:pt>
                <c:pt idx="3">
                  <c:v>2</c:v>
                </c:pt>
                <c:pt idx="4">
                  <c:v>0</c:v>
                </c:pt>
                <c:pt idx="5">
                  <c:v>10</c:v>
                </c:pt>
              </c:numCache>
            </c:numRef>
          </c:val>
          <c:smooth val="0"/>
          <c:extLst>
            <c:ext xmlns:c16="http://schemas.microsoft.com/office/drawing/2014/chart" uri="{C3380CC4-5D6E-409C-BE32-E72D297353CC}">
              <c16:uniqueId val="{00000005-4702-A944-A65C-91E7F55836E0}"/>
            </c:ext>
          </c:extLst>
        </c:ser>
        <c:ser>
          <c:idx val="8"/>
          <c:order val="8"/>
          <c:tx>
            <c:strRef>
              <c:f>Sheet3!$B$26</c:f>
              <c:strCache>
                <c:ptCount val="1"/>
                <c:pt idx="0">
                  <c:v>Idwi</c:v>
                </c:pt>
              </c:strCache>
            </c:strRef>
          </c:tx>
          <c:spPr>
            <a:ln w="28575" cap="rnd">
              <a:solidFill>
                <a:schemeClr val="dk1">
                  <a:tint val="55000"/>
                </a:schemeClr>
              </a:solidFill>
              <a:round/>
            </a:ln>
            <a:effectLst/>
          </c:spPr>
          <c:marker>
            <c:symbol val="none"/>
          </c:marker>
          <c:cat>
            <c:numRef>
              <c:f>Sheet3!$C$17:$H$17</c:f>
              <c:numCache>
                <c:formatCode>General</c:formatCode>
                <c:ptCount val="6"/>
                <c:pt idx="0">
                  <c:v>2012</c:v>
                </c:pt>
                <c:pt idx="1">
                  <c:v>2013</c:v>
                </c:pt>
                <c:pt idx="2">
                  <c:v>2014</c:v>
                </c:pt>
                <c:pt idx="3">
                  <c:v>2015</c:v>
                </c:pt>
                <c:pt idx="4">
                  <c:v>2016</c:v>
                </c:pt>
                <c:pt idx="5">
                  <c:v>2017</c:v>
                </c:pt>
              </c:numCache>
            </c:numRef>
          </c:cat>
          <c:val>
            <c:numRef>
              <c:f>Sheet3!$C$26:$H$26</c:f>
              <c:numCache>
                <c:formatCode>General</c:formatCode>
                <c:ptCount val="6"/>
                <c:pt idx="0">
                  <c:v>0</c:v>
                </c:pt>
                <c:pt idx="1">
                  <c:v>0</c:v>
                </c:pt>
                <c:pt idx="2">
                  <c:v>0</c:v>
                </c:pt>
                <c:pt idx="3">
                  <c:v>0</c:v>
                </c:pt>
                <c:pt idx="4">
                  <c:v>0</c:v>
                </c:pt>
                <c:pt idx="5">
                  <c:v>0</c:v>
                </c:pt>
              </c:numCache>
            </c:numRef>
          </c:val>
          <c:smooth val="0"/>
          <c:extLst>
            <c:ext xmlns:c16="http://schemas.microsoft.com/office/drawing/2014/chart" uri="{C3380CC4-5D6E-409C-BE32-E72D297353CC}">
              <c16:uniqueId val="{00000006-4702-A944-A65C-91E7F55836E0}"/>
            </c:ext>
          </c:extLst>
        </c:ser>
        <c:dLbls>
          <c:showLegendKey val="0"/>
          <c:showVal val="0"/>
          <c:showCatName val="0"/>
          <c:showSerName val="0"/>
          <c:showPercent val="0"/>
          <c:showBubbleSize val="0"/>
        </c:dLbls>
        <c:marker val="1"/>
        <c:smooth val="0"/>
        <c:axId val="27263488"/>
        <c:axId val="27265264"/>
      </c:lineChart>
      <c:scatterChart>
        <c:scatterStyle val="lineMarker"/>
        <c:varyColors val="0"/>
        <c:ser>
          <c:idx val="2"/>
          <c:order val="2"/>
          <c:tx>
            <c:strRef>
              <c:f>Sheet3!$B$20</c:f>
              <c:strCache>
                <c:ptCount val="1"/>
                <c:pt idx="0">
                  <c:v>Walungu</c:v>
                </c:pt>
              </c:strCache>
            </c:strRef>
          </c:tx>
          <c:spPr>
            <a:ln w="28575" cap="rnd">
              <a:solidFill>
                <a:schemeClr val="dk1">
                  <a:tint val="75000"/>
                </a:schemeClr>
              </a:solidFill>
              <a:round/>
            </a:ln>
            <a:effectLst/>
          </c:spPr>
          <c:marker>
            <c:symbol val="circle"/>
            <c:size val="5"/>
            <c:spPr>
              <a:solidFill>
                <a:schemeClr val="dk1">
                  <a:tint val="75000"/>
                </a:schemeClr>
              </a:solidFill>
              <a:ln w="9525">
                <a:solidFill>
                  <a:schemeClr val="dk1">
                    <a:tint val="75000"/>
                  </a:schemeClr>
                </a:solidFill>
              </a:ln>
              <a:effectLst/>
            </c:spPr>
          </c:marker>
          <c:xVal>
            <c:numRef>
              <c:f>Sheet3!$C$17:$H$17</c:f>
              <c:numCache>
                <c:formatCode>General</c:formatCode>
                <c:ptCount val="6"/>
                <c:pt idx="0">
                  <c:v>2012</c:v>
                </c:pt>
                <c:pt idx="1">
                  <c:v>2013</c:v>
                </c:pt>
                <c:pt idx="2">
                  <c:v>2014</c:v>
                </c:pt>
                <c:pt idx="3">
                  <c:v>2015</c:v>
                </c:pt>
                <c:pt idx="4">
                  <c:v>2016</c:v>
                </c:pt>
                <c:pt idx="5">
                  <c:v>2017</c:v>
                </c:pt>
              </c:numCache>
            </c:numRef>
          </c:xVal>
          <c:yVal>
            <c:numRef>
              <c:f>Sheet3!$C$20:$H$20</c:f>
              <c:numCache>
                <c:formatCode>General</c:formatCode>
                <c:ptCount val="6"/>
                <c:pt idx="0">
                  <c:v>12</c:v>
                </c:pt>
                <c:pt idx="1">
                  <c:v>7</c:v>
                </c:pt>
                <c:pt idx="2">
                  <c:v>12</c:v>
                </c:pt>
                <c:pt idx="3">
                  <c:v>11</c:v>
                </c:pt>
                <c:pt idx="4">
                  <c:v>8</c:v>
                </c:pt>
                <c:pt idx="5">
                  <c:v>53</c:v>
                </c:pt>
              </c:numCache>
            </c:numRef>
          </c:yVal>
          <c:smooth val="0"/>
          <c:extLst>
            <c:ext xmlns:c16="http://schemas.microsoft.com/office/drawing/2014/chart" uri="{C3380CC4-5D6E-409C-BE32-E72D297353CC}">
              <c16:uniqueId val="{00000007-4702-A944-A65C-91E7F55836E0}"/>
            </c:ext>
          </c:extLst>
        </c:ser>
        <c:ser>
          <c:idx val="5"/>
          <c:order val="5"/>
          <c:tx>
            <c:strRef>
              <c:f>Sheet3!$B$23</c:f>
              <c:strCache>
                <c:ptCount val="1"/>
                <c:pt idx="0">
                  <c:v>Bukavu</c:v>
                </c:pt>
              </c:strCache>
            </c:strRef>
          </c:tx>
          <c:spPr>
            <a:ln w="28575" cap="rnd">
              <a:solidFill>
                <a:schemeClr val="dk1">
                  <a:tint val="60000"/>
                </a:schemeClr>
              </a:solidFill>
              <a:round/>
            </a:ln>
            <a:effectLst/>
          </c:spPr>
          <c:marker>
            <c:symbol val="circle"/>
            <c:size val="5"/>
            <c:spPr>
              <a:solidFill>
                <a:schemeClr val="dk1">
                  <a:tint val="60000"/>
                </a:schemeClr>
              </a:solidFill>
              <a:ln w="9525">
                <a:solidFill>
                  <a:schemeClr val="dk1">
                    <a:tint val="60000"/>
                  </a:schemeClr>
                </a:solidFill>
              </a:ln>
              <a:effectLst/>
            </c:spPr>
          </c:marker>
          <c:xVal>
            <c:numRef>
              <c:f>Sheet3!$C$17:$H$17</c:f>
              <c:numCache>
                <c:formatCode>General</c:formatCode>
                <c:ptCount val="6"/>
                <c:pt idx="0">
                  <c:v>2012</c:v>
                </c:pt>
                <c:pt idx="1">
                  <c:v>2013</c:v>
                </c:pt>
                <c:pt idx="2">
                  <c:v>2014</c:v>
                </c:pt>
                <c:pt idx="3">
                  <c:v>2015</c:v>
                </c:pt>
                <c:pt idx="4">
                  <c:v>2016</c:v>
                </c:pt>
                <c:pt idx="5">
                  <c:v>2017</c:v>
                </c:pt>
              </c:numCache>
            </c:numRef>
          </c:xVal>
          <c:yVal>
            <c:numRef>
              <c:f>Sheet3!$C$23:$H$23</c:f>
              <c:numCache>
                <c:formatCode>General</c:formatCode>
                <c:ptCount val="6"/>
                <c:pt idx="0">
                  <c:v>31</c:v>
                </c:pt>
                <c:pt idx="1">
                  <c:v>2</c:v>
                </c:pt>
                <c:pt idx="2">
                  <c:v>3</c:v>
                </c:pt>
                <c:pt idx="3">
                  <c:v>7</c:v>
                </c:pt>
                <c:pt idx="4">
                  <c:v>5</c:v>
                </c:pt>
                <c:pt idx="5">
                  <c:v>18</c:v>
                </c:pt>
              </c:numCache>
            </c:numRef>
          </c:yVal>
          <c:smooth val="0"/>
          <c:extLst>
            <c:ext xmlns:c16="http://schemas.microsoft.com/office/drawing/2014/chart" uri="{C3380CC4-5D6E-409C-BE32-E72D297353CC}">
              <c16:uniqueId val="{00000008-4702-A944-A65C-91E7F55836E0}"/>
            </c:ext>
          </c:extLst>
        </c:ser>
        <c:dLbls>
          <c:showLegendKey val="0"/>
          <c:showVal val="0"/>
          <c:showCatName val="0"/>
          <c:showSerName val="0"/>
          <c:showPercent val="0"/>
          <c:showBubbleSize val="0"/>
        </c:dLbls>
        <c:axId val="27269904"/>
        <c:axId val="27267584"/>
      </c:scatterChart>
      <c:catAx>
        <c:axId val="27263488"/>
        <c:scaling>
          <c:orientation val="minMax"/>
        </c:scaling>
        <c:delete val="0"/>
        <c:axPos val="b"/>
        <c:numFmt formatCode="General" sourceLinked="1"/>
        <c:majorTickMark val="none"/>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265264"/>
        <c:crosses val="autoZero"/>
        <c:auto val="1"/>
        <c:lblAlgn val="ctr"/>
        <c:lblOffset val="100"/>
        <c:noMultiLvlLbl val="0"/>
      </c:catAx>
      <c:valAx>
        <c:axId val="272652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263488"/>
        <c:crosses val="autoZero"/>
        <c:crossBetween val="between"/>
      </c:valAx>
      <c:valAx>
        <c:axId val="27267584"/>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269904"/>
        <c:crosses val="max"/>
        <c:crossBetween val="midCat"/>
      </c:valAx>
      <c:valAx>
        <c:axId val="27269904"/>
        <c:scaling>
          <c:orientation val="minMax"/>
        </c:scaling>
        <c:delete val="0"/>
        <c:axPos val="t"/>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267584"/>
        <c:crosses val="max"/>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4.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3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739C6-9D6C-9947-930E-58162F429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1140</Words>
  <Characters>6501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Espoir BWENGE</dc:creator>
  <cp:keywords/>
  <dc:description/>
  <cp:lastModifiedBy>Chiara Altare</cp:lastModifiedBy>
  <cp:revision>2</cp:revision>
  <dcterms:created xsi:type="dcterms:W3CDTF">2019-04-03T12:38:00Z</dcterms:created>
  <dcterms:modified xsi:type="dcterms:W3CDTF">2019-04-03T12:38:00Z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http://www.zotero.org/styles/biomed-central</vt:lpwstr>
  </property>
  <property fmtid="{D5CDD505-2E9C-101B-9397-08002B2CF9AE}" pid="7" name="Mendeley Recent Style Name 2_1">
    <vt:lpwstr>BioMed Central</vt:lpwstr>
  </property>
  <property fmtid="{D5CDD505-2E9C-101B-9397-08002B2CF9AE}" pid="8" name="Mendeley Recent Style Id 3_1">
    <vt:lpwstr>http://www.zotero.org/styles/chicago-note-bibliography</vt:lpwstr>
  </property>
  <property fmtid="{D5CDD505-2E9C-101B-9397-08002B2CF9AE}" pid="9" name="Mendeley Recent Style Name 3_1">
    <vt:lpwstr>Chicago Manual of Style 17th edition (note)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http://www.zotero.org/styles/national-library-of-medicine</vt:lpwstr>
  </property>
  <property fmtid="{D5CDD505-2E9C-101B-9397-08002B2CF9AE}" pid="19" name="Mendeley Recent Style Name 8_1">
    <vt:lpwstr>National Library of Medicine</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da70bad0-da3a-35c7-a30f-cc82fde3b3cf</vt:lpwstr>
  </property>
  <property fmtid="{D5CDD505-2E9C-101B-9397-08002B2CF9AE}" pid="24" name="Mendeley Citation Style_1">
    <vt:lpwstr>http://www.zotero.org/styles/biomed-central</vt:lpwstr>
  </property>
</Properties>
</file>