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945ED" w14:textId="5F196B40" w:rsidR="001E70BC" w:rsidRDefault="001E70BC" w:rsidP="00691934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Appendix A. LSWAY Measures </w:t>
      </w:r>
    </w:p>
    <w:p w14:paraId="678E875F" w14:textId="77777777" w:rsidR="002B5B7E" w:rsidRPr="001E70BC" w:rsidRDefault="002B5B7E" w:rsidP="00691934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130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0"/>
        <w:gridCol w:w="10620"/>
      </w:tblGrid>
      <w:tr w:rsidR="001E70BC" w:rsidRPr="001E70BC" w14:paraId="77EF8F19" w14:textId="77777777" w:rsidTr="001E70BC">
        <w:trPr>
          <w:trHeight w:val="288"/>
        </w:trPr>
        <w:tc>
          <w:tcPr>
            <w:tcW w:w="13050" w:type="dxa"/>
            <w:gridSpan w:val="2"/>
          </w:tcPr>
          <w:p w14:paraId="75DE9B0F" w14:textId="53AA8661" w:rsidR="001E70BC" w:rsidRPr="001E70BC" w:rsidRDefault="001E70BC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Index Subject/</w:t>
            </w: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Former child soldiers measures</w:t>
            </w:r>
          </w:p>
        </w:tc>
      </w:tr>
      <w:tr w:rsidR="001E70BC" w:rsidRPr="001E70BC" w14:paraId="4A4139D0" w14:textId="77777777" w:rsidTr="001E70BC">
        <w:trPr>
          <w:trHeight w:val="288"/>
        </w:trPr>
        <w:tc>
          <w:tcPr>
            <w:tcW w:w="2430" w:type="dxa"/>
          </w:tcPr>
          <w:p w14:paraId="6E42F798" w14:textId="77777777" w:rsidR="00D87B50" w:rsidRPr="001E70BC" w:rsidRDefault="00D87B50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Measures</w:t>
            </w:r>
          </w:p>
        </w:tc>
        <w:tc>
          <w:tcPr>
            <w:tcW w:w="10620" w:type="dxa"/>
          </w:tcPr>
          <w:p w14:paraId="78A41832" w14:textId="77777777" w:rsidR="00D87B50" w:rsidRPr="001E70BC" w:rsidRDefault="00D87B50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References</w:t>
            </w:r>
          </w:p>
        </w:tc>
      </w:tr>
      <w:tr w:rsidR="001E70BC" w:rsidRPr="001E70BC" w14:paraId="639DCB45" w14:textId="77777777" w:rsidTr="001E70BC">
        <w:trPr>
          <w:trHeight w:val="288"/>
        </w:trPr>
        <w:tc>
          <w:tcPr>
            <w:tcW w:w="2430" w:type="dxa"/>
          </w:tcPr>
          <w:p w14:paraId="7EF78984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Sampson’s Collective Efficacy Scale</w:t>
            </w:r>
          </w:p>
        </w:tc>
        <w:tc>
          <w:tcPr>
            <w:tcW w:w="10620" w:type="dxa"/>
          </w:tcPr>
          <w:p w14:paraId="5A900F0A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Sampson, R.J.,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Raudenbush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S.W., &amp; Earls, F. (1997). Neighborhoods and violent crime: a multilevel study of collective efficacy.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Science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277 (5328), 918-924.</w:t>
            </w:r>
          </w:p>
        </w:tc>
      </w:tr>
      <w:tr w:rsidR="001E70BC" w:rsidRPr="001E70BC" w14:paraId="24807B90" w14:textId="77777777" w:rsidTr="00332312">
        <w:trPr>
          <w:trHeight w:val="791"/>
        </w:trPr>
        <w:tc>
          <w:tcPr>
            <w:tcW w:w="2430" w:type="dxa"/>
          </w:tcPr>
          <w:p w14:paraId="138FCEA1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Hopkins Symptom Checklist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(HSCL)</w:t>
            </w:r>
          </w:p>
        </w:tc>
        <w:tc>
          <w:tcPr>
            <w:tcW w:w="10620" w:type="dxa"/>
          </w:tcPr>
          <w:p w14:paraId="092DCE58" w14:textId="3D51C941" w:rsidR="00D87B50" w:rsidRPr="00332312" w:rsidRDefault="00D87B50" w:rsidP="00332312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Derogatis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L.R., Lipman, R.S.,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Rickels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K.,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Uhlenhuth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E.H.,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Covi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L. (1974). The Hopkins Symptom Checklist (HSCL): a self-report symptom inventory.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Behavioral Science,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19(1), 1-15.</w:t>
            </w:r>
          </w:p>
        </w:tc>
      </w:tr>
      <w:tr w:rsidR="001E70BC" w:rsidRPr="001E70BC" w14:paraId="5E408F8E" w14:textId="77777777" w:rsidTr="001E70BC">
        <w:trPr>
          <w:trHeight w:val="1043"/>
        </w:trPr>
        <w:tc>
          <w:tcPr>
            <w:tcW w:w="2430" w:type="dxa"/>
          </w:tcPr>
          <w:p w14:paraId="5AC93C26" w14:textId="1ADB32B1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bookmarkStart w:id="0" w:name="_Toc15377525"/>
            <w:r w:rsidRPr="001E70BC">
              <w:rPr>
                <w:rFonts w:ascii="Palatino Linotype" w:hAnsi="Palatino Linotype"/>
                <w:sz w:val="22"/>
                <w:szCs w:val="22"/>
              </w:rPr>
              <w:t>Everyday Discrimination Scale</w:t>
            </w:r>
            <w:bookmarkEnd w:id="0"/>
          </w:p>
        </w:tc>
        <w:tc>
          <w:tcPr>
            <w:tcW w:w="10620" w:type="dxa"/>
          </w:tcPr>
          <w:p w14:paraId="0FFA24FF" w14:textId="10D9EA4B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Williams, D.R., Yu, Y., Jackson, J.S., Anderson, N.B. (1997). Racial differences in physical &amp; mental health: Socioeconomic status, stress, and discrimination.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Journal of Health Psychology,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2(3), 335-351.</w:t>
            </w:r>
          </w:p>
          <w:p w14:paraId="12FDFC64" w14:textId="77777777" w:rsidR="00A52072" w:rsidRPr="001E70BC" w:rsidRDefault="00A52072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0A6A0875" w14:textId="48DBCE45" w:rsidR="00D87B50" w:rsidRPr="001E70BC" w:rsidRDefault="00D87B50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Schulz, A. J., Israel, B.A.,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Zenk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S.N., et al. (2006). Psychosocial stress and social support as mediators of relationships between income, length of residence and depressive symptoms among African American women on Detroit's eastside.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Social Science &amp; Medicine,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62(2), 510-522.</w:t>
            </w:r>
          </w:p>
          <w:p w14:paraId="3385033C" w14:textId="77777777" w:rsidR="00A52072" w:rsidRPr="001E70BC" w:rsidRDefault="00A52072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20D31E5D" w14:textId="77777777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Siefert, K., Williams, D. R., Finlayson, T. L.,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Delva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J., &amp; Ismail, A.I.  (2007). Modifiable Risk and Protective Factors for Depressive Symptoms in Low-Income African American Mothers.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American Journal of Orthopsychiatry,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77(1), 113-123.</w:t>
            </w:r>
          </w:p>
        </w:tc>
      </w:tr>
      <w:tr w:rsidR="001E70BC" w:rsidRPr="001E70BC" w14:paraId="69913CF7" w14:textId="77777777" w:rsidTr="001E70BC">
        <w:trPr>
          <w:trHeight w:val="1043"/>
        </w:trPr>
        <w:tc>
          <w:tcPr>
            <w:tcW w:w="2430" w:type="dxa"/>
          </w:tcPr>
          <w:p w14:paraId="62EE884B" w14:textId="60DBA5F0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bookmarkStart w:id="1" w:name="_Toc15377528"/>
            <w:r w:rsidRPr="001E70BC">
              <w:rPr>
                <w:rFonts w:ascii="Palatino Linotype" w:hAnsi="Palatino Linotype"/>
                <w:sz w:val="22"/>
                <w:szCs w:val="22"/>
              </w:rPr>
              <w:t>Scale of Perceived Community Acceptance</w:t>
            </w:r>
            <w:bookmarkEnd w:id="1"/>
          </w:p>
        </w:tc>
        <w:tc>
          <w:tcPr>
            <w:tcW w:w="10620" w:type="dxa"/>
          </w:tcPr>
          <w:p w14:paraId="02469A11" w14:textId="77777777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Betancourt, T.S., Agnew-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Blais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J., Gilman, S.E., Williams, D.R., &amp; Ellis, B.H. (2010). Past horrors, present struggles: the </w:t>
            </w:r>
            <w:r w:rsidRPr="001E70BC">
              <w:rPr>
                <w:rFonts w:ascii="MS Mincho" w:eastAsia="MS Mincho" w:hAnsi="MS Mincho" w:cs="MS Mincho" w:hint="eastAsia"/>
                <w:bCs/>
                <w:sz w:val="22"/>
                <w:szCs w:val="22"/>
              </w:rPr>
              <w:t> 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role of stigma in the association between war experiences and psychosocial adjustment among former child soldiers in Sierra Leone.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Social Science &amp; Medicine,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70(1),17-26.</w:t>
            </w:r>
          </w:p>
        </w:tc>
      </w:tr>
      <w:tr w:rsidR="001E70BC" w:rsidRPr="001E70BC" w14:paraId="2E2E2111" w14:textId="77777777" w:rsidTr="001E70BC">
        <w:trPr>
          <w:trHeight w:val="278"/>
        </w:trPr>
        <w:tc>
          <w:tcPr>
            <w:tcW w:w="2430" w:type="dxa"/>
          </w:tcPr>
          <w:p w14:paraId="449E607D" w14:textId="6C77F361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  <w:lang w:eastAsia="zh-CN"/>
              </w:rPr>
            </w:pPr>
            <w:bookmarkStart w:id="2" w:name="_Toc15377531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Oxford Measure of Psychosocial Adjustment</w:t>
            </w:r>
            <w:bookmarkEnd w:id="2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 (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  <w:lang w:eastAsia="zh-CN"/>
              </w:rPr>
              <w:t>OMPA)</w:t>
            </w:r>
          </w:p>
        </w:tc>
        <w:tc>
          <w:tcPr>
            <w:tcW w:w="10620" w:type="dxa"/>
          </w:tcPr>
          <w:p w14:paraId="285DB67A" w14:textId="556916AB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MacMullin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&amp; Loughry, M. (2004). Investigating psychosocial adjustment of former child soldiers in Sierra Leone and Uganda.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Journal of Refugee Studies,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17(4), 460-472.</w:t>
            </w:r>
          </w:p>
        </w:tc>
      </w:tr>
      <w:tr w:rsidR="001E70BC" w:rsidRPr="001E70BC" w14:paraId="609EC4AE" w14:textId="77777777" w:rsidTr="001E70BC">
        <w:trPr>
          <w:trHeight w:val="288"/>
        </w:trPr>
        <w:tc>
          <w:tcPr>
            <w:tcW w:w="2430" w:type="dxa"/>
          </w:tcPr>
          <w:p w14:paraId="24F48971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Post Traumatic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Stress Disorder Reaction Index (PTSD-RI)</w:t>
            </w:r>
          </w:p>
        </w:tc>
        <w:tc>
          <w:tcPr>
            <w:tcW w:w="10620" w:type="dxa"/>
          </w:tcPr>
          <w:p w14:paraId="3D221C26" w14:textId="77777777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Steinberg, A. M.,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Brymer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M. J., Decker, K. B.,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Pynoos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R. S. (2004). The University of California at Los Angeles post-traumatic stress disorder reaction index. Current psychiatry reports, 6(2), 96-100.</w:t>
            </w:r>
          </w:p>
        </w:tc>
      </w:tr>
      <w:tr w:rsidR="001E70BC" w:rsidRPr="001E70BC" w14:paraId="1D5CA23D" w14:textId="77777777" w:rsidTr="001E70BC">
        <w:trPr>
          <w:trHeight w:val="288"/>
        </w:trPr>
        <w:tc>
          <w:tcPr>
            <w:tcW w:w="2430" w:type="dxa"/>
          </w:tcPr>
          <w:p w14:paraId="10FE8767" w14:textId="7E521925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3" w:name="_Toc15377549"/>
            <w:r w:rsidRPr="001E70BC">
              <w:rPr>
                <w:rFonts w:ascii="Palatino Linotype" w:hAnsi="Palatino Linotype"/>
                <w:sz w:val="22"/>
                <w:szCs w:val="22"/>
              </w:rPr>
              <w:t>Post-Traumatic Growth Inventory (PTGI)</w:t>
            </w:r>
            <w:bookmarkEnd w:id="3"/>
          </w:p>
        </w:tc>
        <w:tc>
          <w:tcPr>
            <w:tcW w:w="10620" w:type="dxa"/>
          </w:tcPr>
          <w:p w14:paraId="4BD09E7B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Tedeschi, R. G. &amp; Calhoun, L. G. (1996), The posttraumatic growth inventory: Measuring the positive legacy of trauma. J.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Traum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>. Stress, 9: 455–471.</w:t>
            </w:r>
          </w:p>
        </w:tc>
      </w:tr>
      <w:tr w:rsidR="001E70BC" w:rsidRPr="001E70BC" w14:paraId="71FFD9FF" w14:textId="77777777" w:rsidTr="001E70BC">
        <w:trPr>
          <w:trHeight w:val="288"/>
        </w:trPr>
        <w:tc>
          <w:tcPr>
            <w:tcW w:w="2430" w:type="dxa"/>
          </w:tcPr>
          <w:p w14:paraId="7F50AC03" w14:textId="345F0089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4" w:name="_Toc15377552"/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>Post-War Adversities Scale</w:t>
            </w:r>
            <w:bookmarkEnd w:id="4"/>
          </w:p>
        </w:tc>
        <w:tc>
          <w:tcPr>
            <w:tcW w:w="10620" w:type="dxa"/>
          </w:tcPr>
          <w:p w14:paraId="5FE51267" w14:textId="3B978779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Layne, C.M.,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Stuvland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R., Saltzman, W.,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Djapo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N.,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Pynoos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R.S. (1999).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Adolescent Post War Adversities Scale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: Unpublished instrument.</w:t>
            </w:r>
          </w:p>
        </w:tc>
      </w:tr>
      <w:tr w:rsidR="001E70BC" w:rsidRPr="001E70BC" w14:paraId="43418245" w14:textId="77777777" w:rsidTr="00332312">
        <w:trPr>
          <w:trHeight w:val="737"/>
        </w:trPr>
        <w:tc>
          <w:tcPr>
            <w:tcW w:w="2430" w:type="dxa"/>
          </w:tcPr>
          <w:p w14:paraId="63A85FDA" w14:textId="77DD7F63" w:rsidR="00D87B50" w:rsidRPr="001E70BC" w:rsidRDefault="00D87B50" w:rsidP="000E11B6">
            <w:pPr>
              <w:pStyle w:val="Heading1"/>
              <w:spacing w:before="0"/>
              <w:outlineLvl w:val="0"/>
              <w:rPr>
                <w:rFonts w:ascii="Palatino Linotype" w:hAnsi="Palatino Linotype" w:cs="Times New Roman"/>
                <w:b w:val="0"/>
                <w:color w:val="auto"/>
                <w:sz w:val="22"/>
                <w:szCs w:val="22"/>
              </w:rPr>
            </w:pPr>
            <w:bookmarkStart w:id="5" w:name="_Toc15377553"/>
            <w:r w:rsidRPr="001E70BC">
              <w:rPr>
                <w:rFonts w:ascii="Palatino Linotype" w:hAnsi="Palatino Linotype" w:cs="Times New Roman"/>
                <w:b w:val="0"/>
                <w:color w:val="auto"/>
                <w:sz w:val="22"/>
                <w:szCs w:val="22"/>
              </w:rPr>
              <w:t>Forgiveness Scale</w:t>
            </w:r>
            <w:bookmarkEnd w:id="5"/>
          </w:p>
          <w:p w14:paraId="4D721E36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</w:rPr>
            </w:pPr>
          </w:p>
        </w:tc>
        <w:tc>
          <w:tcPr>
            <w:tcW w:w="10620" w:type="dxa"/>
          </w:tcPr>
          <w:p w14:paraId="4B5627CB" w14:textId="53380F31" w:rsidR="00D87B50" w:rsidRPr="001E70BC" w:rsidRDefault="00D703CC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Toussaint, L. L., Williams, D. R.,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Musick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>, M. A., &amp; Everson, S. A. (2001). Forgiveness and health: Age differences i</w:t>
            </w:r>
            <w:bookmarkStart w:id="6" w:name="_GoBack"/>
            <w:bookmarkEnd w:id="6"/>
            <w:r w:rsidRPr="001E70BC">
              <w:rPr>
                <w:rFonts w:ascii="Palatino Linotype" w:hAnsi="Palatino Linotype"/>
                <w:sz w:val="22"/>
                <w:szCs w:val="22"/>
              </w:rPr>
              <w:t>n a US probability sample.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Journal of adult development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8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(4), 249-257.</w:t>
            </w:r>
          </w:p>
        </w:tc>
      </w:tr>
      <w:tr w:rsidR="001E70BC" w:rsidRPr="001E70BC" w14:paraId="2ADE0808" w14:textId="77777777" w:rsidTr="001E70BC">
        <w:trPr>
          <w:trHeight w:val="288"/>
        </w:trPr>
        <w:tc>
          <w:tcPr>
            <w:tcW w:w="2430" w:type="dxa"/>
          </w:tcPr>
          <w:p w14:paraId="0CE01B0F" w14:textId="06ACB5E0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7" w:name="_Toc15377557"/>
            <w:r w:rsidRPr="001E70BC">
              <w:rPr>
                <w:rFonts w:ascii="Palatino Linotype" w:hAnsi="Palatino Linotype"/>
                <w:sz w:val="22"/>
                <w:szCs w:val="22"/>
              </w:rPr>
              <w:t>Difficulties in Emotion Regulation Scale (DERS)</w:t>
            </w:r>
            <w:bookmarkEnd w:id="7"/>
          </w:p>
        </w:tc>
        <w:tc>
          <w:tcPr>
            <w:tcW w:w="10620" w:type="dxa"/>
          </w:tcPr>
          <w:p w14:paraId="7FF9BD3F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Gratz, K., &amp; Roemer, L. (2004). Multidimensional Assessment of Emotion Regulation and Dysregulation: Development, Factor Structure, and Initial Validation of the Difficulties in Emotion Regulation Scale.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Journal of Psychopathology and Behavioral Assessment,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26(1), 41-54.</w:t>
            </w:r>
          </w:p>
        </w:tc>
      </w:tr>
      <w:tr w:rsidR="001E70BC" w:rsidRPr="001E70BC" w14:paraId="64ECE514" w14:textId="77777777" w:rsidTr="001E70BC">
        <w:trPr>
          <w:trHeight w:val="288"/>
        </w:trPr>
        <w:tc>
          <w:tcPr>
            <w:tcW w:w="2430" w:type="dxa"/>
          </w:tcPr>
          <w:p w14:paraId="115F1407" w14:textId="765DAE79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8" w:name="_Toc15377560"/>
            <w:r w:rsidRPr="001E70BC">
              <w:rPr>
                <w:rFonts w:ascii="Palatino Linotype" w:hAnsi="Palatino Linotype"/>
                <w:sz w:val="22"/>
                <w:szCs w:val="22"/>
              </w:rPr>
              <w:t>Brief COPE Scale</w:t>
            </w:r>
            <w:bookmarkEnd w:id="8"/>
          </w:p>
        </w:tc>
        <w:tc>
          <w:tcPr>
            <w:tcW w:w="10620" w:type="dxa"/>
          </w:tcPr>
          <w:p w14:paraId="1FC1B296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Carver, C. (1997). You want to measure coping but your protocol’s too long: Consider the brief cope.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International Journal of Behavioral Medicine,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4(1), 92-100.</w:t>
            </w:r>
          </w:p>
        </w:tc>
      </w:tr>
      <w:tr w:rsidR="001E70BC" w:rsidRPr="001E70BC" w14:paraId="12EAAFD7" w14:textId="77777777" w:rsidTr="001E70BC">
        <w:trPr>
          <w:trHeight w:val="1646"/>
        </w:trPr>
        <w:tc>
          <w:tcPr>
            <w:tcW w:w="2430" w:type="dxa"/>
          </w:tcPr>
          <w:p w14:paraId="4B669975" w14:textId="1474171B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9" w:name="_Toc15377598"/>
            <w:r w:rsidRPr="001E70BC">
              <w:rPr>
                <w:rFonts w:ascii="Palatino Linotype" w:hAnsi="Palatino Linotype"/>
                <w:sz w:val="22"/>
                <w:szCs w:val="22"/>
              </w:rPr>
              <w:t>Brief RCOPE</w:t>
            </w:r>
            <w:bookmarkEnd w:id="9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(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religious coping)</w:t>
            </w:r>
          </w:p>
        </w:tc>
        <w:tc>
          <w:tcPr>
            <w:tcW w:w="10620" w:type="dxa"/>
          </w:tcPr>
          <w:p w14:paraId="6D74FA7E" w14:textId="56477E83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Pargament, K.,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Feuille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M.,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Burdzy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D. (2011). The Brief RCOPE: Current psychometric status of a short measure of religious coping. 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Religions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 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2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(1), 51-76.</w:t>
            </w:r>
          </w:p>
          <w:p w14:paraId="0FCD39DD" w14:textId="77777777" w:rsidR="00A52072" w:rsidRPr="001E70BC" w:rsidRDefault="00A52072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3BBAA24B" w14:textId="4F3197B2" w:rsidR="00D87B50" w:rsidRPr="001E70BC" w:rsidRDefault="00D87B50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Annan, J.,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Blattman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Carlson, K.,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Mazurana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D. (2007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  <w:lang w:eastAsia="zh-CN"/>
              </w:rPr>
              <w:t>)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The Survey of War Affected Youth: Making reintegration </w:t>
            </w:r>
            <w:r w:rsidRPr="001E70BC">
              <w:rPr>
                <w:rFonts w:ascii="MS Mincho" w:eastAsia="MS Mincho" w:hAnsi="MS Mincho" w:cs="MS Mincho" w:hint="eastAsia"/>
                <w:bCs/>
                <w:sz w:val="22"/>
                <w:szCs w:val="22"/>
              </w:rPr>
              <w:t> 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work for youth in northern Uganda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2007.</w:t>
            </w:r>
          </w:p>
          <w:p w14:paraId="3C955B49" w14:textId="77777777" w:rsidR="00A52072" w:rsidRPr="001E70BC" w:rsidRDefault="00A52072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01F0EE18" w14:textId="68519D60" w:rsidR="00D87B50" w:rsidRPr="001E70BC" w:rsidRDefault="00D87B50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Annan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  <w:lang w:eastAsia="zh-CN"/>
              </w:rPr>
              <w:t xml:space="preserve">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J.,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Blattman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Carlson, K.,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Mazurana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D. (2005). Survey of War-Affected Youth.</w:t>
            </w:r>
          </w:p>
        </w:tc>
      </w:tr>
      <w:tr w:rsidR="001E70BC" w:rsidRPr="001E70BC" w14:paraId="41E598D2" w14:textId="77777777" w:rsidTr="001E70BC">
        <w:trPr>
          <w:trHeight w:val="288"/>
        </w:trPr>
        <w:tc>
          <w:tcPr>
            <w:tcW w:w="2430" w:type="dxa"/>
          </w:tcPr>
          <w:p w14:paraId="5570AFEC" w14:textId="1162BA2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10" w:name="_Toc15377567"/>
            <w:r w:rsidRPr="001E70BC">
              <w:rPr>
                <w:rFonts w:ascii="Palatino Linotype" w:hAnsi="Palatino Linotype"/>
                <w:sz w:val="22"/>
                <w:szCs w:val="22"/>
              </w:rPr>
              <w:t>Measure of Functional Limitations</w:t>
            </w:r>
            <w:bookmarkEnd w:id="10"/>
          </w:p>
        </w:tc>
        <w:tc>
          <w:tcPr>
            <w:tcW w:w="10620" w:type="dxa"/>
          </w:tcPr>
          <w:p w14:paraId="2688FF92" w14:textId="6E7A600C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Adaptation of WHO – Disability Adjustment Scale to Sierra Leone based on qualitative data</w:t>
            </w:r>
            <w:r w:rsidR="00A52072" w:rsidRPr="001E70BC">
              <w:rPr>
                <w:rFonts w:ascii="Palatino Linotype" w:hAnsi="Palatino Linotype"/>
                <w:sz w:val="22"/>
                <w:szCs w:val="22"/>
              </w:rPr>
              <w:t>.</w:t>
            </w:r>
          </w:p>
          <w:p w14:paraId="67C39C13" w14:textId="77777777" w:rsidR="00A52072" w:rsidRPr="001E70BC" w:rsidRDefault="00A52072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70C1479F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World Health Organization (WHO). WHO Disability Assessment Schedule (WHO-DAS) 2.0. 2010.</w:t>
            </w:r>
          </w:p>
        </w:tc>
      </w:tr>
      <w:tr w:rsidR="001E70BC" w:rsidRPr="001E70BC" w14:paraId="7281B459" w14:textId="77777777" w:rsidTr="001E70BC">
        <w:trPr>
          <w:trHeight w:val="288"/>
        </w:trPr>
        <w:tc>
          <w:tcPr>
            <w:tcW w:w="2430" w:type="dxa"/>
          </w:tcPr>
          <w:p w14:paraId="3438ACA5" w14:textId="3A6B7F50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11" w:name="_Toc15377569"/>
            <w:r w:rsidRPr="001E70BC">
              <w:rPr>
                <w:rFonts w:ascii="Palatino Linotype" w:hAnsi="Palatino Linotype"/>
                <w:sz w:val="22"/>
                <w:szCs w:val="22"/>
              </w:rPr>
              <w:t>WHO-Disability Adjustment Scale</w:t>
            </w:r>
            <w:bookmarkEnd w:id="11"/>
          </w:p>
        </w:tc>
        <w:tc>
          <w:tcPr>
            <w:tcW w:w="10620" w:type="dxa"/>
          </w:tcPr>
          <w:p w14:paraId="186EECDE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World Health Organization (WHO). WHO Disability Assessment Schedule (WHO-DAS) 2.0. 2010.</w:t>
            </w:r>
          </w:p>
        </w:tc>
      </w:tr>
      <w:tr w:rsidR="001E70BC" w:rsidRPr="001E70BC" w14:paraId="255FF53A" w14:textId="77777777" w:rsidTr="001E70BC">
        <w:trPr>
          <w:trHeight w:val="288"/>
        </w:trPr>
        <w:tc>
          <w:tcPr>
            <w:tcW w:w="2430" w:type="dxa"/>
          </w:tcPr>
          <w:p w14:paraId="4E59D7BF" w14:textId="20A521EF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12" w:name="_Toc15377572"/>
            <w:r w:rsidRPr="001E70BC">
              <w:rPr>
                <w:rFonts w:ascii="Palatino Linotype" w:hAnsi="Palatino Linotype"/>
                <w:sz w:val="22"/>
                <w:szCs w:val="22"/>
              </w:rPr>
              <w:t>SWAY Parenting</w:t>
            </w:r>
            <w:bookmarkEnd w:id="12"/>
          </w:p>
        </w:tc>
        <w:tc>
          <w:tcPr>
            <w:tcW w:w="10620" w:type="dxa"/>
          </w:tcPr>
          <w:p w14:paraId="783CB970" w14:textId="5D1D1FCA" w:rsidR="00D87B50" w:rsidRPr="001E70BC" w:rsidRDefault="00D87B50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Annan, J.,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Blattman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Carlson, K.,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Mazurana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D. (2007).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The Survey of War Affected Youth: Making reintegration work for youth in northern Uganda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2007.</w:t>
            </w:r>
          </w:p>
          <w:p w14:paraId="4159613F" w14:textId="77777777" w:rsidR="00A52072" w:rsidRPr="001E70BC" w:rsidRDefault="00A52072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4CA30768" w14:textId="1E0F5DFE" w:rsidR="00D87B50" w:rsidRPr="001E70BC" w:rsidRDefault="00D87B50" w:rsidP="000E11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Annan, J.,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Blattman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Carlson, K.,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Mazurana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D. (2005). Survey of War-Affected Youth.</w:t>
            </w:r>
          </w:p>
        </w:tc>
      </w:tr>
      <w:tr w:rsidR="001E70BC" w:rsidRPr="001E70BC" w14:paraId="1BE4F6EF" w14:textId="77777777" w:rsidTr="001E70BC">
        <w:trPr>
          <w:trHeight w:val="288"/>
        </w:trPr>
        <w:tc>
          <w:tcPr>
            <w:tcW w:w="2430" w:type="dxa"/>
          </w:tcPr>
          <w:p w14:paraId="1E0AEE97" w14:textId="2E1D8CAD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13" w:name="_Toc15377575"/>
            <w:r w:rsidRPr="001E70BC">
              <w:rPr>
                <w:rFonts w:ascii="Palatino Linotype" w:hAnsi="Palatino Linotype"/>
                <w:sz w:val="22"/>
                <w:szCs w:val="22"/>
              </w:rPr>
              <w:t>Dyadic Adjustment Scale (DAS)</w:t>
            </w:r>
            <w:bookmarkEnd w:id="13"/>
          </w:p>
        </w:tc>
        <w:tc>
          <w:tcPr>
            <w:tcW w:w="10620" w:type="dxa"/>
          </w:tcPr>
          <w:p w14:paraId="3BD956D5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color w:val="1A1A1A"/>
                <w:sz w:val="22"/>
                <w:szCs w:val="22"/>
              </w:rPr>
              <w:t>Spanier</w:t>
            </w:r>
            <w:proofErr w:type="spellEnd"/>
            <w:r w:rsidRPr="001E70BC">
              <w:rPr>
                <w:rFonts w:ascii="Palatino Linotype" w:hAnsi="Palatino Linotype"/>
                <w:color w:val="1A1A1A"/>
                <w:sz w:val="22"/>
                <w:szCs w:val="22"/>
              </w:rPr>
              <w:t xml:space="preserve">, G. (1976). Measuring Dyadic Adjustment: New Scales for Assessing the Quality of Marriage and Similar Dyads. </w:t>
            </w:r>
            <w:r w:rsidRPr="001E70BC">
              <w:rPr>
                <w:rFonts w:ascii="Palatino Linotype" w:hAnsi="Palatino Linotype"/>
                <w:i/>
                <w:iCs/>
                <w:color w:val="1A1A1A"/>
                <w:sz w:val="22"/>
                <w:szCs w:val="22"/>
              </w:rPr>
              <w:t>Journal of Marriage and Family,</w:t>
            </w:r>
            <w:r w:rsidRPr="001E70BC">
              <w:rPr>
                <w:rFonts w:ascii="Palatino Linotype" w:hAnsi="Palatino Linotype"/>
                <w:color w:val="1A1A1A"/>
                <w:sz w:val="22"/>
                <w:szCs w:val="22"/>
              </w:rPr>
              <w:t xml:space="preserve"> </w:t>
            </w:r>
            <w:r w:rsidRPr="001E70BC">
              <w:rPr>
                <w:rFonts w:ascii="Palatino Linotype" w:hAnsi="Palatino Linotype"/>
                <w:i/>
                <w:iCs/>
                <w:color w:val="1A1A1A"/>
                <w:sz w:val="22"/>
                <w:szCs w:val="22"/>
              </w:rPr>
              <w:t>38</w:t>
            </w:r>
            <w:r w:rsidRPr="001E70BC">
              <w:rPr>
                <w:rFonts w:ascii="Palatino Linotype" w:hAnsi="Palatino Linotype"/>
                <w:color w:val="1A1A1A"/>
                <w:sz w:val="22"/>
                <w:szCs w:val="22"/>
              </w:rPr>
              <w:t>(1), 15-28.</w:t>
            </w:r>
          </w:p>
        </w:tc>
      </w:tr>
      <w:tr w:rsidR="001E70BC" w:rsidRPr="001E70BC" w14:paraId="3BF35B80" w14:textId="77777777" w:rsidTr="001E70BC">
        <w:trPr>
          <w:trHeight w:val="288"/>
        </w:trPr>
        <w:tc>
          <w:tcPr>
            <w:tcW w:w="2430" w:type="dxa"/>
          </w:tcPr>
          <w:p w14:paraId="29B095C7" w14:textId="5B513831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bookmarkStart w:id="14" w:name="_Toc15377578"/>
            <w:r w:rsidRPr="001E70BC">
              <w:rPr>
                <w:rFonts w:ascii="Palatino Linotype" w:hAnsi="Palatino Linotype"/>
                <w:sz w:val="22"/>
                <w:szCs w:val="22"/>
              </w:rPr>
              <w:t>Conflict Tactics Scales</w:t>
            </w:r>
            <w:bookmarkEnd w:id="14"/>
          </w:p>
        </w:tc>
        <w:tc>
          <w:tcPr>
            <w:tcW w:w="10620" w:type="dxa"/>
          </w:tcPr>
          <w:p w14:paraId="654A3344" w14:textId="6B65BE51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Straus, M.A.(1979). Measuring Intrafamily Conflict and Violence: The Conflict Tactics (CT) Scales.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Journal of Marriage and Family,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41(1), 75-88.</w:t>
            </w:r>
          </w:p>
          <w:p w14:paraId="3943122D" w14:textId="77777777" w:rsidR="00A52072" w:rsidRPr="001E70BC" w:rsidRDefault="00A52072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6A9D9F40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lastRenderedPageBreak/>
              <w:t xml:space="preserve">Moffitt, T.E., Caspi, A., Krueger, R.F., et al. (1997). Do partners agree about abuse in their relationship?: A psychometric evaluation of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interpartner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 agreement.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Psychological Assessment,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9(1), 47-56.</w:t>
            </w:r>
          </w:p>
        </w:tc>
      </w:tr>
      <w:tr w:rsidR="001E70BC" w:rsidRPr="001E70BC" w14:paraId="58796E53" w14:textId="77777777" w:rsidTr="001E70BC">
        <w:trPr>
          <w:trHeight w:val="288"/>
        </w:trPr>
        <w:tc>
          <w:tcPr>
            <w:tcW w:w="2430" w:type="dxa"/>
          </w:tcPr>
          <w:p w14:paraId="5A14006C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lastRenderedPageBreak/>
              <w:t xml:space="preserve">Adapted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Youth Risk Behavior Survey</w:t>
            </w:r>
          </w:p>
        </w:tc>
        <w:tc>
          <w:tcPr>
            <w:tcW w:w="10620" w:type="dxa"/>
          </w:tcPr>
          <w:p w14:paraId="27EC9C2C" w14:textId="6D19E733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Adu-Mireku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S. (2003). Family communication about HIV/AIDS and sexual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behaviour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 among senior secondary school students in Accra, Ghana. 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African Health Sciences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,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 3(1), 7-14.</w:t>
            </w:r>
          </w:p>
          <w:p w14:paraId="15C77ECC" w14:textId="77777777" w:rsidR="00A52072" w:rsidRPr="001E70BC" w:rsidRDefault="00A52072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3CB91E92" w14:textId="215827E9" w:rsidR="00D87B50" w:rsidRPr="001E70BC" w:rsidRDefault="00D87B50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Center for Disease Control. State and Local Youth Risk Behavior Survey. 2005; http://www.cdc.gov/HealthyYouth/yrbs/pdfs/2005highschoolquestionaire.pdf. Accessed October 30, 2006.</w:t>
            </w:r>
          </w:p>
          <w:p w14:paraId="4DFFDA47" w14:textId="77777777" w:rsidR="00A52072" w:rsidRPr="001E70BC" w:rsidRDefault="00A52072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</w:p>
          <w:p w14:paraId="24D69E08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Centers for Disease Control and Prevention. YRBSS: Youth Risk Behavior Surveillance System. Atlanta, GA: Centers for Disease Control and Prevention 1991.</w:t>
            </w:r>
          </w:p>
        </w:tc>
      </w:tr>
      <w:tr w:rsidR="001E70BC" w:rsidRPr="001E70BC" w14:paraId="4032AD9C" w14:textId="77777777" w:rsidTr="001E70BC">
        <w:trPr>
          <w:trHeight w:val="288"/>
        </w:trPr>
        <w:tc>
          <w:tcPr>
            <w:tcW w:w="2430" w:type="dxa"/>
          </w:tcPr>
          <w:p w14:paraId="642D404A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iCs/>
                <w:sz w:val="22"/>
                <w:szCs w:val="22"/>
              </w:rPr>
              <w:t>EVD Hardships and Daily Hassles</w:t>
            </w:r>
          </w:p>
        </w:tc>
        <w:tc>
          <w:tcPr>
            <w:tcW w:w="10620" w:type="dxa"/>
          </w:tcPr>
          <w:p w14:paraId="43500859" w14:textId="72AAB9B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Adapted to EVD based on the Post War Adversities Scale</w:t>
            </w:r>
            <w:r w:rsidR="00342BD1">
              <w:rPr>
                <w:rFonts w:ascii="Palatino Linotype" w:hAnsi="Palatino Linotype"/>
                <w:sz w:val="22"/>
                <w:szCs w:val="22"/>
              </w:rPr>
              <w:t xml:space="preserve">: </w:t>
            </w:r>
          </w:p>
          <w:p w14:paraId="705D23C8" w14:textId="6DC96DA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Layne, C.M.,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Stuvland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R., Saltzman, W.,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Djapo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N., &amp; </w:t>
            </w: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Pynoos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, R.S. (1999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  <w:lang w:eastAsia="zh-CN"/>
              </w:rPr>
              <w:t>).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Adolescent Post War Adversities Scale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: Unpublished instrument.</w:t>
            </w:r>
          </w:p>
        </w:tc>
      </w:tr>
      <w:tr w:rsidR="001E70BC" w:rsidRPr="001E70BC" w14:paraId="28F272BF" w14:textId="77777777" w:rsidTr="001E70BC">
        <w:trPr>
          <w:trHeight w:val="288"/>
        </w:trPr>
        <w:tc>
          <w:tcPr>
            <w:tcW w:w="2430" w:type="dxa"/>
          </w:tcPr>
          <w:p w14:paraId="3E5C83C2" w14:textId="77777777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iCs/>
                <w:sz w:val="22"/>
                <w:szCs w:val="22"/>
              </w:rPr>
              <w:t>Beliefs about Ebola</w:t>
            </w:r>
          </w:p>
        </w:tc>
        <w:tc>
          <w:tcPr>
            <w:tcW w:w="10620" w:type="dxa"/>
          </w:tcPr>
          <w:p w14:paraId="739B5400" w14:textId="50D58024" w:rsidR="00D87B50" w:rsidRPr="001E70BC" w:rsidRDefault="00D87B50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Duncan, L. A., Schaller, M., &amp; Park, J. H. (2009). Perceived vulnerability to disease: Development and validation of a 15-item self-report instrument.</w:t>
            </w:r>
            <w:r w:rsidR="00C63FFF" w:rsidRPr="001E70BC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Personality and Individual differences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47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(6), 541-546.</w:t>
            </w:r>
          </w:p>
        </w:tc>
      </w:tr>
    </w:tbl>
    <w:p w14:paraId="3536ECE4" w14:textId="56FA92EE" w:rsidR="007F7ACD" w:rsidRPr="001E70BC" w:rsidRDefault="007F7ACD" w:rsidP="00691934">
      <w:pPr>
        <w:rPr>
          <w:rFonts w:ascii="Palatino Linotype" w:hAnsi="Palatino Linotype"/>
          <w:sz w:val="22"/>
          <w:szCs w:val="22"/>
        </w:rPr>
      </w:pPr>
    </w:p>
    <w:p w14:paraId="529A62C4" w14:textId="77777777" w:rsidR="008274BF" w:rsidRPr="001E70BC" w:rsidRDefault="008274BF" w:rsidP="00691934">
      <w:pPr>
        <w:rPr>
          <w:rFonts w:ascii="Palatino Linotype" w:hAnsi="Palatino Linotype"/>
          <w:sz w:val="22"/>
          <w:szCs w:val="22"/>
        </w:rPr>
      </w:pP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2155"/>
        <w:gridCol w:w="1080"/>
        <w:gridCol w:w="1530"/>
        <w:gridCol w:w="8280"/>
      </w:tblGrid>
      <w:tr w:rsidR="001E70BC" w:rsidRPr="001E70BC" w14:paraId="45B40149" w14:textId="77777777" w:rsidTr="001E70BC">
        <w:trPr>
          <w:trHeight w:val="288"/>
        </w:trPr>
        <w:tc>
          <w:tcPr>
            <w:tcW w:w="13045" w:type="dxa"/>
            <w:gridSpan w:val="4"/>
          </w:tcPr>
          <w:p w14:paraId="72BFDDFC" w14:textId="3B8981DB" w:rsidR="001E70BC" w:rsidRPr="001E70BC" w:rsidRDefault="001E70BC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Offspring Measures</w:t>
            </w:r>
          </w:p>
        </w:tc>
      </w:tr>
      <w:tr w:rsidR="001E70BC" w:rsidRPr="001E70BC" w14:paraId="237EE01E" w14:textId="77777777" w:rsidTr="001E70BC">
        <w:trPr>
          <w:trHeight w:val="288"/>
        </w:trPr>
        <w:tc>
          <w:tcPr>
            <w:tcW w:w="2155" w:type="dxa"/>
          </w:tcPr>
          <w:p w14:paraId="4C4618C2" w14:textId="0A054115" w:rsidR="00ED300F" w:rsidRPr="001E70BC" w:rsidRDefault="00ED300F" w:rsidP="000E11B6">
            <w:pPr>
              <w:rPr>
                <w:rFonts w:ascii="Palatino Linotype" w:hAnsi="Palatino Linotype"/>
                <w:b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Measures</w:t>
            </w:r>
          </w:p>
        </w:tc>
        <w:tc>
          <w:tcPr>
            <w:tcW w:w="1080" w:type="dxa"/>
          </w:tcPr>
          <w:p w14:paraId="79F9EB05" w14:textId="7F0EE22C" w:rsidR="00ED300F" w:rsidRPr="001E70BC" w:rsidRDefault="00ED300F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Age (year)</w:t>
            </w:r>
          </w:p>
        </w:tc>
        <w:tc>
          <w:tcPr>
            <w:tcW w:w="1530" w:type="dxa"/>
          </w:tcPr>
          <w:p w14:paraId="4831BB19" w14:textId="4E18B1D2" w:rsidR="00ED300F" w:rsidRPr="001E70BC" w:rsidRDefault="00ED300F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Reporter</w:t>
            </w:r>
          </w:p>
        </w:tc>
        <w:tc>
          <w:tcPr>
            <w:tcW w:w="8280" w:type="dxa"/>
          </w:tcPr>
          <w:p w14:paraId="3F93C87B" w14:textId="10866212" w:rsidR="00ED300F" w:rsidRPr="001E70BC" w:rsidRDefault="00ED300F" w:rsidP="000E11B6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/>
                <w:sz w:val="22"/>
                <w:szCs w:val="22"/>
              </w:rPr>
              <w:t>References</w:t>
            </w:r>
          </w:p>
        </w:tc>
      </w:tr>
      <w:tr w:rsidR="001E70BC" w:rsidRPr="001E70BC" w14:paraId="648604D3" w14:textId="77777777" w:rsidTr="001E70BC">
        <w:trPr>
          <w:trHeight w:val="288"/>
        </w:trPr>
        <w:tc>
          <w:tcPr>
            <w:tcW w:w="2155" w:type="dxa"/>
          </w:tcPr>
          <w:p w14:paraId="2D6742CA" w14:textId="70DAF54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Home Observation For Measurement of the Home Environment</w:t>
            </w: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 xml:space="preserve"> (HOME-Uganda)</w:t>
            </w:r>
          </w:p>
        </w:tc>
        <w:tc>
          <w:tcPr>
            <w:tcW w:w="1080" w:type="dxa"/>
          </w:tcPr>
          <w:p w14:paraId="16B4EF99" w14:textId="4FEE1DD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5315CC91" w14:textId="324E53A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7B8626A8" w14:textId="0CAB6C3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Totsika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>, V., &amp; Sylva, K. (2004). The Home Observation for Measurement of the Environment Revisited, 9, 25-35.</w:t>
            </w:r>
          </w:p>
        </w:tc>
      </w:tr>
      <w:tr w:rsidR="001E70BC" w:rsidRPr="001E70BC" w14:paraId="4589ADEE" w14:textId="77777777" w:rsidTr="001E70BC">
        <w:trPr>
          <w:trHeight w:val="288"/>
        </w:trPr>
        <w:tc>
          <w:tcPr>
            <w:tcW w:w="2155" w:type="dxa"/>
          </w:tcPr>
          <w:p w14:paraId="0E76483B" w14:textId="7E766D1C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Observation of Mother-Child Interaction</w:t>
            </w: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 xml:space="preserve"> (OMCI)</w:t>
            </w:r>
          </w:p>
        </w:tc>
        <w:tc>
          <w:tcPr>
            <w:tcW w:w="1080" w:type="dxa"/>
          </w:tcPr>
          <w:p w14:paraId="6ABDBD2C" w14:textId="04485FA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2338C8E8" w14:textId="56BA371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3E61B5D6" w14:textId="71409AB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Rasheed, M.A., &amp; Yousafzai, A.K. (2013 September). The development and reliability testing of an observation tool for assessing mother-child interaction in field studies- Experience from Pakistan In: The 16th European Conference on Developmental Psychology, Lausanne, Switzerland</w:t>
            </w:r>
          </w:p>
        </w:tc>
      </w:tr>
      <w:tr w:rsidR="001E70BC" w:rsidRPr="001E70BC" w14:paraId="11801421" w14:textId="77777777" w:rsidTr="001E70BC">
        <w:trPr>
          <w:trHeight w:val="737"/>
        </w:trPr>
        <w:tc>
          <w:tcPr>
            <w:tcW w:w="2155" w:type="dxa"/>
          </w:tcPr>
          <w:p w14:paraId="44F8EC6E" w14:textId="56190356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Malawi Development Assessment Tool (MDAT)</w:t>
            </w:r>
          </w:p>
        </w:tc>
        <w:tc>
          <w:tcPr>
            <w:tcW w:w="1080" w:type="dxa"/>
          </w:tcPr>
          <w:p w14:paraId="1C931A7E" w14:textId="67896FB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56F8117A" w14:textId="40DFF1A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1A4CDB27" w14:textId="435E57F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Gladstone, M., Lancaster, G., Umar, E., et al. (2010). The Malawi Development Assessment Tool (MDAT): The Creation, Validation and Reliability of a Tool to Assess Child Development in Rural African Settings. </w:t>
            </w:r>
            <w:proofErr w:type="spellStart"/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PLoS</w:t>
            </w:r>
            <w:proofErr w:type="spellEnd"/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 xml:space="preserve"> Med, 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7(5), 1-14</w:t>
            </w:r>
          </w:p>
        </w:tc>
      </w:tr>
      <w:tr w:rsidR="001E70BC" w:rsidRPr="001E70BC" w14:paraId="5DEFD10A" w14:textId="77777777" w:rsidTr="001E70BC">
        <w:trPr>
          <w:trHeight w:val="288"/>
        </w:trPr>
        <w:tc>
          <w:tcPr>
            <w:tcW w:w="2155" w:type="dxa"/>
          </w:tcPr>
          <w:p w14:paraId="2BAF379E" w14:textId="1BC9D421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Preschool Self-Regulation Assessment (PSRA)</w:t>
            </w:r>
          </w:p>
        </w:tc>
        <w:tc>
          <w:tcPr>
            <w:tcW w:w="1080" w:type="dxa"/>
          </w:tcPr>
          <w:p w14:paraId="7BF57160" w14:textId="1E8EA8B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33196E8A" w14:textId="6A456E8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005FF755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The PSRA assessor report draws from previous work capturing assessors' global readings of children's regulation (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Roid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&amp; Miller, 1997;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Wakschlag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et al., 2005)</w:t>
            </w:r>
          </w:p>
          <w:p w14:paraId="5B5EC671" w14:textId="60498AD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05191BA0" w14:textId="77777777" w:rsidTr="001E70BC">
        <w:trPr>
          <w:trHeight w:val="288"/>
        </w:trPr>
        <w:tc>
          <w:tcPr>
            <w:tcW w:w="2155" w:type="dxa"/>
          </w:tcPr>
          <w:p w14:paraId="00C96A66" w14:textId="10880322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Parental Acceptance and Rejection Questionnaire Short Form (PARQ)</w:t>
            </w:r>
          </w:p>
        </w:tc>
        <w:tc>
          <w:tcPr>
            <w:tcW w:w="1080" w:type="dxa"/>
          </w:tcPr>
          <w:p w14:paraId="4A038B0B" w14:textId="04FC27F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04FA037C" w14:textId="2AB9F79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55B11255" w14:textId="696B013E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, R. P., &amp;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Khaleque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, A. (Eds.). (2005). 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Handbook for the Study of Parental Acceptance and Rejection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 (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4th </w:t>
            </w:r>
            <w:proofErr w:type="spellStart"/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ed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). Storrs, CT: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 Research Publications.</w:t>
            </w:r>
          </w:p>
        </w:tc>
      </w:tr>
      <w:tr w:rsidR="001E70BC" w:rsidRPr="001E70BC" w14:paraId="5E4812BC" w14:textId="77777777" w:rsidTr="001E70BC">
        <w:trPr>
          <w:trHeight w:val="288"/>
        </w:trPr>
        <w:tc>
          <w:tcPr>
            <w:tcW w:w="2155" w:type="dxa"/>
          </w:tcPr>
          <w:p w14:paraId="28978678" w14:textId="3060F61E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Adapted UNICEF Multiple Indicator Cluster Survey (MICS)</w:t>
            </w:r>
          </w:p>
        </w:tc>
        <w:tc>
          <w:tcPr>
            <w:tcW w:w="1080" w:type="dxa"/>
          </w:tcPr>
          <w:p w14:paraId="580E6097" w14:textId="70E1539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3A9C6722" w14:textId="558E640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4463E69D" w14:textId="2B5A55AE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UNICEF. Child Disciplinary Practices at Home. </w:t>
            </w:r>
            <w:r w:rsidRPr="001E70BC">
              <w:rPr>
                <w:rFonts w:ascii="Palatino Linotype" w:hAnsi="Palatino Linotype"/>
                <w:color w:val="333333"/>
                <w:sz w:val="22"/>
                <w:szCs w:val="22"/>
                <w:shd w:val="clear" w:color="auto" w:fill="FFFFFF"/>
              </w:rPr>
              <w:t>Retrieved July 16, 2020, from </w:t>
            </w:r>
            <w:hyperlink r:id="rId4" w:history="1">
              <w:r w:rsidRPr="001E70BC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https://www.unicef.org/protection/Child_Disciplinary_Practices_at_Home.pdf</w:t>
              </w:r>
            </w:hyperlink>
          </w:p>
          <w:p w14:paraId="7003D67B" w14:textId="50EA379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4ADB0345" w14:textId="77777777" w:rsidTr="001E70BC">
        <w:trPr>
          <w:trHeight w:val="288"/>
        </w:trPr>
        <w:tc>
          <w:tcPr>
            <w:tcW w:w="2155" w:type="dxa"/>
          </w:tcPr>
          <w:p w14:paraId="15CE3E61" w14:textId="30630007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Ages and Stages Questionnaire (ASQ)</w:t>
            </w:r>
          </w:p>
        </w:tc>
        <w:tc>
          <w:tcPr>
            <w:tcW w:w="1080" w:type="dxa"/>
          </w:tcPr>
          <w:p w14:paraId="243BBD79" w14:textId="541BE9D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22E08135" w14:textId="4B58FC68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2AEB4B4A" w14:textId="45A6A752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American Academy of Pediatrics. (2001). Developmental Surveillance and Screening of Infants and Young Children.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Pediatrics, 108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(1), 192–196.</w:t>
            </w:r>
          </w:p>
          <w:p w14:paraId="256DE03D" w14:textId="77777777" w:rsidR="00EC460B" w:rsidRPr="001E70BC" w:rsidRDefault="00EC460B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5DC00794" w14:textId="034049C6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American Academy of Pediatrics. (2006). Identifying Infants and Young Children with Developmental Disorders in the Medical Home: An Algorithm for Developmental Surveillance and Screening.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Pediatrics, 118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 405–420.</w:t>
            </w:r>
          </w:p>
          <w:p w14:paraId="545ADA97" w14:textId="77777777" w:rsidR="00EC460B" w:rsidRPr="001E70BC" w:rsidRDefault="00EC460B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441A3302" w14:textId="3C80AC66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Beam, M.,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Paré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E.,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Schellenbach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C., Kaiser, A., Murphy, M., (2015). Early Developmental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Screeinng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in High-Risk Communities: Implications for Research and Child Welfare Policy.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 xml:space="preserve">The Advanced Generalist: Social Work Research Journal, 1(3/4),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18-3</w:t>
            </w:r>
          </w:p>
          <w:p w14:paraId="2F6291DC" w14:textId="77777777" w:rsidR="00EC460B" w:rsidRPr="001E70BC" w:rsidRDefault="00EC460B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400E95E" w14:textId="73825F5D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Hanig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K. M. (2010). Review of Ages &amp; Stages Questionnaires®: A Parent-Completed Child Monitoring System. In R. A. Spies, J. F. Carlson, &amp; K. F.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 xml:space="preserve">Geisinger (Eds.),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The eighteenth mental measurements yearbook,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10–13. Lincoln, NE: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Buros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Institute of Mental Measurements.</w:t>
            </w:r>
          </w:p>
          <w:p w14:paraId="6B9166B2" w14:textId="77777777" w:rsidR="00EC460B" w:rsidRPr="001E70BC" w:rsidRDefault="00EC460B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656E12FB" w14:textId="7ED1F5CE" w:rsidR="000E11B6" w:rsidRPr="001E70BC" w:rsidRDefault="000E11B6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Squires, J., Bricker, D., &amp; Potter, L. (1997). Revision of a parent-completed developmental screening tool: Ages and Stages Questionnaires.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Journal of pediatric psychology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22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(3), 313-328.</w:t>
            </w:r>
          </w:p>
        </w:tc>
      </w:tr>
      <w:tr w:rsidR="001E70BC" w:rsidRPr="001E70BC" w14:paraId="3845DC19" w14:textId="77777777" w:rsidTr="001E70BC">
        <w:trPr>
          <w:trHeight w:val="288"/>
        </w:trPr>
        <w:tc>
          <w:tcPr>
            <w:tcW w:w="2155" w:type="dxa"/>
          </w:tcPr>
          <w:p w14:paraId="4D76BC79" w14:textId="36E5E722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Ages and Stages Questionnaire Social and Emotional (ASQ - SE)</w:t>
            </w:r>
          </w:p>
        </w:tc>
        <w:tc>
          <w:tcPr>
            <w:tcW w:w="1080" w:type="dxa"/>
          </w:tcPr>
          <w:p w14:paraId="5F294FE3" w14:textId="0EFAE87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4EEAA0D0" w14:textId="0E079B7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7F26623E" w14:textId="0B955874" w:rsidR="00592E83" w:rsidRPr="001E70BC" w:rsidRDefault="00592E83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Squires, J., Bricker, D., &amp; Twombly, E. (2002).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 xml:space="preserve">The ASQ:SE user’s guide.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Baltimore, MD: Paul H. Brookes Publishing Co.</w:t>
            </w:r>
          </w:p>
          <w:p w14:paraId="7B6F04D9" w14:textId="77777777" w:rsidR="00A52072" w:rsidRPr="001E70BC" w:rsidRDefault="00A52072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368D87D" w14:textId="6FC9F35A" w:rsidR="00ED300F" w:rsidRPr="001E70BC" w:rsidRDefault="000E11B6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Squires, J., Bricker, D., &amp; Potter, L. (1997). Revision of a parent-completed developmental screening tool: Ages and Stages Questionnaires.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Journal of pediatric psychology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22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(3), 313-328.</w:t>
            </w:r>
          </w:p>
        </w:tc>
      </w:tr>
      <w:tr w:rsidR="001E70BC" w:rsidRPr="001E70BC" w14:paraId="3042215E" w14:textId="77777777" w:rsidTr="001E70BC">
        <w:trPr>
          <w:trHeight w:val="288"/>
        </w:trPr>
        <w:tc>
          <w:tcPr>
            <w:tcW w:w="2155" w:type="dxa"/>
          </w:tcPr>
          <w:p w14:paraId="62E531B6" w14:textId="33108CCE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MacArthur-Bates Communicative Development Inventories SL Adaptation (CDI)</w:t>
            </w:r>
          </w:p>
        </w:tc>
        <w:tc>
          <w:tcPr>
            <w:tcW w:w="1080" w:type="dxa"/>
          </w:tcPr>
          <w:p w14:paraId="0DB0F607" w14:textId="26D71C3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58DB1507" w14:textId="568ED4D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2CC22CEC" w14:textId="3C160D9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Fenson</w:t>
            </w:r>
            <w:proofErr w:type="spellEnd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, L. (2007).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MacArthur-Bates communicative development inventories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. Baltimore, MD: Paul H. Brookes Publishing Company.</w:t>
            </w:r>
          </w:p>
        </w:tc>
      </w:tr>
      <w:tr w:rsidR="001E70BC" w:rsidRPr="001E70BC" w14:paraId="0FD76C9F" w14:textId="77777777" w:rsidTr="001E70BC">
        <w:trPr>
          <w:trHeight w:val="288"/>
        </w:trPr>
        <w:tc>
          <w:tcPr>
            <w:tcW w:w="2155" w:type="dxa"/>
          </w:tcPr>
          <w:p w14:paraId="15A32BED" w14:textId="0CDFDE75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Child Behavior Checklist (CBCL)</w:t>
            </w:r>
          </w:p>
        </w:tc>
        <w:tc>
          <w:tcPr>
            <w:tcW w:w="1080" w:type="dxa"/>
          </w:tcPr>
          <w:p w14:paraId="2FD8D17B" w14:textId="358B7C5B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0-2.9</w:t>
            </w:r>
          </w:p>
        </w:tc>
        <w:tc>
          <w:tcPr>
            <w:tcW w:w="1530" w:type="dxa"/>
          </w:tcPr>
          <w:p w14:paraId="2BE91FDF" w14:textId="3F431C2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3C5CBA85" w14:textId="4F0ECCC3" w:rsidR="00ED300F" w:rsidRPr="001E70BC" w:rsidRDefault="00ED300F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Achenbach, T.M., &amp; Rescorla, L.A. (2000).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Manual for the ASEBA Preschool forms and Profiles.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 Burlington, VT: University of Vermont Department of Psychiatry.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05D241A4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</w:p>
          <w:p w14:paraId="4C6C56A2" w14:textId="6E2CDA29" w:rsidR="00ED300F" w:rsidRPr="001E70BC" w:rsidRDefault="00ED300F" w:rsidP="00EC460B">
            <w:pPr>
              <w:ind w:right="144"/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</w:pP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Achenbach, T.M., &amp; Rescorla, L. A. (2001).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Manual for the ASEBA School-Age Forms and Profiles.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 Burlington, VT: University of Vermont, Research Center for Children, Youth, and Families.</w:t>
            </w:r>
          </w:p>
          <w:p w14:paraId="49BA4FD4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</w:p>
          <w:p w14:paraId="0BEFF6B0" w14:textId="0EAF8501" w:rsidR="00ED300F" w:rsidRPr="001E70BC" w:rsidRDefault="00ED300F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Achenbach, T. M., &amp; Ruffle, T. M. (2000). The child behavior checklist and related forms for assessing behavioral/emotional problems and competencies. Pediatrics in Review, 21, 265–271.</w:t>
            </w:r>
          </w:p>
        </w:tc>
      </w:tr>
      <w:tr w:rsidR="001E70BC" w:rsidRPr="001E70BC" w14:paraId="0589F734" w14:textId="77777777" w:rsidTr="001E70BC">
        <w:trPr>
          <w:trHeight w:val="288"/>
        </w:trPr>
        <w:tc>
          <w:tcPr>
            <w:tcW w:w="2155" w:type="dxa"/>
          </w:tcPr>
          <w:p w14:paraId="67388362" w14:textId="20DF544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 xml:space="preserve">Home Observation For Measurement of the Home Environment </w:t>
            </w: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(</w:t>
            </w: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HOME-South Africa)</w:t>
            </w:r>
          </w:p>
        </w:tc>
        <w:tc>
          <w:tcPr>
            <w:tcW w:w="1080" w:type="dxa"/>
          </w:tcPr>
          <w:p w14:paraId="7554A121" w14:textId="59CBC57E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>3-6.9</w:t>
            </w:r>
          </w:p>
        </w:tc>
        <w:tc>
          <w:tcPr>
            <w:tcW w:w="1530" w:type="dxa"/>
          </w:tcPr>
          <w:p w14:paraId="08FBCFFB" w14:textId="7C40D46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0CFED26D" w14:textId="77777777" w:rsidR="00ED300F" w:rsidRPr="001E70BC" w:rsidRDefault="00C63FF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Bradley, R.F.,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Corwyn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>, R. F., &amp; Whiteside-Mansell</w:t>
            </w:r>
            <w:r w:rsidR="00A52072" w:rsidRPr="001E70BC">
              <w:rPr>
                <w:rFonts w:ascii="Palatino Linotype" w:hAnsi="Palatino Linotype"/>
                <w:sz w:val="22"/>
                <w:szCs w:val="22"/>
              </w:rPr>
              <w:t xml:space="preserve">. (1996). Life at Home: Same time, different places- an examination of the HOME Inventory in different cultures. </w:t>
            </w:r>
            <w:r w:rsidR="00A52072" w:rsidRPr="001E70BC">
              <w:rPr>
                <w:rFonts w:ascii="Palatino Linotype" w:hAnsi="Palatino Linotype"/>
                <w:i/>
                <w:sz w:val="22"/>
                <w:szCs w:val="22"/>
              </w:rPr>
              <w:t>Early Development and Parenting</w:t>
            </w:r>
            <w:r w:rsidR="00A52072" w:rsidRPr="001E70BC">
              <w:rPr>
                <w:rFonts w:ascii="Palatino Linotype" w:hAnsi="Palatino Linotype"/>
                <w:sz w:val="22"/>
                <w:szCs w:val="22"/>
              </w:rPr>
              <w:t>, 5(</w:t>
            </w:r>
            <w:r w:rsidR="00A52072" w:rsidRPr="001E70BC">
              <w:rPr>
                <w:rFonts w:ascii="Palatino Linotype" w:hAnsi="Palatino Linotype"/>
                <w:i/>
                <w:sz w:val="22"/>
                <w:szCs w:val="22"/>
              </w:rPr>
              <w:t>4</w:t>
            </w:r>
            <w:r w:rsidR="00A52072" w:rsidRPr="001E70BC">
              <w:rPr>
                <w:rFonts w:ascii="Palatino Linotype" w:hAnsi="Palatino Linotype"/>
                <w:sz w:val="22"/>
                <w:szCs w:val="22"/>
              </w:rPr>
              <w:t xml:space="preserve">) 251-269. </w:t>
            </w:r>
          </w:p>
          <w:p w14:paraId="4A89E97C" w14:textId="77777777" w:rsidR="00A52072" w:rsidRPr="001E70BC" w:rsidRDefault="00A52072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DF1850D" w14:textId="5C43AC26" w:rsidR="00A52072" w:rsidRPr="001E70BC" w:rsidRDefault="00A52072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 xml:space="preserve">Caldwell, B. M. &amp; Bradley, R. H. (2001).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HOME Inventory Administration Manual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. Little Rock: University of Arkansas at Little Rock. </w:t>
            </w:r>
          </w:p>
        </w:tc>
      </w:tr>
      <w:tr w:rsidR="001E70BC" w:rsidRPr="001E70BC" w14:paraId="46062039" w14:textId="77777777" w:rsidTr="001E70BC">
        <w:trPr>
          <w:trHeight w:val="288"/>
        </w:trPr>
        <w:tc>
          <w:tcPr>
            <w:tcW w:w="2155" w:type="dxa"/>
          </w:tcPr>
          <w:p w14:paraId="6E81AFC0" w14:textId="2055D744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Observation of Mother-Child Interaction</w:t>
            </w: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 xml:space="preserve"> (OMCI)</w:t>
            </w:r>
          </w:p>
        </w:tc>
        <w:tc>
          <w:tcPr>
            <w:tcW w:w="1080" w:type="dxa"/>
          </w:tcPr>
          <w:p w14:paraId="4AE68238" w14:textId="43A628E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51AB6E41" w14:textId="4E72E26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3D9631ED" w14:textId="534B903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Rasheed, M.A., &amp; Yousafzai, A.K. (2013 September). The development and reliability testing of an observation tool for assessing mother-child interaction in field studies- Experience from Pakistan In: The 16th European Conference on Developmental Psychology, Lausanne, Switzerland</w:t>
            </w:r>
          </w:p>
        </w:tc>
      </w:tr>
      <w:tr w:rsidR="001E70BC" w:rsidRPr="001E70BC" w14:paraId="7D1B51C2" w14:textId="77777777" w:rsidTr="001E70BC">
        <w:trPr>
          <w:trHeight w:val="288"/>
        </w:trPr>
        <w:tc>
          <w:tcPr>
            <w:tcW w:w="2155" w:type="dxa"/>
          </w:tcPr>
          <w:p w14:paraId="5F3517F7" w14:textId="1830135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Malawi Development Assessment Tool (MDAT)</w:t>
            </w:r>
          </w:p>
        </w:tc>
        <w:tc>
          <w:tcPr>
            <w:tcW w:w="1080" w:type="dxa"/>
          </w:tcPr>
          <w:p w14:paraId="16190C13" w14:textId="587C7F8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0F9D8BFE" w14:textId="2863DC6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0055F818" w14:textId="1E93913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 xml:space="preserve">Gladstone, M., Lancaster, G. A., Umar, E., Nyirenda, M., </w:t>
            </w:r>
            <w:proofErr w:type="spellStart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Kayira</w:t>
            </w:r>
            <w:proofErr w:type="spellEnd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 xml:space="preserve">, E., van den </w:t>
            </w:r>
            <w:proofErr w:type="spellStart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Broek</w:t>
            </w:r>
            <w:proofErr w:type="spellEnd"/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, N. R., &amp; Smyth, R. L. (2010). The Malawi Developmental Assessment Tool (MDAT): the creation, validation, and reliability of a tool to assess child development in rural African settings. </w:t>
            </w:r>
            <w:proofErr w:type="spellStart"/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PLoS</w:t>
            </w:r>
            <w:proofErr w:type="spellEnd"/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Med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7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(5), e1000273.</w:t>
            </w:r>
          </w:p>
        </w:tc>
      </w:tr>
      <w:tr w:rsidR="001E70BC" w:rsidRPr="001E70BC" w14:paraId="60A6A85E" w14:textId="77777777" w:rsidTr="001E70BC">
        <w:trPr>
          <w:trHeight w:val="288"/>
        </w:trPr>
        <w:tc>
          <w:tcPr>
            <w:tcW w:w="2155" w:type="dxa"/>
          </w:tcPr>
          <w:p w14:paraId="7A5896C2" w14:textId="0762969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Preschool Self-Regulation Assessment (PSRA)</w:t>
            </w:r>
          </w:p>
        </w:tc>
        <w:tc>
          <w:tcPr>
            <w:tcW w:w="1080" w:type="dxa"/>
          </w:tcPr>
          <w:p w14:paraId="0C8DC634" w14:textId="3B348AA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502AAB66" w14:textId="1A0A957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02610DB4" w14:textId="77777777" w:rsidR="003C7D93" w:rsidRPr="001E70BC" w:rsidRDefault="003C7D93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Smith-Donald, R., Raver, C. C., Hayes, T., &amp; Richardson, B. (2007). Preliminary construct and concurrent validity of the Preschool Self-regulation Assessment (PSRA) for field-based research. 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Early Childhood Research Quarterly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1E70BC">
              <w:rPr>
                <w:rFonts w:ascii="Palatino Linotype" w:hAnsi="Palatino Linotype"/>
                <w:i/>
                <w:iCs/>
                <w:sz w:val="22"/>
                <w:szCs w:val="22"/>
              </w:rPr>
              <w:t>22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(2), 173–187. </w:t>
            </w:r>
            <w:hyperlink r:id="rId5" w:history="1">
              <w:r w:rsidRPr="001E70BC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https://doi.org/10.1016/j.ecresq.2007.01.002</w:t>
              </w:r>
            </w:hyperlink>
          </w:p>
          <w:p w14:paraId="14D23E24" w14:textId="2A00A41D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328AFCD0" w14:textId="77777777" w:rsidTr="001E70BC">
        <w:trPr>
          <w:trHeight w:val="288"/>
        </w:trPr>
        <w:tc>
          <w:tcPr>
            <w:tcW w:w="2155" w:type="dxa"/>
          </w:tcPr>
          <w:p w14:paraId="57EAC5B3" w14:textId="4B57F0A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The Early Grade Reading Assessment  (EGRA)</w:t>
            </w:r>
          </w:p>
        </w:tc>
        <w:tc>
          <w:tcPr>
            <w:tcW w:w="1080" w:type="dxa"/>
          </w:tcPr>
          <w:p w14:paraId="3D8E1A82" w14:textId="69B7D5C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2A88A4F7" w14:textId="2313AA8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34802151" w14:textId="7A0CBC4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ACER (March 2014). The Early Grade Reading Assessment: Assessing children's acquisition of basic literacy skills in developing countries. Assessment GEMs no.2. Melbourne: ACER</w:t>
            </w:r>
          </w:p>
        </w:tc>
      </w:tr>
      <w:tr w:rsidR="001E70BC" w:rsidRPr="001E70BC" w14:paraId="61C6FAA0" w14:textId="77777777" w:rsidTr="001E70BC">
        <w:trPr>
          <w:trHeight w:val="288"/>
        </w:trPr>
        <w:tc>
          <w:tcPr>
            <w:tcW w:w="2155" w:type="dxa"/>
          </w:tcPr>
          <w:p w14:paraId="0014DB91" w14:textId="6292126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The Early Grade Math Assessment  (EGMA)</w:t>
            </w:r>
          </w:p>
        </w:tc>
        <w:tc>
          <w:tcPr>
            <w:tcW w:w="1080" w:type="dxa"/>
          </w:tcPr>
          <w:p w14:paraId="67A65808" w14:textId="4C90F41B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035F9741" w14:textId="4480CEE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6C2BA788" w14:textId="2C48CB2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ACER (March 2014). The Early Grade Reading Assessment: Assessing children's acquisition of basic literacy skills in developing countries. Assessment GEMs no.2. Melbourne: ACER</w:t>
            </w:r>
          </w:p>
        </w:tc>
      </w:tr>
      <w:tr w:rsidR="001E70BC" w:rsidRPr="001E70BC" w14:paraId="2917DBFC" w14:textId="77777777" w:rsidTr="001E70BC">
        <w:trPr>
          <w:trHeight w:val="288"/>
        </w:trPr>
        <w:tc>
          <w:tcPr>
            <w:tcW w:w="2155" w:type="dxa"/>
          </w:tcPr>
          <w:p w14:paraId="25A91EE5" w14:textId="39520BF2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Parental Acceptance and Rejection Questionnaire Short Form (PARQ)</w:t>
            </w:r>
          </w:p>
        </w:tc>
        <w:tc>
          <w:tcPr>
            <w:tcW w:w="1080" w:type="dxa"/>
          </w:tcPr>
          <w:p w14:paraId="6413105B" w14:textId="2BB6BA04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4A6752BE" w14:textId="1C0AFEB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7BC3FEEE" w14:textId="3E79532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 xml:space="preserve">, R. P., &amp;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Khaleque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, A. (Eds.). (2005). 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Handbook for the Study of Parental Acceptance and Rejection</w:t>
            </w:r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 (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 xml:space="preserve">4th </w:t>
            </w:r>
            <w:proofErr w:type="spellStart"/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ed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 xml:space="preserve">). Storrs, CT: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  <w:shd w:val="clear" w:color="auto" w:fill="FFFFFF"/>
              </w:rPr>
              <w:t xml:space="preserve"> Research Publications.</w:t>
            </w:r>
          </w:p>
        </w:tc>
      </w:tr>
      <w:tr w:rsidR="001E70BC" w:rsidRPr="001E70BC" w14:paraId="6291958E" w14:textId="77777777" w:rsidTr="001E70BC">
        <w:trPr>
          <w:trHeight w:val="288"/>
        </w:trPr>
        <w:tc>
          <w:tcPr>
            <w:tcW w:w="2155" w:type="dxa"/>
          </w:tcPr>
          <w:p w14:paraId="598C8D2E" w14:textId="1BA11B08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Adapted UNICEF Multiple Indicator Cluster Survey (MICS)</w:t>
            </w:r>
          </w:p>
        </w:tc>
        <w:tc>
          <w:tcPr>
            <w:tcW w:w="1080" w:type="dxa"/>
          </w:tcPr>
          <w:p w14:paraId="0010FA40" w14:textId="6CD9EB4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265D293E" w14:textId="7F24AD6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4F77C526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UNICEF. Child Disciplinary Practices at Home. </w:t>
            </w:r>
            <w:r w:rsidRPr="001E70BC">
              <w:rPr>
                <w:rFonts w:ascii="Palatino Linotype" w:hAnsi="Palatino Linotype"/>
                <w:color w:val="333333"/>
                <w:sz w:val="22"/>
                <w:szCs w:val="22"/>
                <w:shd w:val="clear" w:color="auto" w:fill="FFFFFF"/>
              </w:rPr>
              <w:t>Retrieved July 16, 2020, from </w:t>
            </w:r>
            <w:hyperlink r:id="rId6" w:history="1">
              <w:r w:rsidRPr="001E70BC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https://www.unicef.org/protection/Child_Disciplinary_Practices_at_Home.pdf</w:t>
              </w:r>
            </w:hyperlink>
          </w:p>
          <w:p w14:paraId="33DA8E4B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5FFBDDE7" w14:textId="77777777" w:rsidTr="001E70BC">
        <w:trPr>
          <w:trHeight w:val="288"/>
        </w:trPr>
        <w:tc>
          <w:tcPr>
            <w:tcW w:w="2155" w:type="dxa"/>
          </w:tcPr>
          <w:p w14:paraId="7F78B875" w14:textId="4A3A19E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Ages and Stages Questionnaire (ASQ)</w:t>
            </w:r>
          </w:p>
        </w:tc>
        <w:tc>
          <w:tcPr>
            <w:tcW w:w="1080" w:type="dxa"/>
          </w:tcPr>
          <w:p w14:paraId="6381214A" w14:textId="3D1C5C4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25DF7E8D" w14:textId="040DA568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40D335AC" w14:textId="21A30785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American Academy of Pediatrics. (2001). Developmental Surveillance and Screening of Infants and Young Children.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Pediatrics, 108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(1), 192–196.</w:t>
            </w:r>
          </w:p>
          <w:p w14:paraId="066447D8" w14:textId="77777777" w:rsidR="00A52072" w:rsidRPr="001E70BC" w:rsidRDefault="00A52072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1BECC6C" w14:textId="5024EABB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American Academy of Pediatrics. (2006). Identifying Infants and Young Children with Developmental Disorders in the Medical Home: An Algorithm for Developmental Surveillance and Screening.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Pediatrics, 118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, 405–420.</w:t>
            </w:r>
          </w:p>
          <w:p w14:paraId="334DE9CB" w14:textId="77777777" w:rsidR="00A52072" w:rsidRPr="001E70BC" w:rsidRDefault="00A52072" w:rsidP="00EC460B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0FB502E9" w14:textId="77777777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Beam, M.,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Paré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E.,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Schellenbach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C., Kaiser, A., Murphy, M., (2015). Early Developmental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Screeinng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in High-Risk Communities: Implications for Research and Child Welfare Policy.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 xml:space="preserve">The Advanced Generalist: Social Work Research Journal, 1(3/4),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18-3</w:t>
            </w:r>
          </w:p>
          <w:p w14:paraId="410B0CEE" w14:textId="2E3D568D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Hanig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K. M. (2010). Review of Ages &amp; Stages Questionnaires®: A Parent-Completed Child Monitoring System. In R. A. Spies, J. F. Carlson, &amp; K. F. Geisinger (Eds.),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The eighteenth mental measurements yearbook,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10–13. Lincoln, NE: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Buros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Institute of Mental Measurements.</w:t>
            </w:r>
          </w:p>
        </w:tc>
      </w:tr>
      <w:tr w:rsidR="001E70BC" w:rsidRPr="001E70BC" w14:paraId="33137AD3" w14:textId="77777777" w:rsidTr="001E70BC">
        <w:trPr>
          <w:trHeight w:val="278"/>
        </w:trPr>
        <w:tc>
          <w:tcPr>
            <w:tcW w:w="2155" w:type="dxa"/>
          </w:tcPr>
          <w:p w14:paraId="38D645D5" w14:textId="799B15C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Ages and Stages Questionnaire Social and Emotional (ASQ - SE)</w:t>
            </w:r>
          </w:p>
        </w:tc>
        <w:tc>
          <w:tcPr>
            <w:tcW w:w="1080" w:type="dxa"/>
          </w:tcPr>
          <w:p w14:paraId="19457553" w14:textId="1A8F396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3C5DC032" w14:textId="039B291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26D0CB49" w14:textId="48BC7666" w:rsidR="00ED300F" w:rsidRPr="001E70BC" w:rsidRDefault="00D125AD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Squires, J., Bricker, D., &amp; Twombly, E. (2002).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 xml:space="preserve">The ASQ:SE user’s guide.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Baltimore, MD: Paul H. Brookes Publishing Co.</w:t>
            </w:r>
          </w:p>
        </w:tc>
      </w:tr>
      <w:tr w:rsidR="001E70BC" w:rsidRPr="001E70BC" w14:paraId="4147B236" w14:textId="77777777" w:rsidTr="001E70BC">
        <w:trPr>
          <w:trHeight w:val="278"/>
        </w:trPr>
        <w:tc>
          <w:tcPr>
            <w:tcW w:w="2155" w:type="dxa"/>
          </w:tcPr>
          <w:p w14:paraId="6F1EC100" w14:textId="4A688501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Child Behavior Checklist (CBCL)</w:t>
            </w:r>
          </w:p>
        </w:tc>
        <w:tc>
          <w:tcPr>
            <w:tcW w:w="1080" w:type="dxa"/>
          </w:tcPr>
          <w:p w14:paraId="09DF00BC" w14:textId="728377E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4B2BD6C8" w14:textId="389B7CA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73905382" w14:textId="7AB23D3F" w:rsidR="00ED300F" w:rsidRPr="001E70BC" w:rsidRDefault="00ED300F" w:rsidP="00EC460B">
            <w:pPr>
              <w:ind w:right="144"/>
              <w:rPr>
                <w:rFonts w:ascii="Palatino Linotype" w:hAnsi="Palatino Linotype"/>
                <w:color w:val="000000" w:themeColor="text1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Achenbach, T.M., &amp; Rescorla, L.A. (2000). </w:t>
            </w:r>
            <w:r w:rsidRPr="001E70BC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Manual for the ASEBA Preschool forms and Profiles.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 Burlington, VT: University of Vermont Department of Psychiatry.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</w:rPr>
              <w:t xml:space="preserve"> </w:t>
            </w:r>
          </w:p>
          <w:p w14:paraId="22E488A2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color w:val="000000" w:themeColor="text1"/>
                <w:sz w:val="22"/>
                <w:szCs w:val="22"/>
              </w:rPr>
            </w:pPr>
          </w:p>
          <w:p w14:paraId="02E08F40" w14:textId="345A7450" w:rsidR="00ED300F" w:rsidRPr="001E70BC" w:rsidRDefault="00ED300F" w:rsidP="00EC460B">
            <w:pPr>
              <w:ind w:right="144"/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Achenbach, T.M., &amp; Rescorla, L. A. (2001). </w:t>
            </w:r>
            <w:r w:rsidRPr="001E70BC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Manual for the ASEBA School-Age Forms and Profiles.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 Burlington, VT: University of Vermont, Research Center for Children, Youth, and Families.</w:t>
            </w:r>
          </w:p>
          <w:p w14:paraId="0D2CE327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color w:val="000000" w:themeColor="text1"/>
                <w:sz w:val="22"/>
                <w:szCs w:val="22"/>
              </w:rPr>
            </w:pPr>
          </w:p>
          <w:p w14:paraId="6134CA74" w14:textId="7BE448D0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</w:rPr>
              <w:t>Achenbach, T. M., &amp; Ruffle, T. M. (2000). The child behavior checklist and related forms for assessing behavioral/emotional problems and competencies. Pediatrics in Review, 21, 265–271.</w:t>
            </w:r>
          </w:p>
        </w:tc>
      </w:tr>
      <w:tr w:rsidR="001E70BC" w:rsidRPr="001E70BC" w14:paraId="4204FBDA" w14:textId="77777777" w:rsidTr="001E70BC">
        <w:trPr>
          <w:trHeight w:val="278"/>
        </w:trPr>
        <w:tc>
          <w:tcPr>
            <w:tcW w:w="2155" w:type="dxa"/>
          </w:tcPr>
          <w:p w14:paraId="01702BA8" w14:textId="196D2023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Devereux Early Childhood Assessment (DECA)</w:t>
            </w:r>
          </w:p>
        </w:tc>
        <w:tc>
          <w:tcPr>
            <w:tcW w:w="1080" w:type="dxa"/>
          </w:tcPr>
          <w:p w14:paraId="47478F18" w14:textId="23D180E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1F495501" w14:textId="374A34D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154C72F6" w14:textId="77777777" w:rsidR="00D125AD" w:rsidRPr="001E70BC" w:rsidRDefault="00D125AD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LeBuffe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P. A., &amp;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Naglieri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J. A. (1999).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>Technical manual for the Devereux Early Childhood Assessment (DECA).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Villanova, PA: Devereux Foundation.</w:t>
            </w:r>
          </w:p>
          <w:p w14:paraId="760F3F86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734EFC3D" w14:textId="77777777" w:rsidTr="001E70BC">
        <w:trPr>
          <w:trHeight w:val="278"/>
        </w:trPr>
        <w:tc>
          <w:tcPr>
            <w:tcW w:w="2155" w:type="dxa"/>
          </w:tcPr>
          <w:p w14:paraId="71A538AB" w14:textId="5A70C2EF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Normative Beliefs about Aggression Scale  (Youth Report)</w:t>
            </w:r>
          </w:p>
        </w:tc>
        <w:tc>
          <w:tcPr>
            <w:tcW w:w="1080" w:type="dxa"/>
          </w:tcPr>
          <w:p w14:paraId="6A7BF121" w14:textId="34DB0F8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3-6.9</w:t>
            </w:r>
          </w:p>
        </w:tc>
        <w:tc>
          <w:tcPr>
            <w:tcW w:w="1530" w:type="dxa"/>
          </w:tcPr>
          <w:p w14:paraId="2FDE6651" w14:textId="52EF7094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Caregiver</w:t>
            </w:r>
          </w:p>
        </w:tc>
        <w:tc>
          <w:tcPr>
            <w:tcW w:w="8280" w:type="dxa"/>
          </w:tcPr>
          <w:p w14:paraId="66CBC359" w14:textId="77777777" w:rsidR="00A52072" w:rsidRPr="001E70BC" w:rsidRDefault="00A52072" w:rsidP="00A52072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Shahid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A., Wilkinson, K.,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Marcu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>, S., &amp; Shapiro, C. M. (2011). Normative Beliefs About Aggression Scale. In STOP, THAT and One Hundred Other Sleep Scales (pp. 249-250). Springer New York.</w:t>
            </w:r>
          </w:p>
          <w:p w14:paraId="06AB43A6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13D717D7" w14:textId="77777777" w:rsidTr="001E70BC">
        <w:trPr>
          <w:trHeight w:val="278"/>
        </w:trPr>
        <w:tc>
          <w:tcPr>
            <w:tcW w:w="2155" w:type="dxa"/>
          </w:tcPr>
          <w:p w14:paraId="1561779B" w14:textId="0306C8C5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The Early Grade Reading Assessment  (EGRA)</w:t>
            </w:r>
          </w:p>
        </w:tc>
        <w:tc>
          <w:tcPr>
            <w:tcW w:w="1080" w:type="dxa"/>
          </w:tcPr>
          <w:p w14:paraId="57362077" w14:textId="3EC4C11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5288670C" w14:textId="0B4A775D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75AD4904" w14:textId="3CAA084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ACER (March 2014). The Early Grade Reading Assessment: Assessing children's acquisition of basic literacy skills in developing countries. Assessment GEMs no.2. Melbourne: ACER</w:t>
            </w:r>
          </w:p>
        </w:tc>
      </w:tr>
      <w:tr w:rsidR="001E70BC" w:rsidRPr="001E70BC" w14:paraId="3EC31277" w14:textId="77777777" w:rsidTr="001E70BC">
        <w:trPr>
          <w:trHeight w:val="278"/>
        </w:trPr>
        <w:tc>
          <w:tcPr>
            <w:tcW w:w="2155" w:type="dxa"/>
          </w:tcPr>
          <w:p w14:paraId="17DABB7B" w14:textId="46D837AD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The Early Grade Math Assessment  (EGMA)</w:t>
            </w:r>
          </w:p>
        </w:tc>
        <w:tc>
          <w:tcPr>
            <w:tcW w:w="1080" w:type="dxa"/>
          </w:tcPr>
          <w:p w14:paraId="3D572996" w14:textId="73592BA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53E33968" w14:textId="42D1E65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Observer</w:t>
            </w:r>
          </w:p>
        </w:tc>
        <w:tc>
          <w:tcPr>
            <w:tcW w:w="8280" w:type="dxa"/>
          </w:tcPr>
          <w:p w14:paraId="5241BB81" w14:textId="2ED90AC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ACER (March 2014). The Early Grade Reading Assessment: Assessing children's acquisition of basic literacy skills in developing countries. Assessment GEMs no.2. Melbourne: ACER</w:t>
            </w:r>
          </w:p>
        </w:tc>
      </w:tr>
      <w:tr w:rsidR="001E70BC" w:rsidRPr="001E70BC" w14:paraId="1157D956" w14:textId="77777777" w:rsidTr="001E70BC">
        <w:trPr>
          <w:trHeight w:val="278"/>
        </w:trPr>
        <w:tc>
          <w:tcPr>
            <w:tcW w:w="2155" w:type="dxa"/>
          </w:tcPr>
          <w:p w14:paraId="147705D9" w14:textId="1F0BCD59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Parental Acceptance and Rejection Questionnaire Short Form (PARQ)</w:t>
            </w:r>
          </w:p>
        </w:tc>
        <w:tc>
          <w:tcPr>
            <w:tcW w:w="1080" w:type="dxa"/>
          </w:tcPr>
          <w:p w14:paraId="3527FFCB" w14:textId="3EEC91DD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5A8CDDCB" w14:textId="35CDDA3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647C5864" w14:textId="33A07AFB" w:rsidR="00ED300F" w:rsidRPr="001E70BC" w:rsidRDefault="00ED300F" w:rsidP="000E11B6">
            <w:pPr>
              <w:rPr>
                <w:rFonts w:ascii="Palatino Linotype" w:hAnsi="Palatino Linotype"/>
                <w:color w:val="000000" w:themeColor="text1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, R. P., &amp;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Khaleque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, A. (Eds.). (2005). 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Handbook for the Study of Parental Acceptance and Rejection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 (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4th </w:t>
            </w:r>
            <w:proofErr w:type="spellStart"/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ed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). Storrs, CT: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 Research Publications.</w:t>
            </w:r>
          </w:p>
        </w:tc>
      </w:tr>
      <w:tr w:rsidR="001E70BC" w:rsidRPr="001E70BC" w14:paraId="5D5A294A" w14:textId="77777777" w:rsidTr="001E70BC">
        <w:trPr>
          <w:trHeight w:val="278"/>
        </w:trPr>
        <w:tc>
          <w:tcPr>
            <w:tcW w:w="2155" w:type="dxa"/>
          </w:tcPr>
          <w:p w14:paraId="40E9DD0C" w14:textId="685B8B73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Adapted UNICEF Multiple Indicator Cluster Survey (MICS)</w:t>
            </w:r>
          </w:p>
        </w:tc>
        <w:tc>
          <w:tcPr>
            <w:tcW w:w="1080" w:type="dxa"/>
          </w:tcPr>
          <w:p w14:paraId="66D1FDCF" w14:textId="1A4B25C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2102CFFC" w14:textId="62785FB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5A998175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UNICEF. Child Disciplinary Practices at Home. </w:t>
            </w:r>
            <w:r w:rsidRPr="001E70BC">
              <w:rPr>
                <w:rFonts w:ascii="Palatino Linotype" w:hAnsi="Palatino Linotype"/>
                <w:color w:val="333333"/>
                <w:sz w:val="22"/>
                <w:szCs w:val="22"/>
                <w:shd w:val="clear" w:color="auto" w:fill="FFFFFF"/>
              </w:rPr>
              <w:t>Retrieved July 16, 2020, from </w:t>
            </w:r>
            <w:hyperlink r:id="rId7" w:history="1">
              <w:r w:rsidRPr="001E70BC">
                <w:rPr>
                  <w:rStyle w:val="Hyperlink"/>
                  <w:rFonts w:ascii="Palatino Linotype" w:hAnsi="Palatino Linotype"/>
                  <w:sz w:val="22"/>
                  <w:szCs w:val="22"/>
                </w:rPr>
                <w:t>https://www.unicef.org/protection/Child_Disciplinary_Practices_at_Home.pdf</w:t>
              </w:r>
            </w:hyperlink>
          </w:p>
          <w:p w14:paraId="6950D722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457A759D" w14:textId="77777777" w:rsidTr="001E70BC">
        <w:trPr>
          <w:trHeight w:val="278"/>
        </w:trPr>
        <w:tc>
          <w:tcPr>
            <w:tcW w:w="2155" w:type="dxa"/>
          </w:tcPr>
          <w:p w14:paraId="73A8923F" w14:textId="5D5AD0F2" w:rsidR="00ED300F" w:rsidRPr="001E70BC" w:rsidRDefault="00ED300F" w:rsidP="000E11B6">
            <w:pPr>
              <w:rPr>
                <w:rFonts w:ascii="Palatino Linotype" w:hAnsi="Palatino Linotype"/>
                <w:noProof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Child Behavior Checklist (CBCL)</w:t>
            </w:r>
          </w:p>
        </w:tc>
        <w:tc>
          <w:tcPr>
            <w:tcW w:w="1080" w:type="dxa"/>
          </w:tcPr>
          <w:p w14:paraId="24FF728D" w14:textId="1424978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76DA41D8" w14:textId="358D778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6AF9652D" w14:textId="0E130A97" w:rsidR="00ED300F" w:rsidRPr="001E70BC" w:rsidRDefault="00ED300F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Achenbach, T.M., &amp; Rescorla, L.A. (2000).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Manual for the ASEBA Preschool forms and Profiles.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 Burlington, VT: University of Vermont Department of Psychiatry.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  <w:p w14:paraId="0B89F7E9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</w:p>
          <w:p w14:paraId="7CAB632F" w14:textId="46F849D6" w:rsidR="00ED300F" w:rsidRPr="001E70BC" w:rsidRDefault="00ED300F" w:rsidP="00EC460B">
            <w:pPr>
              <w:ind w:right="144"/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</w:pP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Achenbach, T.M., &amp; Rescorla, L. A. (2001). </w:t>
            </w:r>
            <w:r w:rsidRPr="001E70BC">
              <w:rPr>
                <w:rFonts w:ascii="Palatino Linotype" w:hAnsi="Palatino Linotype"/>
                <w:i/>
                <w:iCs/>
                <w:color w:val="222222"/>
                <w:sz w:val="22"/>
                <w:szCs w:val="22"/>
                <w:shd w:val="clear" w:color="auto" w:fill="FFFFFF"/>
              </w:rPr>
              <w:t>Manual for the ASEBA School-Age Forms and Profiles.</w:t>
            </w:r>
            <w:r w:rsidRPr="001E70BC">
              <w:rPr>
                <w:rFonts w:ascii="Palatino Linotype" w:hAnsi="Palatino Linotype"/>
                <w:color w:val="222222"/>
                <w:sz w:val="22"/>
                <w:szCs w:val="22"/>
                <w:shd w:val="clear" w:color="auto" w:fill="FFFFFF"/>
              </w:rPr>
              <w:t> Burlington, VT: University of Vermont, Research Center for Children, Youth, and Families.</w:t>
            </w:r>
          </w:p>
          <w:p w14:paraId="3E356651" w14:textId="77777777" w:rsidR="00A52072" w:rsidRPr="001E70BC" w:rsidRDefault="00A52072" w:rsidP="00EC460B">
            <w:pPr>
              <w:ind w:right="144"/>
              <w:rPr>
                <w:rFonts w:ascii="Palatino Linotype" w:hAnsi="Palatino Linotype"/>
                <w:sz w:val="22"/>
                <w:szCs w:val="22"/>
              </w:rPr>
            </w:pPr>
          </w:p>
          <w:p w14:paraId="25944DD4" w14:textId="5608FB62" w:rsidR="00ED300F" w:rsidRPr="001E70BC" w:rsidRDefault="00ED300F" w:rsidP="00EC460B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>Achenbach, T. M., &amp; Ruffle, T. M. (2000). The child behavior checklist and related forms for assessing behavioral/emotional problems and competencies. Pediatrics in Review, 21, 265–271.</w:t>
            </w:r>
          </w:p>
        </w:tc>
      </w:tr>
      <w:tr w:rsidR="001E70BC" w:rsidRPr="001E70BC" w14:paraId="3DBD0534" w14:textId="77777777" w:rsidTr="001E70BC">
        <w:trPr>
          <w:trHeight w:val="288"/>
        </w:trPr>
        <w:tc>
          <w:tcPr>
            <w:tcW w:w="2155" w:type="dxa"/>
          </w:tcPr>
          <w:p w14:paraId="01CA9BA0" w14:textId="123DC893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Devereux Early Childhood Assessment (DECA)</w:t>
            </w:r>
          </w:p>
        </w:tc>
        <w:tc>
          <w:tcPr>
            <w:tcW w:w="1080" w:type="dxa"/>
          </w:tcPr>
          <w:p w14:paraId="54C1001F" w14:textId="3ED0BC5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0B2E8B8B" w14:textId="1FB6A7C1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306BA6E8" w14:textId="77777777" w:rsidR="00EE593F" w:rsidRPr="001E70BC" w:rsidRDefault="00EE593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LeBuffe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P. A., &amp;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Naglieri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J. A. (1999). </w:t>
            </w:r>
            <w:r w:rsidRPr="001E70BC">
              <w:rPr>
                <w:rFonts w:ascii="Palatino Linotype" w:hAnsi="Palatino Linotype"/>
                <w:i/>
                <w:sz w:val="22"/>
                <w:szCs w:val="22"/>
              </w:rPr>
              <w:t xml:space="preserve">Technical manual for the Devereux Early Childhood Assessment (DECA). </w:t>
            </w:r>
            <w:r w:rsidRPr="001E70BC">
              <w:rPr>
                <w:rFonts w:ascii="Palatino Linotype" w:hAnsi="Palatino Linotype"/>
                <w:sz w:val="22"/>
                <w:szCs w:val="22"/>
              </w:rPr>
              <w:t>Villanova, PA: Devereux Foundation.</w:t>
            </w:r>
          </w:p>
          <w:p w14:paraId="4CADAC6F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1E70BC" w:rsidRPr="001E70BC" w14:paraId="21F72992" w14:textId="77777777" w:rsidTr="001E70BC">
        <w:trPr>
          <w:trHeight w:val="278"/>
        </w:trPr>
        <w:tc>
          <w:tcPr>
            <w:tcW w:w="2155" w:type="dxa"/>
          </w:tcPr>
          <w:p w14:paraId="77CFA2A7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zh-CN"/>
              </w:rPr>
            </w:pP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Oxford Measure of Psychosocial Adjustment (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  <w:lang w:eastAsia="zh-CN"/>
              </w:rPr>
              <w:t>OMPA)</w:t>
            </w:r>
          </w:p>
        </w:tc>
        <w:tc>
          <w:tcPr>
            <w:tcW w:w="1080" w:type="dxa"/>
          </w:tcPr>
          <w:p w14:paraId="3BDE9C00" w14:textId="03815414" w:rsidR="00ED300F" w:rsidRPr="001E70BC" w:rsidRDefault="00ED300F" w:rsidP="000E11B6">
            <w:pPr>
              <w:rPr>
                <w:rFonts w:ascii="Palatino Linotype" w:hAnsi="Palatino Linotype"/>
                <w:color w:val="222222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4D45DA2E" w14:textId="7FC13253" w:rsidR="00ED300F" w:rsidRPr="001E70BC" w:rsidRDefault="00ED300F" w:rsidP="000E11B6">
            <w:pPr>
              <w:rPr>
                <w:rFonts w:ascii="Palatino Linotype" w:hAnsi="Palatino Linotype"/>
                <w:color w:val="222222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27CDEC83" w14:textId="5D5FFD0D" w:rsidR="00ED300F" w:rsidRPr="001E70BC" w:rsidRDefault="00ED300F" w:rsidP="000E11B6">
            <w:pPr>
              <w:rPr>
                <w:rFonts w:ascii="Palatino Linotype" w:hAnsi="Palatino Linotype"/>
                <w:bCs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MacMullin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Loughry, M. (2004). Investigating psychosocial adjustment of former child soldiers in Sierra Leone and Uganda.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Journal of Refugee Studies.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;17(4):460-472. </w:t>
            </w:r>
          </w:p>
        </w:tc>
      </w:tr>
      <w:tr w:rsidR="001E70BC" w:rsidRPr="001E70BC" w14:paraId="16E03CF4" w14:textId="77777777" w:rsidTr="001E70BC">
        <w:trPr>
          <w:trHeight w:val="288"/>
        </w:trPr>
        <w:tc>
          <w:tcPr>
            <w:tcW w:w="2155" w:type="dxa"/>
          </w:tcPr>
          <w:p w14:paraId="11320258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Emotional regulation (ERC)</w:t>
            </w:r>
          </w:p>
        </w:tc>
        <w:tc>
          <w:tcPr>
            <w:tcW w:w="1080" w:type="dxa"/>
          </w:tcPr>
          <w:p w14:paraId="46909DAB" w14:textId="7777777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34FD8FB3" w14:textId="3E1C59F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Caregiver</w:t>
            </w:r>
          </w:p>
        </w:tc>
        <w:tc>
          <w:tcPr>
            <w:tcW w:w="8280" w:type="dxa"/>
          </w:tcPr>
          <w:p w14:paraId="58DC4F6F" w14:textId="67FF60A7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Shields, A. M., &amp; Cicchetti, D. (1995, March). The development of an emotion regulation assessment battery: Reliability and validity among at-risk grade-school children. Poster session presented at the biennial meeting of the Society for Research in Child Development, </w:t>
            </w: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</w:rPr>
              <w:t>Indianapo-lis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</w:rPr>
              <w:t xml:space="preserve">, IN. </w:t>
            </w:r>
          </w:p>
        </w:tc>
      </w:tr>
      <w:tr w:rsidR="001E70BC" w:rsidRPr="001E70BC" w14:paraId="5C27F57D" w14:textId="77777777" w:rsidTr="001E70BC">
        <w:trPr>
          <w:trHeight w:val="278"/>
        </w:trPr>
        <w:tc>
          <w:tcPr>
            <w:tcW w:w="2155" w:type="dxa"/>
          </w:tcPr>
          <w:p w14:paraId="550AC278" w14:textId="4D3BFD5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Normative Beliefs about Aggression Scale</w:t>
            </w:r>
          </w:p>
        </w:tc>
        <w:tc>
          <w:tcPr>
            <w:tcW w:w="1080" w:type="dxa"/>
          </w:tcPr>
          <w:p w14:paraId="139576B7" w14:textId="292607B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45FE03DB" w14:textId="3303884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Self-report</w:t>
            </w:r>
          </w:p>
        </w:tc>
        <w:tc>
          <w:tcPr>
            <w:tcW w:w="8280" w:type="dxa"/>
          </w:tcPr>
          <w:p w14:paraId="24CCB427" w14:textId="6488A4B6" w:rsidR="00ED300F" w:rsidRPr="001E70BC" w:rsidRDefault="00ED300F" w:rsidP="000E11B6">
            <w:pPr>
              <w:autoSpaceDE w:val="0"/>
              <w:autoSpaceDN w:val="0"/>
              <w:adjustRightInd w:val="0"/>
              <w:rPr>
                <w:rFonts w:ascii="Palatino Linotype" w:hAnsi="Palatino Linotype"/>
                <w:sz w:val="22"/>
                <w:szCs w:val="22"/>
                <w:lang w:eastAsia="zh-CN"/>
              </w:rPr>
            </w:pPr>
            <w:proofErr w:type="spellStart"/>
            <w:r w:rsidRPr="001E70BC">
              <w:rPr>
                <w:rFonts w:ascii="Palatino Linotype" w:hAnsi="Palatino Linotype"/>
                <w:sz w:val="22"/>
                <w:szCs w:val="22"/>
                <w:lang w:eastAsia="zh-CN"/>
              </w:rPr>
              <w:t>Huesmann</w:t>
            </w:r>
            <w:proofErr w:type="spellEnd"/>
            <w:r w:rsidRPr="001E70BC">
              <w:rPr>
                <w:rFonts w:ascii="Palatino Linotype" w:hAnsi="Palatino Linotype"/>
                <w:sz w:val="22"/>
                <w:szCs w:val="22"/>
                <w:lang w:eastAsia="zh-CN"/>
              </w:rPr>
              <w:t>, L. R., &amp; Guerra, N. G. (1997). Children's normative beliefs about aggression and aggressive behavior. Journal of Personality and Social Psychology, 72(2), 408-419.</w:t>
            </w:r>
          </w:p>
        </w:tc>
      </w:tr>
      <w:tr w:rsidR="001E70BC" w:rsidRPr="001E70BC" w14:paraId="1B7B0B69" w14:textId="77777777" w:rsidTr="001E70BC">
        <w:trPr>
          <w:trHeight w:val="278"/>
        </w:trPr>
        <w:tc>
          <w:tcPr>
            <w:tcW w:w="2155" w:type="dxa"/>
          </w:tcPr>
          <w:p w14:paraId="4BABC9E5" w14:textId="04197BBD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World Health Organization Disability Assessment Schedule (WHO DAS)</w:t>
            </w:r>
          </w:p>
        </w:tc>
        <w:tc>
          <w:tcPr>
            <w:tcW w:w="1080" w:type="dxa"/>
          </w:tcPr>
          <w:p w14:paraId="30F02501" w14:textId="29908CA6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7CED4704" w14:textId="2970894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Self-report</w:t>
            </w:r>
          </w:p>
        </w:tc>
        <w:tc>
          <w:tcPr>
            <w:tcW w:w="8280" w:type="dxa"/>
          </w:tcPr>
          <w:p w14:paraId="58A05F76" w14:textId="35BC4C7D" w:rsidR="00ED300F" w:rsidRPr="001E70BC" w:rsidRDefault="00ED300F" w:rsidP="000E11B6">
            <w:pPr>
              <w:pStyle w:val="Heading1"/>
              <w:shd w:val="clear" w:color="auto" w:fill="FFFFFF"/>
              <w:spacing w:before="0" w:after="180"/>
              <w:ind w:right="300"/>
              <w:textAlignment w:val="baseline"/>
              <w:outlineLvl w:val="0"/>
              <w:rPr>
                <w:rFonts w:ascii="Palatino Linotype" w:hAnsi="Palatino Linotype" w:cs="Times New Roman"/>
                <w:b w:val="0"/>
                <w:color w:val="333333"/>
                <w:sz w:val="22"/>
                <w:szCs w:val="22"/>
                <w:lang w:eastAsia="zh-CN"/>
              </w:rPr>
            </w:pPr>
            <w:r w:rsidRPr="001E70BC">
              <w:rPr>
                <w:rFonts w:ascii="Palatino Linotype" w:hAnsi="Palatino Linotype" w:cs="Times New Roman"/>
                <w:b w:val="0"/>
                <w:color w:val="333333"/>
                <w:sz w:val="22"/>
                <w:szCs w:val="22"/>
              </w:rPr>
              <w:t xml:space="preserve">WHO Disability Assessment Schedule 2.0 WHODAS 2.0. </w:t>
            </w:r>
            <w:r w:rsidRPr="001E70BC">
              <w:rPr>
                <w:rFonts w:ascii="Palatino Linotype" w:hAnsi="Palatino Linotype" w:cs="Times New Roman"/>
                <w:b w:val="0"/>
                <w:color w:val="333333"/>
                <w:sz w:val="22"/>
                <w:szCs w:val="22"/>
                <w:shd w:val="clear" w:color="auto" w:fill="FFFFFF"/>
              </w:rPr>
              <w:t>Retrieved July 16, 2020, from </w:t>
            </w:r>
            <w:hyperlink r:id="rId8" w:history="1">
              <w:r w:rsidRPr="001E70BC">
                <w:rPr>
                  <w:rStyle w:val="Hyperlink"/>
                  <w:rFonts w:ascii="Palatino Linotype" w:hAnsi="Palatino Linotype" w:cs="Times New Roman"/>
                  <w:b w:val="0"/>
                  <w:sz w:val="22"/>
                  <w:szCs w:val="22"/>
                </w:rPr>
                <w:t>https://www.who.int/classifications/icf/whodasii/en/index4.html</w:t>
              </w:r>
            </w:hyperlink>
          </w:p>
        </w:tc>
      </w:tr>
      <w:tr w:rsidR="001E70BC" w:rsidRPr="001E70BC" w14:paraId="39103C4E" w14:textId="77777777" w:rsidTr="001E70BC">
        <w:trPr>
          <w:trHeight w:val="278"/>
        </w:trPr>
        <w:tc>
          <w:tcPr>
            <w:tcW w:w="2155" w:type="dxa"/>
          </w:tcPr>
          <w:p w14:paraId="4D06B76D" w14:textId="5761E2EC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Difficulties in Emotion Regulation Scale (DERS)</w:t>
            </w:r>
          </w:p>
        </w:tc>
        <w:tc>
          <w:tcPr>
            <w:tcW w:w="1080" w:type="dxa"/>
          </w:tcPr>
          <w:p w14:paraId="2C924D42" w14:textId="1F463259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2E39ED29" w14:textId="6306335B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Self-report</w:t>
            </w:r>
          </w:p>
        </w:tc>
        <w:tc>
          <w:tcPr>
            <w:tcW w:w="8280" w:type="dxa"/>
          </w:tcPr>
          <w:p w14:paraId="734BABF1" w14:textId="53FDA69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Gratz, K. L., &amp; Roemer, L. (2004). Multidimensional assessment of emotion regulation and dysregulation: Development, factor structure, and initial validation of the difficulties in emotion regulation scale. </w:t>
            </w:r>
            <w:r w:rsidRPr="001E70BC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Journal of psychopathology and behavioral assessment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, </w:t>
            </w:r>
            <w:r w:rsidRPr="001E70BC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26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(1), 41-54.</w:t>
            </w:r>
          </w:p>
        </w:tc>
      </w:tr>
      <w:tr w:rsidR="001E70BC" w:rsidRPr="001E70BC" w14:paraId="31F48913" w14:textId="77777777" w:rsidTr="001E70BC">
        <w:trPr>
          <w:trHeight w:val="278"/>
        </w:trPr>
        <w:tc>
          <w:tcPr>
            <w:tcW w:w="2155" w:type="dxa"/>
          </w:tcPr>
          <w:p w14:paraId="23CA21F0" w14:textId="578096F4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 xml:space="preserve">Parental Acceptance-Rejection </w:t>
            </w: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lastRenderedPageBreak/>
              <w:t>Questionnaire (PARQ)</w:t>
            </w:r>
          </w:p>
        </w:tc>
        <w:tc>
          <w:tcPr>
            <w:tcW w:w="1080" w:type="dxa"/>
          </w:tcPr>
          <w:p w14:paraId="451D99A7" w14:textId="7FED1EA5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lastRenderedPageBreak/>
              <w:t>7+</w:t>
            </w:r>
          </w:p>
        </w:tc>
        <w:tc>
          <w:tcPr>
            <w:tcW w:w="1530" w:type="dxa"/>
          </w:tcPr>
          <w:p w14:paraId="25B2F369" w14:textId="46BD920F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Self-report</w:t>
            </w:r>
          </w:p>
        </w:tc>
        <w:tc>
          <w:tcPr>
            <w:tcW w:w="8280" w:type="dxa"/>
          </w:tcPr>
          <w:p w14:paraId="3E6B359C" w14:textId="094C3FAD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, R. P., &amp;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Khaleque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, A. (Eds.). (2005). 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Handbook for the Study of Parental Acceptance and Rejection</w:t>
            </w:r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 (</w:t>
            </w:r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4th </w:t>
            </w:r>
            <w:proofErr w:type="spellStart"/>
            <w:r w:rsidRPr="001E70BC">
              <w:rPr>
                <w:rStyle w:val="Emphasis"/>
                <w:rFonts w:ascii="Palatino Linotype" w:hAnsi="Palatino Linotype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ed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). Storrs, CT: </w:t>
            </w:r>
            <w:proofErr w:type="spellStart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>Rohner</w:t>
            </w:r>
            <w:proofErr w:type="spellEnd"/>
            <w:r w:rsidRPr="001E70BC">
              <w:rPr>
                <w:rFonts w:ascii="Palatino Linotype" w:hAnsi="Palatino Linotype"/>
                <w:color w:val="000000" w:themeColor="text1"/>
                <w:sz w:val="22"/>
                <w:szCs w:val="22"/>
                <w:shd w:val="clear" w:color="auto" w:fill="FFFFFF"/>
              </w:rPr>
              <w:t xml:space="preserve"> Research Publications.</w:t>
            </w:r>
          </w:p>
        </w:tc>
      </w:tr>
      <w:tr w:rsidR="001E70BC" w:rsidRPr="001E70BC" w14:paraId="45C86412" w14:textId="77777777" w:rsidTr="001E70BC">
        <w:trPr>
          <w:trHeight w:val="278"/>
        </w:trPr>
        <w:tc>
          <w:tcPr>
            <w:tcW w:w="2155" w:type="dxa"/>
          </w:tcPr>
          <w:p w14:paraId="3B7F1BF1" w14:textId="2E28687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  <w:highlight w:val="yellow"/>
                <w:lang w:eastAsia="ko-KR"/>
              </w:rPr>
            </w:pPr>
            <w:r w:rsidRPr="001E70BC">
              <w:rPr>
                <w:rFonts w:ascii="Palatino Linotype" w:hAnsi="Palatino Linotype"/>
                <w:noProof/>
                <w:sz w:val="22"/>
                <w:szCs w:val="22"/>
              </w:rPr>
              <w:t>Oxford Measure of Psychosocial Adjustment (OMPA)</w:t>
            </w:r>
          </w:p>
        </w:tc>
        <w:tc>
          <w:tcPr>
            <w:tcW w:w="1080" w:type="dxa"/>
          </w:tcPr>
          <w:p w14:paraId="5C26CFF7" w14:textId="71991580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</w:rPr>
              <w:t>7+</w:t>
            </w:r>
          </w:p>
        </w:tc>
        <w:tc>
          <w:tcPr>
            <w:tcW w:w="1530" w:type="dxa"/>
          </w:tcPr>
          <w:p w14:paraId="32FCEADD" w14:textId="18DAB75A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r w:rsidRPr="001E70BC">
              <w:rPr>
                <w:rFonts w:ascii="Palatino Linotype" w:hAnsi="Palatino Linotype"/>
                <w:sz w:val="22"/>
                <w:szCs w:val="22"/>
                <w:lang w:eastAsia="ko-KR"/>
              </w:rPr>
              <w:t>Self-report</w:t>
            </w:r>
          </w:p>
        </w:tc>
        <w:tc>
          <w:tcPr>
            <w:tcW w:w="8280" w:type="dxa"/>
          </w:tcPr>
          <w:p w14:paraId="0DBDCF5A" w14:textId="310280B2" w:rsidR="00ED300F" w:rsidRPr="001E70BC" w:rsidRDefault="00ED300F" w:rsidP="000E11B6">
            <w:pPr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>MacMullin</w:t>
            </w:r>
            <w:proofErr w:type="spellEnd"/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, C., Loughry, M. (2004). Investigating psychosocial adjustment of former child soldiers in Sierra Leone and Uganda. </w:t>
            </w:r>
            <w:r w:rsidRPr="001E70BC">
              <w:rPr>
                <w:rFonts w:ascii="Palatino Linotype" w:hAnsi="Palatino Linotype"/>
                <w:bCs/>
                <w:i/>
                <w:iCs/>
                <w:sz w:val="22"/>
                <w:szCs w:val="22"/>
              </w:rPr>
              <w:t>Journal of Refugee Studies.</w:t>
            </w:r>
            <w:r w:rsidRPr="001E70BC">
              <w:rPr>
                <w:rFonts w:ascii="Palatino Linotype" w:hAnsi="Palatino Linotype"/>
                <w:bCs/>
                <w:sz w:val="22"/>
                <w:szCs w:val="22"/>
              </w:rPr>
              <w:t xml:space="preserve">;17(4):460-472. </w:t>
            </w:r>
          </w:p>
        </w:tc>
      </w:tr>
    </w:tbl>
    <w:p w14:paraId="5C3C26C7" w14:textId="77777777" w:rsidR="008274BF" w:rsidRPr="001E70BC" w:rsidRDefault="008274BF" w:rsidP="00691934">
      <w:pPr>
        <w:rPr>
          <w:rFonts w:ascii="Palatino Linotype" w:hAnsi="Palatino Linotype"/>
          <w:sz w:val="22"/>
          <w:szCs w:val="22"/>
        </w:rPr>
      </w:pPr>
    </w:p>
    <w:sectPr w:rsidR="008274BF" w:rsidRPr="001E70BC" w:rsidSect="001E70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ECC8" w16cex:dateUtc="2020-07-16T19:1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F66"/>
    <w:rsid w:val="00000FDF"/>
    <w:rsid w:val="00011699"/>
    <w:rsid w:val="00032F66"/>
    <w:rsid w:val="00036CBA"/>
    <w:rsid w:val="00037BF1"/>
    <w:rsid w:val="0005133E"/>
    <w:rsid w:val="00065EDF"/>
    <w:rsid w:val="0009202D"/>
    <w:rsid w:val="000E026A"/>
    <w:rsid w:val="000E11B6"/>
    <w:rsid w:val="00103EF8"/>
    <w:rsid w:val="00107D55"/>
    <w:rsid w:val="00122009"/>
    <w:rsid w:val="0013642B"/>
    <w:rsid w:val="001651D4"/>
    <w:rsid w:val="00183DCA"/>
    <w:rsid w:val="001A164E"/>
    <w:rsid w:val="001C28DE"/>
    <w:rsid w:val="001D74A0"/>
    <w:rsid w:val="001E70BC"/>
    <w:rsid w:val="00294669"/>
    <w:rsid w:val="00297F35"/>
    <w:rsid w:val="002B5B7E"/>
    <w:rsid w:val="002F617F"/>
    <w:rsid w:val="00320264"/>
    <w:rsid w:val="00332312"/>
    <w:rsid w:val="00342BD1"/>
    <w:rsid w:val="003625D0"/>
    <w:rsid w:val="003C48C8"/>
    <w:rsid w:val="003C7D93"/>
    <w:rsid w:val="003D0367"/>
    <w:rsid w:val="003D5B61"/>
    <w:rsid w:val="003E0295"/>
    <w:rsid w:val="003E7D71"/>
    <w:rsid w:val="003F4236"/>
    <w:rsid w:val="004002E8"/>
    <w:rsid w:val="00427047"/>
    <w:rsid w:val="00490DA8"/>
    <w:rsid w:val="00490F92"/>
    <w:rsid w:val="004E7810"/>
    <w:rsid w:val="00506364"/>
    <w:rsid w:val="00526827"/>
    <w:rsid w:val="005352EF"/>
    <w:rsid w:val="00541ACE"/>
    <w:rsid w:val="00592E83"/>
    <w:rsid w:val="00634CAD"/>
    <w:rsid w:val="006443AE"/>
    <w:rsid w:val="0064615B"/>
    <w:rsid w:val="00691934"/>
    <w:rsid w:val="006A05D1"/>
    <w:rsid w:val="006C2116"/>
    <w:rsid w:val="006E53D1"/>
    <w:rsid w:val="007449D9"/>
    <w:rsid w:val="007504E8"/>
    <w:rsid w:val="007F7ACD"/>
    <w:rsid w:val="008274BF"/>
    <w:rsid w:val="008A3542"/>
    <w:rsid w:val="008E753B"/>
    <w:rsid w:val="0090002A"/>
    <w:rsid w:val="00904B30"/>
    <w:rsid w:val="00911882"/>
    <w:rsid w:val="00917AA9"/>
    <w:rsid w:val="0095733B"/>
    <w:rsid w:val="00997C7B"/>
    <w:rsid w:val="009A20D0"/>
    <w:rsid w:val="009C3CC3"/>
    <w:rsid w:val="009F00B7"/>
    <w:rsid w:val="00A0466D"/>
    <w:rsid w:val="00A0717B"/>
    <w:rsid w:val="00A11FA7"/>
    <w:rsid w:val="00A4451C"/>
    <w:rsid w:val="00A52072"/>
    <w:rsid w:val="00A566B5"/>
    <w:rsid w:val="00A77827"/>
    <w:rsid w:val="00A93005"/>
    <w:rsid w:val="00B25A85"/>
    <w:rsid w:val="00B33FC4"/>
    <w:rsid w:val="00B516C3"/>
    <w:rsid w:val="00B834E9"/>
    <w:rsid w:val="00B908DD"/>
    <w:rsid w:val="00B91186"/>
    <w:rsid w:val="00BE416F"/>
    <w:rsid w:val="00BE7727"/>
    <w:rsid w:val="00C03CEF"/>
    <w:rsid w:val="00C63FFF"/>
    <w:rsid w:val="00C74840"/>
    <w:rsid w:val="00C821AD"/>
    <w:rsid w:val="00CA0211"/>
    <w:rsid w:val="00CB0708"/>
    <w:rsid w:val="00CF79CF"/>
    <w:rsid w:val="00D125AD"/>
    <w:rsid w:val="00D504FC"/>
    <w:rsid w:val="00D555C2"/>
    <w:rsid w:val="00D703CC"/>
    <w:rsid w:val="00D87B50"/>
    <w:rsid w:val="00DB1CFD"/>
    <w:rsid w:val="00E01C5D"/>
    <w:rsid w:val="00E84E20"/>
    <w:rsid w:val="00E91EE1"/>
    <w:rsid w:val="00E92FC8"/>
    <w:rsid w:val="00EC460B"/>
    <w:rsid w:val="00ED300F"/>
    <w:rsid w:val="00EE593F"/>
    <w:rsid w:val="00F14366"/>
    <w:rsid w:val="00F15497"/>
    <w:rsid w:val="00F17F48"/>
    <w:rsid w:val="00F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A8FE4"/>
  <w15:chartTrackingRefBased/>
  <w15:docId w15:val="{BD9D76A2-B0B9-4D57-85D1-44E3108D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F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11FA7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0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02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21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211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2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211"/>
    <w:rPr>
      <w:rFonts w:ascii="Segoe UI" w:hAnsi="Segoe U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490DA8"/>
    <w:rPr>
      <w:i/>
      <w:iCs/>
    </w:rPr>
  </w:style>
  <w:style w:type="character" w:styleId="Hyperlink">
    <w:name w:val="Hyperlink"/>
    <w:basedOn w:val="DefaultParagraphFont"/>
    <w:uiPriority w:val="99"/>
    <w:unhideWhenUsed/>
    <w:rsid w:val="00A0466D"/>
    <w:rPr>
      <w:color w:val="0563C1" w:themeColor="hyperlink"/>
      <w:u w:val="single"/>
    </w:rPr>
  </w:style>
  <w:style w:type="paragraph" w:customStyle="1" w:styleId="Default">
    <w:name w:val="Default"/>
    <w:rsid w:val="006A05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02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53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classifications/icf/whodasii/en/index4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icef.org/protection/Child_Disciplinary_Practices_at_Hom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cef.org/protection/Child_Disciplinary_Practices_at_Home.pdf" TargetMode="External"/><Relationship Id="rId5" Type="http://schemas.openxmlformats.org/officeDocument/2006/relationships/hyperlink" Target="https://doi.org/10.1016/j.ecresq.2007.01.002" TargetMode="Externa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hyperlink" Target="https://www.unicef.org/protection/Child_Disciplinary_Practices_at_Home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2709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Shaobing Su</dc:creator>
  <cp:keywords/>
  <dc:description/>
  <cp:lastModifiedBy>Jordan Farrar</cp:lastModifiedBy>
  <cp:revision>7</cp:revision>
  <dcterms:created xsi:type="dcterms:W3CDTF">2020-07-18T17:14:00Z</dcterms:created>
  <dcterms:modified xsi:type="dcterms:W3CDTF">2020-08-04T01:22:00Z</dcterms:modified>
</cp:coreProperties>
</file>